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widowControl w:val="0"/>
        <w:spacing w:before="0" w:after="0" w:line="240" w:lineRule="auto"/>
        <w:jc w:val="center"/>
        <w:rPr>
          <w:rFonts w:ascii="Helvetica Neue" w:cs="Helvetica Neue" w:hAnsi="Helvetica Neue" w:eastAsia="Helvetica Neue"/>
          <w:b w:val="1"/>
          <w:bCs w:val="1"/>
          <w:sz w:val="32"/>
          <w:szCs w:val="32"/>
        </w:rPr>
      </w:pPr>
      <w:bookmarkStart w:name="_gjdgxs" w:id="0"/>
      <w:bookmarkEnd w:id="0"/>
    </w:p>
    <w:p>
      <w:pPr>
        <w:pStyle w:val="Heading"/>
        <w:widowControl w:val="0"/>
        <w:spacing w:before="0" w:after="0" w:line="240" w:lineRule="auto"/>
        <w:jc w:val="center"/>
        <w:rPr>
          <w:rFonts w:ascii="Helvetica Neue" w:cs="Helvetica Neue" w:hAnsi="Helvetica Neue" w:eastAsia="Helvetica Neue"/>
          <w:b w:val="1"/>
          <w:bCs w:val="1"/>
          <w:sz w:val="32"/>
          <w:szCs w:val="32"/>
        </w:rPr>
      </w:pPr>
      <w:r>
        <w:rPr>
          <w:rFonts w:ascii="Helvetica Neue" w:hAnsi="Helvetica Neue"/>
          <w:b w:val="1"/>
          <w:bCs w:val="1"/>
          <w:sz w:val="32"/>
          <w:szCs w:val="32"/>
          <w:rtl w:val="0"/>
          <w:lang w:val="en-US"/>
        </w:rPr>
        <w:t>O</w:t>
      </w:r>
      <w:r>
        <w:rPr>
          <w:rFonts w:ascii="Helvetica Neue" w:hAnsi="Helvetica Neue"/>
          <w:b w:val="1"/>
          <w:bCs w:val="1"/>
          <w:sz w:val="32"/>
          <w:szCs w:val="32"/>
          <w:rtl w:val="0"/>
          <w:lang w:val="da-DK"/>
        </w:rPr>
        <w:t>ne Page Plan</w:t>
      </w:r>
    </w:p>
    <w:p>
      <w:pPr>
        <w:pStyle w:val="Body A"/>
        <w:spacing w:line="240" w:lineRule="auto"/>
        <w:rPr>
          <w:rFonts w:ascii="Helvetica Neue" w:cs="Helvetica Neue" w:hAnsi="Helvetica Neue" w:eastAsia="Helvetica Neue"/>
        </w:rPr>
      </w:pPr>
    </w:p>
    <w:p>
      <w:pPr>
        <w:pStyle w:val="Body A"/>
        <w:spacing w:line="240" w:lineRule="auto"/>
        <w:rPr>
          <w:rFonts w:ascii="Helvetica Neue" w:cs="Helvetica Neue" w:hAnsi="Helvetica Neue" w:eastAsia="Helvetica Neue"/>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NET WORTH &amp; FINANCIAL GOALS</w:t>
            </w:r>
          </w:p>
        </w:tc>
      </w:tr>
      <w:tr>
        <w:tblPrEx>
          <w:shd w:val="clear" w:color="auto" w:fill="ced7e7"/>
        </w:tblPrEx>
        <w:trPr>
          <w:trHeight w:val="34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line="240" w:lineRule="auto"/>
              <w:jc w:val="both"/>
              <w:rPr>
                <w:rFonts w:ascii="Helvetica Neue" w:cs="Helvetica Neue" w:hAnsi="Helvetica Neue" w:eastAsia="Helvetica Neue"/>
                <w:b w:val="1"/>
                <w:bCs w:val="1"/>
                <w:sz w:val="20"/>
                <w:szCs w:val="20"/>
                <w:shd w:val="nil" w:color="auto" w:fill="auto"/>
              </w:rPr>
            </w:pPr>
            <w:r>
              <w:rPr>
                <w:rFonts w:ascii="Helvetica Neue" w:hAnsi="Helvetica Neue"/>
                <w:b w:val="1"/>
                <w:bCs w:val="1"/>
                <w:sz w:val="20"/>
                <w:szCs w:val="20"/>
                <w:shd w:val="nil" w:color="auto" w:fill="auto"/>
                <w:rtl w:val="0"/>
                <w:lang w:val="en-US"/>
              </w:rPr>
              <w:t xml:space="preserve">Financial Plan Objectives </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Provide cash flow analysis, review expenses, and show projected cash flow with recommendations for spending and saving. </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Calculate retirement goals and progress towards those goals. </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Review and make recommendations on investments and asset allocation. </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Determine home affordability, down payment and recommended monthly payments.</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Create an education savings strategy and investment recommendation. </w:t>
            </w:r>
          </w:p>
          <w:p>
            <w:pPr>
              <w:pStyle w:val="Body A"/>
              <w:spacing w:line="240" w:lineRule="auto"/>
              <w:ind w:left="1440" w:firstLine="0"/>
              <w:jc w:val="both"/>
              <w:rPr>
                <w:rFonts w:ascii="Helvetica Neue" w:cs="Helvetica Neue" w:hAnsi="Helvetica Neue" w:eastAsia="Helvetica Neue"/>
                <w:sz w:val="20"/>
                <w:szCs w:val="20"/>
                <w:shd w:val="nil" w:color="auto" w:fill="auto"/>
                <w:lang w:val="en-US"/>
              </w:rPr>
            </w:pPr>
          </w:p>
          <w:p>
            <w:pPr>
              <w:pStyle w:val="Body A"/>
              <w:bidi w:val="0"/>
              <w:spacing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Net Worth</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Currently ~{1}</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Strive to grow net worth by 5-10% per year.</w:t>
            </w:r>
          </w:p>
          <w:p>
            <w:pPr>
              <w:pStyle w:val="Body A"/>
              <w:spacing w:line="240" w:lineRule="auto"/>
              <w:jc w:val="both"/>
              <w:rPr>
                <w:rFonts w:ascii="Helvetica Neue" w:cs="Helvetica Neue" w:hAnsi="Helvetica Neue" w:eastAsia="Helvetica Neue"/>
                <w:sz w:val="20"/>
                <w:szCs w:val="20"/>
                <w:shd w:val="nil" w:color="auto" w:fill="auto"/>
                <w:lang w:val="en-US"/>
              </w:rPr>
            </w:pPr>
          </w:p>
          <w:p>
            <w:pPr>
              <w:pStyle w:val="Body A"/>
              <w:bidi w:val="0"/>
              <w:spacing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Financial Model </w:t>
            </w:r>
          </w:p>
          <w:p>
            <w:pPr>
              <w:pStyle w:val="Body A"/>
              <w:bidi w:val="0"/>
              <w:spacing w:line="240" w:lineRule="auto"/>
              <w:ind w:left="0" w:right="0" w:firstLine="0"/>
              <w:jc w:val="both"/>
              <w:rPr>
                <w:rtl w:val="0"/>
              </w:rPr>
            </w:pPr>
            <w:r>
              <w:rPr>
                <w:rFonts w:ascii="Helvetica Neue" w:hAnsi="Helvetica Neue"/>
                <w:sz w:val="20"/>
                <w:szCs w:val="20"/>
                <w:shd w:val="clear" w:color="auto" w:fill="ffff00"/>
                <w:rtl w:val="0"/>
                <w:lang w:val="en-US"/>
              </w:rPr>
              <w:t>Here is a [CLIENT_MODEL_LINK] to your financial model</w:t>
            </w:r>
            <w:r>
              <w:rPr>
                <w:rFonts w:ascii="Helvetica Neue" w:hAnsi="Helvetica Neue"/>
                <w:sz w:val="20"/>
                <w:szCs w:val="20"/>
                <w:shd w:val="nil" w:color="auto" w:fill="auto"/>
                <w:rtl w:val="0"/>
                <w:lang w:val="en-US"/>
              </w:rPr>
              <w:t xml:space="preserve">. </w:t>
            </w:r>
          </w:p>
        </w:tc>
      </w:tr>
    </w:tbl>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800"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00"/>
      </w:tblGrid>
      <w:tr>
        <w:tblPrEx>
          <w:shd w:val="clear" w:color="auto" w:fill="ced7e7"/>
        </w:tblPrEx>
        <w:trPr>
          <w:trHeight w:val="334" w:hRule="atLeast"/>
        </w:trPr>
        <w:tc>
          <w:tcPr>
            <w:tcW w:type="dxa" w:w="88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CASH FLOW </w:t>
            </w:r>
          </w:p>
        </w:tc>
      </w:tr>
      <w:tr>
        <w:tblPrEx>
          <w:shd w:val="clear" w:color="auto" w:fill="ced7e7"/>
        </w:tblPrEx>
        <w:trPr>
          <w:trHeight w:val="10278" w:hRule="atLeast"/>
        </w:trPr>
        <w:tc>
          <w:tcPr>
            <w:tcW w:type="dxa" w:w="88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Break even: ~{2} gross income per year to cover historical spending and current retirement contributions.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Based on the spending plan, your breakeven is ~{3}.</w:t>
            </w:r>
          </w:p>
          <w:p>
            <w:pPr>
              <w:pStyle w:val="Body A"/>
              <w:bidi w:val="0"/>
              <w:spacing w:after="200"/>
              <w:ind w:left="0" w:right="0" w:firstLine="0"/>
              <w:jc w:val="both"/>
              <w:rPr>
                <w:rFonts w:ascii="Helvetica Neue" w:cs="Helvetica Neue" w:hAnsi="Helvetica Neue" w:eastAsia="Helvetica Neue"/>
                <w:sz w:val="20"/>
                <w:szCs w:val="20"/>
                <w:shd w:val="clear" w:color="auto" w:fill="ffff00"/>
                <w:rtl w:val="0"/>
              </w:rPr>
            </w:pPr>
            <w:r>
              <w:rPr>
                <w:rFonts w:ascii="Helvetica Neue" w:hAnsi="Helvetica Neue"/>
                <w:sz w:val="20"/>
                <w:szCs w:val="20"/>
                <w:shd w:val="nil" w:color="auto" w:fill="auto"/>
                <w:rtl w:val="0"/>
                <w:lang w:val="en-US"/>
              </w:rPr>
              <w:t>Your current gross base income (Scenario #1) is ~{4}.</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Your total compensation (Scenario #3)  is ~{5}</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On a spending plan, you have an estimated {6} of {7} per month or {9} per year. {10}</w:t>
            </w:r>
          </w:p>
          <w:p>
            <w:pPr>
              <w:pStyle w:val="Body A"/>
              <w:bidi w:val="0"/>
              <w:spacing w:after="200"/>
              <w:ind w:left="0" w:right="0" w:firstLine="0"/>
              <w:jc w:val="both"/>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Your effective tax rate is {11}.</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ACTION ITEMS:</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Continue to use Monarch Money via our sponsored account. Load the app on your phone. Target spending {12} per month </w:t>
            </w:r>
            <w:r>
              <w:rPr>
                <w:rFonts w:ascii="Helvetica Neue" w:hAnsi="Helvetica Neue"/>
                <w:b w:val="1"/>
                <w:bCs w:val="1"/>
                <w:sz w:val="20"/>
                <w:szCs w:val="20"/>
                <w:u w:val="single"/>
                <w:shd w:val="nil" w:color="auto" w:fill="auto"/>
                <w:rtl w:val="0"/>
                <w:lang w:val="en-US"/>
              </w:rPr>
              <w:t>not</w:t>
            </w:r>
            <w:r>
              <w:rPr>
                <w:rFonts w:ascii="Helvetica Neue" w:hAnsi="Helvetica Neue"/>
                <w:b w:val="1"/>
                <w:bCs w:val="1"/>
                <w:sz w:val="20"/>
                <w:szCs w:val="20"/>
                <w:shd w:val="nil" w:color="auto" w:fill="auto"/>
                <w:rtl w:val="0"/>
                <w:lang w:val="en-US"/>
              </w:rPr>
              <w:t xml:space="preserve"> including property taxes and travel. Total spending with property taxes and travel is {13} per month or {14} per year.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Go to the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Reports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tab &gt;&gt; click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Spending</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as this shows your spending in a pie chart format.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Make sure the charts make sense. Clean up miscellaneous spending.</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Go to transactions, search for Venmo/Paypal/Zelle, categorize spending. It defaults to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transfer</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which is usually incorrect and will not show up as an expense. This needs to be fixed in order for the pie chart to be accurate.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At the end of each month, sit down and review your monthly spending. This should take less than 30 minutes each month.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Go to the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Budgets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tab, input the blue line items from the spending plan as your budgets.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Target food spending ~{15}/month.</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Target shopping ~{16}/month.</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Target annual </w:t>
            </w:r>
            <w:r>
              <w:rPr>
                <w:rFonts w:ascii="Helvetica Neue" w:hAnsi="Helvetica Neue"/>
                <w:b w:val="1"/>
                <w:bCs w:val="1"/>
                <w:sz w:val="20"/>
                <w:szCs w:val="20"/>
                <w:shd w:val="nil" w:color="auto" w:fill="auto"/>
                <w:rtl w:val="0"/>
                <w:lang w:val="en-US"/>
              </w:rPr>
              <w:t>t</w:t>
            </w:r>
            <w:r>
              <w:rPr>
                <w:rFonts w:ascii="Helvetica Neue" w:hAnsi="Helvetica Neue"/>
                <w:b w:val="1"/>
                <w:bCs w:val="1"/>
                <w:sz w:val="20"/>
                <w:szCs w:val="20"/>
                <w:shd w:val="nil" w:color="auto" w:fill="auto"/>
                <w:rtl w:val="0"/>
                <w:lang w:val="en-US"/>
              </w:rPr>
              <w:t>ravel ~{17}/year.</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Target entertainment ~{18}/month.</w:t>
            </w:r>
          </w:p>
          <w:p>
            <w:pPr>
              <w:pStyle w:val="Body A"/>
              <w:bidi w:val="0"/>
              <w:spacing w:after="200"/>
              <w:ind w:left="0" w:right="0" w:firstLine="0"/>
              <w:jc w:val="both"/>
              <w:rPr>
                <w:rtl w:val="0"/>
              </w:rPr>
            </w:pPr>
            <w:r>
              <w:rPr>
                <w:rFonts w:ascii="Helvetica Neue" w:hAnsi="Helvetica Neue"/>
                <w:b w:val="1"/>
                <w:bCs w:val="1"/>
                <w:sz w:val="20"/>
                <w:szCs w:val="20"/>
                <w:shd w:val="nil" w:color="auto" w:fill="auto"/>
                <w:rtl w:val="0"/>
                <w:lang w:val="en-US"/>
              </w:rPr>
              <w:t xml:space="preserve">Target </w:t>
            </w:r>
            <w:r>
              <w:rPr>
                <w:rFonts w:ascii="Helvetica Neue" w:hAnsi="Helvetica Neue"/>
                <w:b w:val="1"/>
                <w:bCs w:val="1"/>
                <w:sz w:val="20"/>
                <w:szCs w:val="20"/>
                <w:shd w:val="nil" w:color="auto" w:fill="auto"/>
                <w:rtl w:val="0"/>
                <w:lang w:val="en-US"/>
              </w:rPr>
              <w:t>h</w:t>
            </w:r>
            <w:r>
              <w:rPr>
                <w:rFonts w:ascii="Helvetica Neue" w:hAnsi="Helvetica Neue"/>
                <w:b w:val="1"/>
                <w:bCs w:val="1"/>
                <w:sz w:val="20"/>
                <w:szCs w:val="20"/>
                <w:shd w:val="nil" w:color="auto" w:fill="auto"/>
                <w:rtl w:val="0"/>
                <w:lang w:val="en-US"/>
              </w:rPr>
              <w:t>ealth/</w:t>
            </w:r>
            <w:r>
              <w:rPr>
                <w:rFonts w:ascii="Helvetica Neue" w:hAnsi="Helvetica Neue"/>
                <w:b w:val="1"/>
                <w:bCs w:val="1"/>
                <w:sz w:val="20"/>
                <w:szCs w:val="20"/>
                <w:shd w:val="nil" w:color="auto" w:fill="auto"/>
                <w:rtl w:val="0"/>
                <w:lang w:val="en-US"/>
              </w:rPr>
              <w:t>p</w:t>
            </w:r>
            <w:r>
              <w:rPr>
                <w:rFonts w:ascii="Helvetica Neue" w:hAnsi="Helvetica Neue"/>
                <w:b w:val="1"/>
                <w:bCs w:val="1"/>
                <w:sz w:val="20"/>
                <w:szCs w:val="20"/>
                <w:shd w:val="nil" w:color="auto" w:fill="auto"/>
                <w:rtl w:val="0"/>
                <w:lang w:val="en-US"/>
              </w:rPr>
              <w:t xml:space="preserve">ersonal </w:t>
            </w:r>
            <w:r>
              <w:rPr>
                <w:rFonts w:ascii="Helvetica Neue" w:hAnsi="Helvetica Neue"/>
                <w:b w:val="1"/>
                <w:bCs w:val="1"/>
                <w:sz w:val="20"/>
                <w:szCs w:val="20"/>
                <w:shd w:val="nil" w:color="auto" w:fill="auto"/>
                <w:rtl w:val="0"/>
                <w:lang w:val="en-US"/>
              </w:rPr>
              <w:t>c</w:t>
            </w:r>
            <w:r>
              <w:rPr>
                <w:rFonts w:ascii="Helvetica Neue" w:hAnsi="Helvetica Neue"/>
                <w:b w:val="1"/>
                <w:bCs w:val="1"/>
                <w:sz w:val="20"/>
                <w:szCs w:val="20"/>
                <w:shd w:val="nil" w:color="auto" w:fill="auto"/>
                <w:rtl w:val="0"/>
                <w:lang w:val="en-US"/>
              </w:rPr>
              <w:t>are ~{19}/month.</w:t>
            </w:r>
          </w:p>
        </w:tc>
      </w:tr>
    </w:tbl>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PURPOSE BASED SAVINGS &amp; INVESTING</w:t>
            </w:r>
          </w:p>
        </w:tc>
      </w:tr>
      <w:tr>
        <w:tblPrEx>
          <w:shd w:val="clear" w:color="auto" w:fill="ced7e7"/>
        </w:tblPrEx>
        <w:trPr>
          <w:trHeight w:val="461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You have ~{20} of cash on hand in liquid accounts and an estimated {21} of ~{22} per month. You also have cash in taxable brokerage accounts of ~{sum}</w:t>
            </w:r>
          </w:p>
          <w:p>
            <w:pPr>
              <w:pStyle w:val="Body A"/>
              <w:bidi w:val="0"/>
              <w:spacing w:after="200" w:line="240" w:lineRule="auto"/>
              <w:ind w:left="0" w:right="0" w:firstLine="0"/>
              <w:jc w:val="both"/>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Right now, your top priorities are fully funding your {list_main}</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Open a High Yield Savings Account at (Ally // Marcus // current bank if applicable) and move $XX,000 from your Chase savings account to fully fund your emergency fund.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To fund your (travel, property taxes, home improvement, etc.) create separate buckets in your  High Yield Savings Account and move $XX,XXX from your Chase savings account to fully fund these goals.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Move $XX,XXX from your savings to your brokerage account.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Increase your retirement contributions to </w:t>
            </w:r>
            <w:r>
              <w:rPr>
                <w:rFonts w:ascii="Helvetica Neue" w:hAnsi="Helvetica Neue"/>
                <w:b w:val="1"/>
                <w:bCs w:val="1"/>
                <w:sz w:val="20"/>
                <w:szCs w:val="20"/>
                <w:shd w:val="clear" w:color="auto" w:fill="00ff00"/>
                <w:rtl w:val="0"/>
                <w:lang w:val="en-US"/>
              </w:rPr>
              <w:t>%Compensation for Retirement.</w:t>
            </w:r>
            <w:r>
              <w:rPr>
                <w:rFonts w:ascii="Helvetica Neue" w:hAnsi="Helvetica Neue"/>
                <w:b w:val="1"/>
                <w:bCs w:val="1"/>
                <w:sz w:val="20"/>
                <w:szCs w:val="20"/>
                <w:shd w:val="nil" w:color="auto" w:fill="auto"/>
                <w:rtl w:val="0"/>
                <w:lang w:val="en-US"/>
              </w:rPr>
              <w:t xml:space="preserve">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 xml:space="preserve">Set up recurring contributions from your checking account to your brokerage account of $1,000/month. </w:t>
            </w:r>
          </w:p>
        </w:tc>
      </w:tr>
    </w:tbl>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DEBT MANAGEMENT</w:t>
            </w:r>
          </w:p>
        </w:tc>
      </w:tr>
      <w:tr>
        <w:tblPrEx>
          <w:shd w:val="clear" w:color="auto" w:fill="ced7e7"/>
        </w:tblPrEx>
        <w:trPr>
          <w:trHeight w:val="30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currently have {23} of debt excluding your mortgage. Once you have adjusted your spending, you will have an estimated monthly {6}  of ~{7} per month or ~{8} per year.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Prioritize paying down your debt with the highest interest rate.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Get 0% APY card and transfer the balances from your interest bearing debt. There will be a 3-4% transfer fee. This is less than you are currently paying in finance charges and interest.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 xml:space="preserve">Put all extra cash towards this balance until it is paid off. Be sure to pay it off before the promotional APY period ends. </w:t>
            </w:r>
          </w:p>
        </w:tc>
      </w:tr>
    </w:tbl>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EDUCATION SAVINGS</w:t>
            </w:r>
          </w:p>
        </w:tc>
      </w:tr>
      <w:tr>
        <w:tblPrEx>
          <w:shd w:val="clear" w:color="auto" w:fill="ced7e7"/>
        </w:tblPrEx>
        <w:trPr>
          <w:trHeight w:val="481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To fully fund a 4-year public education, you need to save {25} per month or {24}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To fully fund a 4-year private education, you need to save {27} per month or {26}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Focus all savings for education into a 529 Plan until middle school. Invest in a static/passive Aggressive Growth Portfolio and not age-based to take greatest advantage of the power of compounding.</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Open a 529 plan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Set up recurring contributions or make lump sum gift of $X,XXX per year.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The IRS lets you frontload five year</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 xml:space="preserve">s worth of giving to 529 plans ($19,000 x 5 = $95,000) per person.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Attach form 709 to your tax return. The amount of the gift will decrease by $19,000/year until reaching $0. Then, you no longer need to include form 709.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Set the investment allocation to X.</w:t>
            </w:r>
          </w:p>
        </w:tc>
      </w:tr>
    </w:tbl>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HOME AFFORDABILITY </w:t>
            </w:r>
          </w:p>
        </w:tc>
      </w:tr>
      <w:tr>
        <w:tblPrEx>
          <w:shd w:val="clear" w:color="auto" w:fill="ced7e7"/>
        </w:tblPrEx>
        <w:trPr>
          <w:trHeight w:val="301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On your base income, keep principal, interest, taxes, and insurance (PITI) monthly payments {28}.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A lender will lend you anywhere from {29} - {30} per month in PITI.</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should target a mortgage of {31} which is equivalent to a {32} home. Your max home price should be {33} unless you want to put down more money.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have {34} liquid for a house down payment. It will take you </w:t>
            </w:r>
            <w:r>
              <w:rPr>
                <w:rFonts w:ascii="Helvetica Neue" w:hAnsi="Helvetica Neue"/>
                <w:sz w:val="20"/>
                <w:szCs w:val="20"/>
                <w:shd w:val="clear" w:color="auto" w:fill="00ff00"/>
                <w:rtl w:val="0"/>
                <w:lang w:val="en-US"/>
              </w:rPr>
              <w:t>X</w:t>
            </w:r>
            <w:r>
              <w:rPr>
                <w:rFonts w:ascii="Helvetica Neue" w:hAnsi="Helvetica Neue"/>
                <w:sz w:val="20"/>
                <w:szCs w:val="20"/>
                <w:shd w:val="nil" w:color="auto" w:fill="auto"/>
                <w:rtl w:val="0"/>
                <w:lang w:val="en-US"/>
              </w:rPr>
              <w:t xml:space="preserve"> years to reach your goal.</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RETIREMENT PLANNING</w:t>
            </w:r>
          </w:p>
        </w:tc>
      </w:tr>
      <w:tr>
        <w:tblPrEx>
          <w:shd w:val="clear" w:color="auto" w:fill="ced7e7"/>
        </w:tblPrEx>
        <w:trPr>
          <w:trHeight w:val="4780"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To fully fund retirement at {35}, you {36} today. You currently have ~{40} of qualified retirement accounts, and ~{41} of brokerage assets that could be earmarked for retirement.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To be on track for retirement assuming</w:t>
            </w:r>
            <w:r>
              <w:rPr>
                <w:rFonts w:ascii="Helvetica Neue" w:hAnsi="Helvetica Neue"/>
                <w:sz w:val="20"/>
                <w:szCs w:val="20"/>
                <w:shd w:val="nil" w:color="auto" w:fill="auto"/>
                <w:rtl w:val="0"/>
                <w:lang w:val="en-US"/>
              </w:rPr>
              <w:t xml:space="preserve"> you receive</w:t>
            </w:r>
            <w:r>
              <w:rPr>
                <w:rFonts w:ascii="Helvetica Neue" w:hAnsi="Helvetica Neue"/>
                <w:sz w:val="20"/>
                <w:szCs w:val="20"/>
                <w:shd w:val="nil" w:color="auto" w:fill="auto"/>
                <w:rtl w:val="0"/>
                <w:lang w:val="en-US"/>
              </w:rPr>
              <w:t xml:space="preserve"> some social security, you need to save {37} per year.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re currently saving ~{38} which includes your 401(k) contributions, employer match, and Roth IRA.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need to save an extra ~{39} per year.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i w:val="1"/>
                <w:iCs w:val="1"/>
                <w:sz w:val="20"/>
                <w:szCs w:val="20"/>
                <w:shd w:val="nil" w:color="auto" w:fill="auto"/>
                <w:rtl w:val="0"/>
              </w:rPr>
            </w:pPr>
            <w:r>
              <w:rPr>
                <w:rFonts w:ascii="Helvetica Neue" w:hAnsi="Helvetica Neue"/>
                <w:b w:val="1"/>
                <w:bCs w:val="1"/>
                <w:i w:val="0"/>
                <w:iCs w:val="0"/>
                <w:sz w:val="20"/>
                <w:szCs w:val="20"/>
                <w:shd w:val="nil" w:color="auto" w:fill="auto"/>
                <w:rtl w:val="0"/>
                <w:lang w:val="en-US"/>
              </w:rPr>
              <w:t xml:space="preserve">Maximize pre-tax contributions at $23,500 each for 2025. </w:t>
            </w:r>
            <w:r>
              <w:rPr>
                <w:rFonts w:ascii="Helvetica Neue" w:hAnsi="Helvetica Neue"/>
                <w:b w:val="1"/>
                <w:bCs w:val="1"/>
                <w:i w:val="1"/>
                <w:iCs w:val="1"/>
                <w:sz w:val="20"/>
                <w:szCs w:val="20"/>
                <w:shd w:val="nil" w:color="auto" w:fill="auto"/>
                <w:rtl w:val="0"/>
                <w:lang w:val="en-US"/>
              </w:rPr>
              <w:t xml:space="preserve">If over 50 </w:t>
            </w:r>
            <w:r>
              <w:rPr>
                <w:rFonts w:ascii="Helvetica Neue" w:hAnsi="Helvetica Neue" w:hint="default"/>
                <w:b w:val="1"/>
                <w:bCs w:val="1"/>
                <w:i w:val="1"/>
                <w:iCs w:val="1"/>
                <w:sz w:val="20"/>
                <w:szCs w:val="20"/>
                <w:shd w:val="nil" w:color="auto" w:fill="auto"/>
                <w:rtl w:val="0"/>
                <w:lang w:val="en-US"/>
              </w:rPr>
              <w:t>½</w:t>
            </w:r>
            <w:r>
              <w:rPr>
                <w:rFonts w:ascii="Helvetica Neue" w:hAnsi="Helvetica Neue"/>
                <w:b w:val="1"/>
                <w:bCs w:val="1"/>
                <w:i w:val="1"/>
                <w:iCs w:val="1"/>
                <w:sz w:val="20"/>
                <w:szCs w:val="20"/>
                <w:shd w:val="nil" w:color="auto" w:fill="auto"/>
                <w:rtl w:val="0"/>
                <w:lang w:val="en-US"/>
              </w:rPr>
              <w:t xml:space="preserve">, you can do a catch up contribution of $7,500/year. If you are 60-63, you can catch up to $11,250/year.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Continue maxing out your backdoor Roth IRAs. The maximum is $7,000/year under 50 </w:t>
            </w:r>
            <w:r>
              <w:rPr>
                <w:rFonts w:ascii="Helvetica Neue" w:hAnsi="Helvetica Neue" w:hint="default"/>
                <w:b w:val="1"/>
                <w:bCs w:val="1"/>
                <w:sz w:val="20"/>
                <w:szCs w:val="20"/>
                <w:shd w:val="nil" w:color="auto" w:fill="auto"/>
                <w:rtl w:val="0"/>
                <w:lang w:val="en-US"/>
              </w:rPr>
              <w:t xml:space="preserve">½ </w:t>
            </w:r>
            <w:r>
              <w:rPr>
                <w:rFonts w:ascii="Helvetica Neue" w:hAnsi="Helvetica Neue"/>
                <w:b w:val="1"/>
                <w:bCs w:val="1"/>
                <w:sz w:val="20"/>
                <w:szCs w:val="20"/>
                <w:shd w:val="nil" w:color="auto" w:fill="auto"/>
                <w:rtl w:val="0"/>
                <w:lang w:val="en-US"/>
              </w:rPr>
              <w:t xml:space="preserve">or $8,000/year over 50 </w:t>
            </w:r>
            <w:r>
              <w:rPr>
                <w:rFonts w:ascii="Helvetica Neue" w:hAnsi="Helvetica Neue" w:hint="default"/>
                <w:b w:val="1"/>
                <w:bCs w:val="1"/>
                <w:sz w:val="20"/>
                <w:szCs w:val="20"/>
                <w:shd w:val="nil" w:color="auto" w:fill="auto"/>
                <w:rtl w:val="0"/>
                <w:lang w:val="en-US"/>
              </w:rPr>
              <w:t>½</w:t>
            </w:r>
            <w:r>
              <w:rPr>
                <w:rFonts w:ascii="Helvetica Neue" w:hAnsi="Helvetica Neue"/>
                <w:b w:val="1"/>
                <w:bCs w:val="1"/>
                <w:sz w:val="20"/>
                <w:szCs w:val="20"/>
                <w:shd w:val="nil" w:color="auto" w:fill="auto"/>
                <w:rtl w:val="0"/>
                <w:lang w:val="en-US"/>
              </w:rPr>
              <w:t xml:space="preserve">.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Take advantage of Mega Backdoor Roth after-tax contributions up to $XX,XXX/year.</w:t>
            </w:r>
          </w:p>
        </w:tc>
      </w:tr>
    </w:tbl>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RETIREMENT INVESTMENT RECOMMENDATIONS </w:t>
            </w:r>
          </w:p>
        </w:tc>
      </w:tr>
      <w:tr>
        <w:tblPrEx>
          <w:shd w:val="clear" w:color="auto" w:fill="ced7e7"/>
        </w:tblPrEx>
        <w:trPr>
          <w:trHeight w:val="3815"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have X qualified retirement accounts. X% of your retirement assets are pre-tax and X% are Roth. The aggregate portfolio is {42} stocks, {43} bonds, and {44} cash. Of the stocks, {45} are US stocks and {46} are international stocks.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lang w:val="en-US"/>
              </w:rPr>
            </w:pPr>
            <w:r>
              <w:rPr>
                <w:rFonts w:ascii="Helvetica Neue" w:hAnsi="Helvetica Neue"/>
                <w:b w:val="1"/>
                <w:bCs w:val="1"/>
                <w:sz w:val="20"/>
                <w:szCs w:val="20"/>
                <w:shd w:val="nil" w:color="auto" w:fill="auto"/>
                <w:rtl w:val="0"/>
                <w:lang w:val="en-US"/>
              </w:rPr>
              <w:t>Placeholder</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TAXABLE INVESTMENT RECOMMENDATIONS </w:t>
            </w:r>
          </w:p>
        </w:tc>
      </w:tr>
      <w:tr>
        <w:tblPrEx>
          <w:shd w:val="clear" w:color="auto" w:fill="ced7e7"/>
        </w:tblPrEx>
        <w:trPr>
          <w:trHeight w:val="7456"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b w:val="1"/>
                <w:bCs w:val="1"/>
                <w:sz w:val="20"/>
                <w:szCs w:val="20"/>
                <w:shd w:val="nil" w:color="auto" w:fill="auto"/>
              </w:rPr>
            </w:pPr>
            <w:r>
              <w:rPr>
                <w:rFonts w:ascii="Helvetica Neue" w:hAnsi="Helvetica Neue"/>
                <w:b w:val="0"/>
                <w:bCs w:val="0"/>
                <w:sz w:val="20"/>
                <w:szCs w:val="20"/>
                <w:shd w:val="nil" w:color="auto" w:fill="auto"/>
                <w:rtl w:val="0"/>
                <w:lang w:val="en-US"/>
              </w:rPr>
              <w:t xml:space="preserve">You have X brokerage accounts. The aggregate portfolio is {47} stocks, {48} bonds, and {49} cash. Of the stocks, {50} are US stocks and {51} are international stocks.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lang w:val="en-US"/>
              </w:rPr>
            </w:pPr>
            <w:r>
              <w:rPr>
                <w:rFonts w:ascii="Helvetica Neue" w:hAnsi="Helvetica Neue"/>
                <w:b w:val="1"/>
                <w:bCs w:val="1"/>
                <w:sz w:val="20"/>
                <w:szCs w:val="20"/>
                <w:shd w:val="nil" w:color="auto" w:fill="auto"/>
                <w:rtl w:val="0"/>
                <w:lang w:val="en-US"/>
              </w:rPr>
              <w:t>Placeholder</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FAMILY PLANNING</w:t>
            </w:r>
          </w:p>
        </w:tc>
      </w:tr>
      <w:tr>
        <w:tblPrEx>
          <w:shd w:val="clear" w:color="auto" w:fill="ced7e7"/>
        </w:tblPrEx>
        <w:trPr>
          <w:trHeight w:val="5160"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As parents and homeowners, you need term life insurance to replace your income and an estate plan to protect your family. The basic estate planning documents you need are as follows:</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Durable power of attorney</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Healthcare power of attorney</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Living will</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Last will and testament</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Living trust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You need {43} more in term life.</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You need {44} more in term life.</w:t>
            </w:r>
          </w:p>
          <w:p>
            <w:pPr>
              <w:pStyle w:val="Body A"/>
              <w:bidi w:val="0"/>
              <w:spacing w:after="200" w:line="240" w:lineRule="auto"/>
              <w:ind w:left="0" w:right="0" w:firstLine="0"/>
              <w:jc w:val="both"/>
              <w:rPr>
                <w:rStyle w:val="None"/>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Create your estate plan through </w:t>
            </w:r>
            <w:r>
              <w:rPr>
                <w:rStyle w:val="Hyperlink.0"/>
                <w:rFonts w:ascii="Helvetica Neue" w:cs="Helvetica Neue" w:hAnsi="Helvetica Neue" w:eastAsia="Helvetica Neue"/>
                <w:b w:val="1"/>
                <w:bCs w:val="1"/>
                <w:outline w:val="0"/>
                <w:color w:val="1155cc"/>
                <w:sz w:val="20"/>
                <w:szCs w:val="20"/>
                <w:u w:val="single" w:color="1155cc"/>
                <w:shd w:val="nil" w:color="auto" w:fill="auto"/>
                <w:lang w:val="en-US"/>
                <w14:textFill>
                  <w14:solidFill>
                    <w14:srgbClr w14:val="1155CC"/>
                  </w14:solidFill>
                </w14:textFill>
              </w:rPr>
              <w:fldChar w:fldCharType="begin" w:fldLock="0"/>
            </w:r>
            <w:r>
              <w:rPr>
                <w:rStyle w:val="Hyperlink.0"/>
                <w:rFonts w:ascii="Helvetica Neue" w:cs="Helvetica Neue" w:hAnsi="Helvetica Neue" w:eastAsia="Helvetica Neue"/>
                <w:b w:val="1"/>
                <w:bCs w:val="1"/>
                <w:outline w:val="0"/>
                <w:color w:val="1155cc"/>
                <w:sz w:val="20"/>
                <w:szCs w:val="20"/>
                <w:u w:val="single" w:color="1155cc"/>
                <w:shd w:val="nil" w:color="auto" w:fill="auto"/>
                <w:lang w:val="en-US"/>
                <w14:textFill>
                  <w14:solidFill>
                    <w14:srgbClr w14:val="1155CC"/>
                  </w14:solidFill>
                </w14:textFill>
              </w:rPr>
              <w:instrText xml:space="preserve"> HYPERLINK "http://wealth.com"</w:instrText>
            </w:r>
            <w:r>
              <w:rPr>
                <w:rStyle w:val="Hyperlink.0"/>
                <w:rFonts w:ascii="Helvetica Neue" w:cs="Helvetica Neue" w:hAnsi="Helvetica Neue" w:eastAsia="Helvetica Neue"/>
                <w:b w:val="1"/>
                <w:bCs w:val="1"/>
                <w:outline w:val="0"/>
                <w:color w:val="1155cc"/>
                <w:sz w:val="20"/>
                <w:szCs w:val="20"/>
                <w:u w:val="single" w:color="1155cc"/>
                <w:shd w:val="nil" w:color="auto" w:fill="auto"/>
                <w:lang w:val="en-US"/>
                <w14:textFill>
                  <w14:solidFill>
                    <w14:srgbClr w14:val="1155CC"/>
                  </w14:solidFill>
                </w14:textFill>
              </w:rPr>
              <w:fldChar w:fldCharType="separate" w:fldLock="0"/>
            </w:r>
            <w:r>
              <w:rPr>
                <w:rStyle w:val="Hyperlink.0"/>
                <w:rFonts w:ascii="Helvetica Neue" w:hAnsi="Helvetica Neue"/>
                <w:b w:val="1"/>
                <w:bCs w:val="1"/>
                <w:outline w:val="0"/>
                <w:color w:val="1155cc"/>
                <w:sz w:val="20"/>
                <w:szCs w:val="20"/>
                <w:u w:val="single" w:color="1155cc"/>
                <w:shd w:val="nil" w:color="auto" w:fill="auto"/>
                <w:rtl w:val="0"/>
                <w:lang w:val="en-US"/>
                <w14:textFill>
                  <w14:solidFill>
                    <w14:srgbClr w14:val="1155CC"/>
                  </w14:solidFill>
                </w14:textFill>
              </w:rPr>
              <w:t>Wealth.com</w:t>
            </w:r>
            <w:r>
              <w:rPr>
                <w:rFonts w:ascii="Helvetica Neue" w:cs="Helvetica Neue" w:hAnsi="Helvetica Neue" w:eastAsia="Helvetica Neue"/>
                <w:b w:val="1"/>
                <w:bCs w:val="1"/>
                <w:sz w:val="20"/>
                <w:szCs w:val="20"/>
              </w:rPr>
              <w:fldChar w:fldCharType="end" w:fldLock="0"/>
            </w:r>
            <w:r>
              <w:rPr>
                <w:rStyle w:val="None"/>
                <w:rFonts w:ascii="Helvetica Neue" w:hAnsi="Helvetica Neue"/>
                <w:b w:val="1"/>
                <w:bCs w:val="1"/>
                <w:sz w:val="20"/>
                <w:szCs w:val="20"/>
                <w:shd w:val="nil" w:color="auto" w:fill="auto"/>
                <w:rtl w:val="0"/>
                <w:lang w:val="en-US"/>
              </w:rPr>
              <w:t xml:space="preserve">. </w:t>
            </w:r>
          </w:p>
          <w:p>
            <w:pPr>
              <w:pStyle w:val="Body A"/>
              <w:bidi w:val="0"/>
              <w:spacing w:after="200" w:line="240" w:lineRule="auto"/>
              <w:ind w:left="0" w:right="0" w:firstLine="0"/>
              <w:jc w:val="both"/>
              <w:rPr>
                <w:rtl w:val="0"/>
              </w:rPr>
            </w:pPr>
            <w:r>
              <w:rPr>
                <w:rStyle w:val="None"/>
                <w:rFonts w:ascii="Helvetica Neue" w:hAnsi="Helvetica Neue"/>
                <w:b w:val="1"/>
                <w:bCs w:val="1"/>
                <w:sz w:val="20"/>
                <w:szCs w:val="20"/>
                <w:shd w:val="nil" w:color="auto" w:fill="auto"/>
                <w:rtl w:val="0"/>
                <w:lang w:val="en-US"/>
              </w:rPr>
              <w:t xml:space="preserve">Fund your Living Trust and update your beneficiary designations. </w:t>
            </w:r>
          </w:p>
        </w:tc>
      </w:tr>
    </w:tbl>
    <w:p>
      <w:pPr>
        <w:pStyle w:val="Body A"/>
        <w:widowControl w:val="0"/>
        <w:spacing w:line="240" w:lineRule="auto"/>
        <w:ind w:left="432" w:hanging="432"/>
        <w:jc w:val="center"/>
        <w:rPr>
          <w:rStyle w:val="None"/>
          <w:rFonts w:ascii="Helvetica Neue" w:cs="Helvetica Neue" w:hAnsi="Helvetica Neue" w:eastAsia="Helvetica Neue"/>
          <w:b w:val="1"/>
          <w:bCs w:val="1"/>
          <w:sz w:val="20"/>
          <w:szCs w:val="20"/>
        </w:rPr>
      </w:pPr>
    </w:p>
    <w:p>
      <w:pPr>
        <w:pStyle w:val="Body A"/>
        <w:widowControl w:val="0"/>
        <w:spacing w:line="240" w:lineRule="auto"/>
        <w:ind w:left="324" w:hanging="324"/>
        <w:jc w:val="center"/>
        <w:rPr>
          <w:rStyle w:val="None"/>
          <w:rFonts w:ascii="Helvetica Neue" w:cs="Helvetica Neue" w:hAnsi="Helvetica Neue" w:eastAsia="Helvetica Neue"/>
          <w:b w:val="1"/>
          <w:bCs w:val="1"/>
          <w:sz w:val="20"/>
          <w:szCs w:val="20"/>
        </w:rPr>
      </w:pPr>
    </w:p>
    <w:p>
      <w:pPr>
        <w:pStyle w:val="Body A"/>
        <w:widowControl w:val="0"/>
        <w:spacing w:line="240" w:lineRule="auto"/>
        <w:ind w:left="216" w:hanging="216"/>
        <w:jc w:val="center"/>
        <w:rPr>
          <w:rStyle w:val="None"/>
          <w:rFonts w:ascii="Helvetica Neue" w:cs="Helvetica Neue" w:hAnsi="Helvetica Neue" w:eastAsia="Helvetica Neue"/>
          <w:b w:val="1"/>
          <w:bCs w:val="1"/>
          <w:sz w:val="20"/>
          <w:szCs w:val="20"/>
        </w:rPr>
      </w:pPr>
    </w:p>
    <w:p>
      <w:pPr>
        <w:pStyle w:val="Body A"/>
        <w:widowControl w:val="0"/>
        <w:spacing w:line="240" w:lineRule="auto"/>
        <w:ind w:left="108" w:hanging="108"/>
        <w:jc w:val="center"/>
        <w:rPr>
          <w:rStyle w:val="None"/>
          <w:rFonts w:ascii="Helvetica Neue" w:cs="Helvetica Neue" w:hAnsi="Helvetica Neue" w:eastAsia="Helvetica Neue"/>
          <w:b w:val="1"/>
          <w:bCs w:val="1"/>
          <w:sz w:val="20"/>
          <w:szCs w:val="20"/>
        </w:rPr>
      </w:pPr>
    </w:p>
    <w:p>
      <w:pPr>
        <w:pStyle w:val="Body A"/>
        <w:widowControl w:val="0"/>
        <w:spacing w:line="240" w:lineRule="auto"/>
        <w:jc w:val="center"/>
        <w:rPr>
          <w:rStyle w:val="None"/>
          <w:rFonts w:ascii="Helvetica Neue" w:cs="Helvetica Neue" w:hAnsi="Helvetica Neue" w:eastAsia="Helvetica Neue"/>
          <w:b w:val="1"/>
          <w:bCs w:val="1"/>
          <w:sz w:val="20"/>
          <w:szCs w:val="20"/>
        </w:rPr>
      </w:pPr>
    </w:p>
    <w:p>
      <w:pPr>
        <w:pStyle w:val="Body A"/>
        <w:spacing w:line="240" w:lineRule="auto"/>
        <w:rPr>
          <w:rStyle w:val="None"/>
          <w:rFonts w:ascii="Helvetica Neue" w:cs="Helvetica Neue" w:hAnsi="Helvetica Neue" w:eastAsia="Helvetica Neue"/>
          <w:b w:val="1"/>
          <w:bCs w:val="1"/>
          <w:sz w:val="20"/>
          <w:szCs w:val="20"/>
        </w:rPr>
      </w:pPr>
    </w:p>
    <w:p>
      <w:pPr>
        <w:pStyle w:val="Body A"/>
        <w:spacing w:line="240" w:lineRule="auto"/>
        <w:rPr>
          <w:rStyle w:val="None"/>
          <w:rFonts w:ascii="Helvetica Neue" w:cs="Helvetica Neue" w:hAnsi="Helvetica Neue" w:eastAsia="Helvetica Neue"/>
          <w:b w:val="1"/>
          <w:bCs w:val="1"/>
          <w:sz w:val="20"/>
          <w:szCs w:val="20"/>
        </w:rPr>
      </w:pPr>
    </w:p>
    <w:tbl>
      <w:tblPr>
        <w:tblW w:w="8792" w:type="dxa"/>
        <w:jc w:val="center"/>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Style w:val="None"/>
                <w:rFonts w:ascii="Helvetica Neue" w:hAnsi="Helvetica Neue"/>
                <w:b w:val="1"/>
                <w:bCs w:val="1"/>
                <w:sz w:val="20"/>
                <w:szCs w:val="20"/>
                <w:shd w:val="nil" w:color="auto" w:fill="auto"/>
                <w:rtl w:val="0"/>
                <w:lang w:val="en-US"/>
              </w:rPr>
              <w:t>TAX PLANNING</w:t>
            </w:r>
          </w:p>
        </w:tc>
      </w:tr>
      <w:tr>
        <w:tblPrEx>
          <w:shd w:val="clear" w:color="auto" w:fill="ced7e7"/>
        </w:tblPrEx>
        <w:trPr>
          <w:trHeight w:val="2000"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Style w:val="None"/>
                <w:rFonts w:ascii="Helvetica Neue" w:cs="Helvetica Neue" w:hAnsi="Helvetica Neue" w:eastAsia="Helvetica Neue"/>
                <w:sz w:val="20"/>
                <w:szCs w:val="20"/>
                <w:shd w:val="nil" w:color="auto" w:fill="auto"/>
              </w:rPr>
            </w:pPr>
            <w:r>
              <w:rPr>
                <w:rStyle w:val="None"/>
                <w:rFonts w:ascii="Helvetica Neue" w:hAnsi="Helvetica Neue"/>
                <w:sz w:val="20"/>
                <w:szCs w:val="20"/>
                <w:shd w:val="nil" w:color="auto" w:fill="auto"/>
                <w:rtl w:val="0"/>
                <w:lang w:val="en-US"/>
              </w:rPr>
              <w:t>Placeholder</w:t>
            </w:r>
          </w:p>
          <w:p>
            <w:pPr>
              <w:pStyle w:val="Body A"/>
              <w:bidi w:val="0"/>
              <w:spacing w:after="200"/>
              <w:ind w:left="0" w:right="0" w:firstLine="0"/>
              <w:jc w:val="both"/>
              <w:rPr>
                <w:rStyle w:val="None"/>
                <w:rFonts w:ascii="Helvetica Neue" w:cs="Helvetica Neue" w:hAnsi="Helvetica Neue" w:eastAsia="Helvetica Neue"/>
                <w:i w:val="1"/>
                <w:iCs w:val="1"/>
                <w:sz w:val="20"/>
                <w:szCs w:val="20"/>
                <w:shd w:val="nil" w:color="auto" w:fill="auto"/>
                <w:rtl w:val="0"/>
              </w:rPr>
            </w:pPr>
            <w:r>
              <w:rPr>
                <w:rStyle w:val="None"/>
                <w:rFonts w:ascii="Helvetica Neue" w:hAnsi="Helvetica Neue"/>
                <w:i w:val="1"/>
                <w:iCs w:val="1"/>
                <w:sz w:val="20"/>
                <w:szCs w:val="20"/>
                <w:shd w:val="nil" w:color="auto" w:fill="auto"/>
                <w:rtl w:val="0"/>
                <w:lang w:val="en-US"/>
              </w:rPr>
              <w:t xml:space="preserve">Before making any changes - consult a tax professional, CPA, or tax attorney as I am not a tax or legal advisor. </w:t>
            </w:r>
          </w:p>
          <w:p>
            <w:pPr>
              <w:pStyle w:val="Body A"/>
              <w:bidi w:val="0"/>
              <w:spacing w:after="200" w:line="240" w:lineRule="auto"/>
              <w:ind w:left="0" w:right="0" w:firstLine="0"/>
              <w:jc w:val="both"/>
              <w:rPr>
                <w:rStyle w:val="None"/>
                <w:rFonts w:ascii="Helvetica Neue" w:cs="Helvetica Neue" w:hAnsi="Helvetica Neue" w:eastAsia="Helvetica Neue"/>
                <w:b w:val="1"/>
                <w:bCs w:val="1"/>
                <w:sz w:val="20"/>
                <w:szCs w:val="20"/>
                <w:shd w:val="nil" w:color="auto" w:fill="auto"/>
                <w:rtl w:val="0"/>
              </w:rPr>
            </w:pPr>
            <w:r>
              <w:rPr>
                <w:rStyle w:val="None"/>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tl w:val="0"/>
              </w:rPr>
            </w:pPr>
            <w:r>
              <w:rPr>
                <w:rStyle w:val="None"/>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432" w:hanging="432"/>
        <w:jc w:val="center"/>
        <w:rPr>
          <w:rStyle w:val="None"/>
          <w:rFonts w:ascii="Helvetica Neue" w:cs="Helvetica Neue" w:hAnsi="Helvetica Neue" w:eastAsia="Helvetica Neue"/>
          <w:b w:val="1"/>
          <w:bCs w:val="1"/>
          <w:sz w:val="20"/>
          <w:szCs w:val="20"/>
        </w:rPr>
      </w:pPr>
    </w:p>
    <w:p>
      <w:pPr>
        <w:pStyle w:val="Body A"/>
        <w:widowControl w:val="0"/>
        <w:spacing w:line="240" w:lineRule="auto"/>
        <w:ind w:left="324" w:hanging="324"/>
        <w:jc w:val="center"/>
        <w:rPr>
          <w:rStyle w:val="None"/>
          <w:rFonts w:ascii="Helvetica Neue" w:cs="Helvetica Neue" w:hAnsi="Helvetica Neue" w:eastAsia="Helvetica Neue"/>
          <w:b w:val="1"/>
          <w:bCs w:val="1"/>
          <w:sz w:val="20"/>
          <w:szCs w:val="20"/>
        </w:rPr>
      </w:pPr>
    </w:p>
    <w:p>
      <w:pPr>
        <w:pStyle w:val="Body A"/>
        <w:widowControl w:val="0"/>
        <w:spacing w:line="240" w:lineRule="auto"/>
        <w:ind w:left="216" w:hanging="216"/>
        <w:jc w:val="center"/>
        <w:rPr>
          <w:rStyle w:val="None"/>
          <w:rFonts w:ascii="Helvetica Neue" w:cs="Helvetica Neue" w:hAnsi="Helvetica Neue" w:eastAsia="Helvetica Neue"/>
          <w:b w:val="1"/>
          <w:bCs w:val="1"/>
          <w:sz w:val="20"/>
          <w:szCs w:val="20"/>
        </w:rPr>
      </w:pPr>
    </w:p>
    <w:p>
      <w:pPr>
        <w:pStyle w:val="Body A"/>
        <w:widowControl w:val="0"/>
        <w:spacing w:line="240" w:lineRule="auto"/>
        <w:ind w:left="108" w:hanging="108"/>
        <w:jc w:val="center"/>
        <w:rPr>
          <w:rStyle w:val="None"/>
          <w:rFonts w:ascii="Helvetica Neue" w:cs="Helvetica Neue" w:hAnsi="Helvetica Neue" w:eastAsia="Helvetica Neue"/>
          <w:b w:val="1"/>
          <w:bCs w:val="1"/>
          <w:sz w:val="20"/>
          <w:szCs w:val="20"/>
        </w:rPr>
      </w:pPr>
    </w:p>
    <w:p>
      <w:pPr>
        <w:pStyle w:val="Body A"/>
        <w:widowControl w:val="0"/>
        <w:spacing w:line="240" w:lineRule="auto"/>
        <w:jc w:val="center"/>
        <w:rPr>
          <w:rStyle w:val="None"/>
          <w:rFonts w:ascii="Helvetica Neue" w:cs="Helvetica Neue" w:hAnsi="Helvetica Neue" w:eastAsia="Helvetica Neue"/>
          <w:b w:val="1"/>
          <w:bCs w:val="1"/>
          <w:sz w:val="20"/>
          <w:szCs w:val="20"/>
        </w:rPr>
      </w:pPr>
    </w:p>
    <w:p>
      <w:pPr>
        <w:pStyle w:val="Body A"/>
        <w:spacing w:line="240" w:lineRule="auto"/>
        <w:rPr>
          <w:rStyle w:val="None"/>
          <w:rFonts w:ascii="Helvetica Neue" w:cs="Helvetica Neue" w:hAnsi="Helvetica Neue" w:eastAsia="Helvetica Neue"/>
          <w:b w:val="1"/>
          <w:bCs w:val="1"/>
          <w:i w:val="1"/>
          <w:iCs w:val="1"/>
          <w:sz w:val="16"/>
          <w:szCs w:val="16"/>
        </w:rPr>
      </w:pPr>
    </w:p>
    <w:p>
      <w:pPr>
        <w:pStyle w:val="Body A"/>
        <w:spacing w:line="240" w:lineRule="auto"/>
        <w:rPr>
          <w:rStyle w:val="None"/>
          <w:rFonts w:ascii="Helvetica Neue" w:cs="Helvetica Neue" w:hAnsi="Helvetica Neue" w:eastAsia="Helvetica Neue"/>
          <w:b w:val="1"/>
          <w:bCs w:val="1"/>
          <w:i w:val="1"/>
          <w:iCs w:val="1"/>
          <w:sz w:val="16"/>
          <w:szCs w:val="16"/>
        </w:rPr>
      </w:pPr>
    </w:p>
    <w:p>
      <w:pPr>
        <w:pStyle w:val="Body A"/>
        <w:spacing w:line="240" w:lineRule="auto"/>
        <w:jc w:val="both"/>
        <w:rPr>
          <w:rStyle w:val="None"/>
          <w:rFonts w:ascii="Helvetica Neue" w:cs="Helvetica Neue" w:hAnsi="Helvetica Neue" w:eastAsia="Helvetica Neue"/>
          <w:b w:val="1"/>
          <w:bCs w:val="1"/>
          <w:i w:val="1"/>
          <w:iCs w:val="1"/>
          <w:sz w:val="16"/>
          <w:szCs w:val="16"/>
        </w:rPr>
      </w:pPr>
      <w:r>
        <w:rPr>
          <w:rStyle w:val="None"/>
          <w:rFonts w:ascii="Helvetica Neue" w:hAnsi="Helvetica Neue"/>
          <w:b w:val="1"/>
          <w:bCs w:val="1"/>
          <w:i w:val="1"/>
          <w:iCs w:val="1"/>
          <w:sz w:val="16"/>
          <w:szCs w:val="16"/>
          <w:rtl w:val="0"/>
          <w:lang w:val="en-US"/>
        </w:rPr>
        <w:t>Investing is Risky, No Matter Who You</w:t>
      </w:r>
      <w:r>
        <w:rPr>
          <w:rStyle w:val="None"/>
          <w:rFonts w:ascii="Helvetica Neue" w:hAnsi="Helvetica Neue" w:hint="default"/>
          <w:b w:val="1"/>
          <w:bCs w:val="1"/>
          <w:i w:val="1"/>
          <w:iCs w:val="1"/>
          <w:sz w:val="16"/>
          <w:szCs w:val="16"/>
          <w:rtl w:val="0"/>
          <w:lang w:val="en-US"/>
        </w:rPr>
        <w:t>’</w:t>
      </w:r>
      <w:r>
        <w:rPr>
          <w:rStyle w:val="None"/>
          <w:rFonts w:ascii="Helvetica Neue" w:hAnsi="Helvetica Neue"/>
          <w:b w:val="1"/>
          <w:bCs w:val="1"/>
          <w:i w:val="1"/>
          <w:iCs w:val="1"/>
          <w:sz w:val="16"/>
          <w:szCs w:val="16"/>
          <w:rtl w:val="0"/>
          <w:lang w:val="en-US"/>
        </w:rPr>
        <w:t>re Getting Your Advice From</w:t>
      </w:r>
    </w:p>
    <w:p>
      <w:pPr>
        <w:pStyle w:val="Body A"/>
        <w:spacing w:line="240" w:lineRule="auto"/>
        <w:jc w:val="both"/>
        <w:rPr>
          <w:rStyle w:val="None"/>
          <w:rFonts w:ascii="Helvetica Neue" w:cs="Helvetica Neue" w:hAnsi="Helvetica Neue" w:eastAsia="Helvetica Neue"/>
          <w:i w:val="1"/>
          <w:iCs w:val="1"/>
          <w:sz w:val="16"/>
          <w:szCs w:val="16"/>
        </w:rPr>
      </w:pPr>
      <w:r>
        <w:rPr>
          <w:rStyle w:val="None"/>
          <w:rFonts w:ascii="Helvetica Neue" w:hAnsi="Helvetica Neue"/>
          <w:i w:val="1"/>
          <w:iCs w:val="1"/>
          <w:sz w:val="16"/>
          <w:szCs w:val="16"/>
          <w:rtl w:val="0"/>
          <w:lang w:val="en-US"/>
        </w:rPr>
        <w:t>Taking our advice regarding the investment allocations in your account does not take the risk out of investing, and Katy Song Financial Planning, Inc.  does not guarantee your account</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s performance. KSFP</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s recommendations are based solely on the information you have provided us; if any of the information you provided to KSFP  is or becomes incomplete or inaccurate, our recommendations may not apply to such new circumstances and, as a result, would be less likely to achieve your desired investment strategy. In addition to the below discussion of risks, you should review our Form ADV and Part 2A thereof (the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Brochure</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 including the discussion of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Certain Risk Factors</w:t>
      </w:r>
      <w:r>
        <w:rPr>
          <w:rStyle w:val="None"/>
          <w:rFonts w:ascii="Helvetica Neue" w:hAnsi="Helvetica Neue" w:hint="default"/>
          <w:i w:val="1"/>
          <w:iCs w:val="1"/>
          <w:sz w:val="16"/>
          <w:szCs w:val="16"/>
          <w:rtl w:val="0"/>
          <w:lang w:val="en-US"/>
        </w:rPr>
        <w:t xml:space="preserve">” </w:t>
      </w:r>
      <w:r>
        <w:rPr>
          <w:rStyle w:val="None"/>
          <w:rFonts w:ascii="Helvetica Neue" w:hAnsi="Helvetica Neue"/>
          <w:i w:val="1"/>
          <w:iCs w:val="1"/>
          <w:sz w:val="16"/>
          <w:szCs w:val="16"/>
          <w:rtl w:val="0"/>
          <w:lang w:val="en-US"/>
        </w:rPr>
        <w:t xml:space="preserve">in the Brochure, available </w:t>
      </w:r>
      <w:r>
        <w:rPr>
          <w:rStyle w:val="Hyperlink.1"/>
        </w:rPr>
        <w:fldChar w:fldCharType="begin" w:fldLock="0"/>
      </w:r>
      <w:r>
        <w:rPr>
          <w:rStyle w:val="Hyperlink.1"/>
        </w:rPr>
        <w:instrText xml:space="preserve"> HYPERLINK "https://adviserinfo.sec.gov/firm/summary/158288"</w:instrText>
      </w:r>
      <w:r>
        <w:rPr>
          <w:rStyle w:val="Hyperlink.1"/>
        </w:rPr>
        <w:fldChar w:fldCharType="separate" w:fldLock="0"/>
      </w:r>
      <w:r>
        <w:rPr>
          <w:rStyle w:val="Hyperlink.1"/>
          <w:rtl w:val="0"/>
          <w:lang w:val="en-US"/>
        </w:rPr>
        <w:t>here</w:t>
      </w:r>
      <w:r>
        <w:rPr/>
        <w:fldChar w:fldCharType="end" w:fldLock="0"/>
      </w:r>
      <w:r>
        <w:rPr>
          <w:rStyle w:val="None"/>
          <w:rFonts w:ascii="Helvetica Neue" w:hAnsi="Helvetica Neue"/>
          <w:i w:val="1"/>
          <w:iCs w:val="1"/>
          <w:sz w:val="16"/>
          <w:szCs w:val="16"/>
          <w:rtl w:val="0"/>
          <w:lang w:val="en-US"/>
        </w:rPr>
        <w:t>.</w:t>
      </w:r>
    </w:p>
    <w:p>
      <w:pPr>
        <w:pStyle w:val="Body A"/>
        <w:spacing w:line="240" w:lineRule="auto"/>
        <w:rPr>
          <w:rStyle w:val="None"/>
          <w:rFonts w:ascii="Helvetica Neue" w:cs="Helvetica Neue" w:hAnsi="Helvetica Neue" w:eastAsia="Helvetica Neue"/>
          <w:i w:val="1"/>
          <w:iCs w:val="1"/>
          <w:sz w:val="16"/>
          <w:szCs w:val="16"/>
        </w:rPr>
      </w:pPr>
    </w:p>
    <w:p>
      <w:pPr>
        <w:pStyle w:val="Body A"/>
        <w:spacing w:line="240" w:lineRule="auto"/>
        <w:jc w:val="both"/>
        <w:rPr>
          <w:rStyle w:val="None"/>
          <w:rFonts w:ascii="Helvetica Neue" w:cs="Helvetica Neue" w:hAnsi="Helvetica Neue" w:eastAsia="Helvetica Neue"/>
          <w:i w:val="1"/>
          <w:iCs w:val="1"/>
          <w:sz w:val="16"/>
          <w:szCs w:val="16"/>
        </w:rPr>
      </w:pPr>
      <w:r>
        <w:rPr>
          <w:rStyle w:val="None"/>
          <w:rFonts w:ascii="Helvetica Neue" w:hAnsi="Helvetica Neue"/>
          <w:b w:val="1"/>
          <w:bCs w:val="1"/>
          <w:i w:val="1"/>
          <w:iCs w:val="1"/>
          <w:sz w:val="16"/>
          <w:szCs w:val="16"/>
          <w:rtl w:val="0"/>
          <w:lang w:val="en-US"/>
        </w:rPr>
        <w:t>Tax Planning</w:t>
      </w:r>
    </w:p>
    <w:p>
      <w:pPr>
        <w:pStyle w:val="Body A"/>
        <w:spacing w:line="240" w:lineRule="auto"/>
        <w:jc w:val="both"/>
      </w:pPr>
      <w:r>
        <w:rPr>
          <w:rStyle w:val="None"/>
          <w:rFonts w:ascii="Helvetica Neue" w:hAnsi="Helvetica Neue"/>
          <w:i w:val="1"/>
          <w:iCs w:val="1"/>
          <w:sz w:val="16"/>
          <w:szCs w:val="16"/>
          <w:rtl w:val="0"/>
          <w:lang w:val="en-US"/>
        </w:rPr>
        <w:t>Keep in mind that KSFP, Inc. is not a tax preparation firm. We can give information on how to adjust your withholding, discuss benefits of tax advantaged accounts, and project impacts of certain changes to your financial situation on your tax liability. However, before making any changes you should consult with your tax professional for exact tax advice.</w:t>
      </w:r>
    </w:p>
    <w:sectPr>
      <w:headerReference w:type="default" r:id="rId4"/>
      <w:footerReference w:type="default" r:id="rId5"/>
      <w:pgSz w:w="12240" w:h="15840" w:orient="portrait"/>
      <w:pgMar w:top="1440" w:right="1440" w:bottom="1440" w:left="1440" w:header="432"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rPr>
        <w:outline w:val="0"/>
        <w:color w:val="000000"/>
        <w:u w:color="000000"/>
        <w14:textFill>
          <w14:solidFill>
            <w14:srgbClr w14:val="000000"/>
          </w14:solidFill>
        </w14:textFill>
      </w:rPr>
    </w:pPr>
    <w:r>
      <mc:AlternateContent>
        <mc:Choice Requires="wpg">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231140</wp:posOffset>
              </wp:positionV>
              <wp:extent cx="1700787" cy="1024133"/>
              <wp:effectExtent l="0" t="0" r="0" b="0"/>
              <wp:wrapNone/>
              <wp:docPr id="1073741828" name="officeArt object" descr="Group 159"/>
              <wp:cNvGraphicFramePr/>
              <a:graphic xmlns:a="http://schemas.openxmlformats.org/drawingml/2006/main">
                <a:graphicData uri="http://schemas.microsoft.com/office/word/2010/wordprocessingGroup">
                  <wpg:wgp>
                    <wpg:cNvGrpSpPr/>
                    <wpg:grpSpPr>
                      <a:xfrm>
                        <a:off x="0" y="0"/>
                        <a:ext cx="1700787" cy="1024133"/>
                        <a:chOff x="0" y="-1"/>
                        <a:chExt cx="1700786" cy="1024132"/>
                      </a:xfrm>
                    </wpg:grpSpPr>
                    <wps:wsp>
                      <wps:cNvPr id="1073741825" name="Rectangle 160"/>
                      <wps:cNvSpPr/>
                      <wps:spPr>
                        <a:xfrm>
                          <a:off x="0" y="-1"/>
                          <a:ext cx="1700785" cy="1024133"/>
                        </a:xfrm>
                        <a:prstGeom prst="rect">
                          <a:avLst/>
                        </a:prstGeom>
                        <a:solidFill>
                          <a:srgbClr val="FFFFFF">
                            <a:alpha val="0"/>
                          </a:srgbClr>
                        </a:solidFill>
                        <a:ln w="12700" cap="flat">
                          <a:noFill/>
                          <a:miter lim="400000"/>
                        </a:ln>
                        <a:effectLst/>
                      </wps:spPr>
                      <wps:bodyPr/>
                    </wps:wsp>
                    <wps:wsp>
                      <wps:cNvPr id="1073741826" name="Rectangle 1"/>
                      <wps:cNvSpPr/>
                      <wps:spPr>
                        <a:xfrm>
                          <a:off x="228598" y="-2"/>
                          <a:ext cx="1463046" cy="1014991"/>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0"/>
                              </a:moveTo>
                              <a:lnTo>
                                <a:pt x="21600" y="0"/>
                              </a:lnTo>
                              <a:lnTo>
                                <a:pt x="13443" y="8012"/>
                              </a:lnTo>
                              <a:lnTo>
                                <a:pt x="0" y="21600"/>
                              </a:lnTo>
                              <a:lnTo>
                                <a:pt x="0" y="0"/>
                              </a:lnTo>
                              <a:close/>
                            </a:path>
                          </a:pathLst>
                        </a:custGeom>
                        <a:solidFill>
                          <a:schemeClr val="accent1"/>
                        </a:solidFill>
                        <a:ln w="12700" cap="flat">
                          <a:noFill/>
                          <a:miter lim="400000"/>
                        </a:ln>
                        <a:effectLst/>
                      </wps:spPr>
                      <wps:bodyPr/>
                    </wps:wsp>
                    <wps:wsp>
                      <wps:cNvPr id="1073741827" name="Rectangle 162"/>
                      <wps:cNvSpPr/>
                      <wps:spPr>
                        <a:xfrm>
                          <a:off x="228599" y="-1"/>
                          <a:ext cx="1472188" cy="1024133"/>
                        </a:xfrm>
                        <a:prstGeom prst="rect">
                          <a:avLst/>
                        </a:prstGeom>
                        <a:blipFill rotWithShape="1">
                          <a:blip r:embed="rId1"/>
                          <a:srcRect l="0" t="0" r="0" b="0"/>
                          <a:stretch>
                            <a:fillRect/>
                          </a:stretch>
                        </a:blipFill>
                        <a:ln w="12700" cap="flat">
                          <a:noFill/>
                          <a:miter lim="400000"/>
                        </a:ln>
                        <a:effectLst/>
                      </wps:spPr>
                      <wps:bodyPr/>
                    </wps:wsp>
                  </wpg:wgp>
                </a:graphicData>
              </a:graphic>
            </wp:anchor>
          </w:drawing>
        </mc:Choice>
        <mc:Fallback>
          <w:pict>
            <v:group id="_x0000_s1026" style="visibility:visible;position:absolute;margin-left:0.0pt;margin-top:18.2pt;width:133.9pt;height:80.6pt;z-index:-251658240;mso-position-horizontal:absolute;mso-position-horizontal-relative:page;mso-position-vertical:absolute;mso-position-vertical-relative:page;mso-wrap-distance-left:12.0pt;mso-wrap-distance-top:12.0pt;mso-wrap-distance-right:12.0pt;mso-wrap-distance-bottom:12.0pt;" coordorigin="0,-1" coordsize="1700786,1024132">
              <w10:wrap type="none" side="bothSides" anchorx="page" anchory="page"/>
              <v:rect id="_x0000_s1027" style="position:absolute;left:0;top:-1;width:1700785;height:1024132;">
                <v:fill color="#FFFFFF" opacity="0.0%" type="solid"/>
                <v:stroke on="f" weight="1.0pt" dashstyle="solid" endcap="flat" miterlimit="400.0%" joinstyle="miter" linestyle="single" startarrow="none" startarrowwidth="medium" startarrowlength="medium" endarrow="none" endarrowwidth="medium" endarrowlength="medium"/>
              </v:rect>
              <v:shape id="_x0000_s1028" style="position:absolute;left:228598;top:-1;width:1463046;height:1014990;" coordorigin="0,0" coordsize="21600,21600" path="M 0,0 L 21600,0 L 13443,8012 L 0,21600 L 0,0 X E">
                <v:fill color="#4F81BD" opacity="100.0%" type="solid"/>
                <v:stroke on="f" weight="1.0pt" dashstyle="solid" endcap="flat" miterlimit="400.0%" joinstyle="miter" linestyle="single" startarrow="none" startarrowwidth="medium" startarrowlength="medium" endarrow="none" endarrowwidth="medium" endarrowlength="medium"/>
              </v:shape>
              <v:rect id="_x0000_s1029" style="position:absolute;left:228599;top:-1;width:1472187;height:1024132;">
                <v:fill r:id="rId1" o:title="image1.png" rotate="t" type="frame"/>
                <v:stroke on="f" weight="1.0pt" dashstyle="solid" endcap="flat" miterlimit="400.0%" joinstyle="miter" linestyle="single" startarrow="none" startarrowwidth="medium" startarrowlength="medium" endarrow="none" endarrowwidth="medium" endarrowlength="medium"/>
              </v:rect>
            </v:group>
          </w:pict>
        </mc:Fallback>
      </mc:AlternateContent>
    </w:r>
    <w:r>
      <w:rPr>
        <w:rtl w:val="0"/>
        <w:lang w:val="en-US"/>
      </w:rPr>
      <w:t xml:space="preserve">              </w:t>
    </w:r>
    <w:r>
      <w:rPr>
        <w:outline w:val="0"/>
        <w:color w:val="000000"/>
        <w:sz w:val="28"/>
        <w:szCs w:val="28"/>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Prepared by:                   Prepared for:                   Date:</w:t>
    </w:r>
  </w:p>
  <w:p>
    <w:pPr>
      <w:pStyle w:val="Header &amp; Footer A"/>
    </w:pPr>
    <w:r>
      <w:rPr>
        <w:outline w:val="0"/>
        <w:color w:val="000000"/>
        <w:u w:color="000000"/>
        <w:rtl w:val="0"/>
        <w:lang w:val="en-US"/>
        <w14:textFill>
          <w14:solidFill>
            <w14:srgbClr w14:val="000000"/>
          </w14:solidFill>
        </w14:textFill>
      </w:rPr>
      <w:t xml:space="preserve">                             Katy Song, CFP</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First/Last Name            April 2025</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A">
    <w:name w:val="Header &amp; Footer A"/>
    <w:next w:val="Header &amp; Footer A"/>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w:hAnsi="Arial" w:eastAsia="Arial"/>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1155cc"/>
      <w:u w:val="single" w:color="1155cc"/>
      <w:shd w:val="nil" w:color="auto" w:fill="auto"/>
      <w:lang w:val="en-US"/>
      <w14:textFill>
        <w14:solidFill>
          <w14:srgbClr w14:val="1155CC"/>
        </w14:solidFill>
      </w14:textFill>
    </w:rPr>
  </w:style>
  <w:style w:type="character" w:styleId="Hyperlink.1">
    <w:name w:val="Hyperlink.1"/>
    <w:basedOn w:val="None"/>
    <w:next w:val="Hyperlink.1"/>
    <w:rPr>
      <w:rFonts w:ascii="Helvetica Neue" w:cs="Helvetica Neue" w:hAnsi="Helvetica Neue" w:eastAsia="Helvetica Neue"/>
      <w:i w:val="1"/>
      <w:iCs w:val="1"/>
      <w:outline w:val="0"/>
      <w:color w:val="1155cc"/>
      <w:sz w:val="16"/>
      <w:szCs w:val="16"/>
      <w:u w:val="single" w:color="1155cc"/>
      <w14:textFill>
        <w14:solidFill>
          <w14:srgbClr w14:val="1155C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