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58CA2" w14:textId="77777777" w:rsidR="003554B3" w:rsidRDefault="00000000">
      <w:pPr>
        <w:spacing w:after="80"/>
      </w:pPr>
      <w:r>
        <w:rPr>
          <w:b/>
          <w:bCs/>
          <w:color w:val="1F3864"/>
          <w:sz w:val="44"/>
          <w:szCs w:val="44"/>
        </w:rPr>
        <w:t>Does the market price the Fed’s own rule?</w:t>
      </w:r>
    </w:p>
    <w:p w14:paraId="6F0107DA" w14:textId="77777777" w:rsidR="003554B3" w:rsidRDefault="00000000">
      <w:pPr>
        <w:pBdr>
          <w:bottom w:val="single" w:sz="12" w:space="8" w:color="1F3864"/>
        </w:pBdr>
        <w:spacing w:after="120"/>
      </w:pPr>
      <w:r>
        <w:rPr>
          <w:color w:val="595959"/>
          <w:sz w:val="26"/>
          <w:szCs w:val="26"/>
        </w:rPr>
        <w:t>USD and GBP policy paths, 2014–2026</w:t>
      </w:r>
    </w:p>
    <w:p w14:paraId="159730B5" w14:textId="77777777" w:rsidR="003554B3" w:rsidRDefault="00000000">
      <w:pPr>
        <w:pStyle w:val="Heading1"/>
        <w:spacing w:before="240" w:after="120"/>
      </w:pPr>
      <w:r>
        <w:t>Summary</w:t>
      </w:r>
    </w:p>
    <w:p w14:paraId="643442A1" w14:textId="77777777" w:rsidR="006A30CA" w:rsidRDefault="00000000">
      <w:r>
        <w:t>Is the market pricing the Fed’s own rule? No. In USD, in every year since 2014, the market has priced the Fed 25 to 86 bp easier than its own rule about five months out, or one to three and a half quarter-point moves. When the two disagreed, the Fed tended to move toward the market.</w:t>
      </w:r>
    </w:p>
    <w:p w14:paraId="43ED0124" w14:textId="77777777" w:rsidR="003554B3" w:rsidRDefault="00000000">
      <w:r>
        <w:t>Even so, the gap is not a tradable signal. Once that gap is standardized (z), it does not forecast rate changes in USD, and points the wrong way there. In GBP, where the same rule is applied to UK inputs, the story is different: it does forecast them, but the gains are concentrated in one window (2022–2023). The book’s rate calls earned on balance, but not enough to pay for carry and roll, so it loses money before costs. About half of the costs are upkeep rather than the signal: rolling each position to a new contract as meetings pass, and re-striking (resetting) the curve trades’ bond legs each quarter.</w:t>
      </w:r>
    </w:p>
    <w:p w14:paraId="76519612" w14:textId="67783834" w:rsidR="003554B3" w:rsidRDefault="00000000">
      <w:r>
        <w:t>For each currency I measure the path the market was pricing against the path the rule gives. The difference (the gap) is taken at the 4</w:t>
      </w:r>
      <w:r>
        <w:rPr>
          <w:vertAlign w:val="superscript"/>
        </w:rPr>
        <w:t>th</w:t>
      </w:r>
      <w:r>
        <w:t xml:space="preserve"> meeting ahead for each central bank, about five months out, and standardized as a z-score on a trailing 2-year window after a year of history. The z is scored by its rank correlation (IC) with the change in the rate the book trades over the next 5, 21 and 63 sessions (about a week, a month, and a quarter), outside the effective lower bound (ELB), when the policy rate and the rule are both at the floor.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54B3" w14:paraId="4D418604" w14:textId="77777777">
        <w:trPr>
          <w:cantSplit/>
        </w:trPr>
        <w:tc>
          <w:tcPr>
            <w:tcW w:w="9360" w:type="dxa"/>
            <w:tcBorders>
              <w:top w:val="none" w:sz="0" w:space="0" w:color="FFFFFF"/>
              <w:left w:val="single" w:sz="24" w:space="0" w:color="1F3864"/>
              <w:bottom w:val="none" w:sz="0" w:space="0" w:color="FFFFFF"/>
              <w:right w:val="none" w:sz="0" w:space="0" w:color="FFFFFF"/>
            </w:tcBorders>
            <w:shd w:val="clear" w:color="auto" w:fill="F7F9FC"/>
            <w:tcMar>
              <w:top w:w="140" w:type="dxa"/>
              <w:left w:w="220" w:type="dxa"/>
              <w:bottom w:w="80" w:type="dxa"/>
              <w:right w:w="220" w:type="dxa"/>
            </w:tcMar>
          </w:tcPr>
          <w:p w14:paraId="32F72222" w14:textId="77777777" w:rsidR="003554B3" w:rsidRDefault="00000000">
            <w:pPr>
              <w:spacing w:after="100"/>
            </w:pPr>
            <w:r>
              <w:rPr>
                <w:b/>
                <w:bCs/>
                <w:color w:val="1F3864"/>
                <w:sz w:val="22"/>
                <w:szCs w:val="22"/>
              </w:rPr>
              <w:t>Four findings</w:t>
            </w:r>
          </w:p>
          <w:p w14:paraId="4DE533EA" w14:textId="77777777" w:rsidR="003554B3" w:rsidRDefault="00000000">
            <w:pPr>
              <w:pStyle w:val="ListParagraph"/>
              <w:numPr>
                <w:ilvl w:val="0"/>
                <w:numId w:val="2"/>
              </w:numPr>
              <w:spacing w:after="80"/>
            </w:pPr>
            <w:r>
              <w:rPr>
                <w:b/>
                <w:bCs/>
                <w:color w:val="1F3864"/>
              </w:rPr>
              <w:t xml:space="preserve">The level. </w:t>
            </w:r>
            <w:r>
              <w:t>The market prices the policy path persistently below the Fed’s own published rule: in USD, this is in every one of the 13 years, by 25 to 86 bp at the 4</w:t>
            </w:r>
            <w:r>
              <w:rPr>
                <w:vertAlign w:val="superscript"/>
              </w:rPr>
              <w:t>th</w:t>
            </w:r>
            <w:r>
              <w:t xml:space="preserve"> meeting. That is one to three and a half quarter-point moves less tightening than the rule.</w:t>
            </w:r>
          </w:p>
          <w:p w14:paraId="6D056F5F" w14:textId="4427258D" w:rsidR="003554B3" w:rsidRDefault="00000000">
            <w:pPr>
              <w:pStyle w:val="ListParagraph"/>
              <w:numPr>
                <w:ilvl w:val="0"/>
                <w:numId w:val="2"/>
              </w:numPr>
              <w:spacing w:after="80"/>
            </w:pPr>
            <w:r>
              <w:rPr>
                <w:b/>
                <w:bCs/>
                <w:color w:val="1F3864"/>
              </w:rPr>
              <w:t xml:space="preserve">The signal. </w:t>
            </w:r>
            <w:r>
              <w:t>The gap does not forecast at the book level, and in USD it points the wrong way (</w:t>
            </w:r>
            <w:proofErr w:type="gramStart"/>
            <w:r>
              <w:t>IC(</w:t>
            </w:r>
            <w:proofErr w:type="gramEnd"/>
            <w:r>
              <w:t>21) −0.12): the side z picked tended to lose on the rate over the next month. When the two disagreed, the policy rate moved toward the market, and the FOMC’s dots moved about two-thirds of the way toward the market within a quarter.</w:t>
            </w:r>
          </w:p>
          <w:p w14:paraId="048E87C7" w14:textId="77777777" w:rsidR="003554B3" w:rsidRDefault="00000000">
            <w:pPr>
              <w:pStyle w:val="ListParagraph"/>
              <w:numPr>
                <w:ilvl w:val="0"/>
                <w:numId w:val="2"/>
              </w:numPr>
              <w:spacing w:after="80"/>
            </w:pPr>
            <w:r>
              <w:rPr>
                <w:b/>
                <w:bCs/>
                <w:color w:val="1F3864"/>
              </w:rPr>
              <w:t xml:space="preserve">GBP is the exception. </w:t>
            </w:r>
            <w:r>
              <w:t>GBP outright forecasts (IC(21) +0.38) and earns (net Sharpe ratio +0.50), but outside 2022–2023 it nets +0.04, and it depends on an r* fixed with hindsight, so I do not claim it as a tradable signal.</w:t>
            </w:r>
          </w:p>
          <w:p w14:paraId="6AFB7EEF" w14:textId="77777777" w:rsidR="003554B3" w:rsidRDefault="00000000">
            <w:pPr>
              <w:pStyle w:val="ListParagraph"/>
              <w:numPr>
                <w:ilvl w:val="0"/>
                <w:numId w:val="2"/>
              </w:numPr>
              <w:spacing w:after="80"/>
            </w:pPr>
            <w:r>
              <w:rPr>
                <w:b/>
                <w:bCs/>
                <w:color w:val="1F3864"/>
              </w:rPr>
              <w:t xml:space="preserve">The costs. </w:t>
            </w:r>
            <w:r>
              <w:t>The rate calls earned 1.36% of capital a year, but carry and roll cost 2.08% and trading 2.47%, so the book loses before costs (Sharpe ratio −0.14) and after (−0.60). Maintenance (rolls and re-strikes) is 46% of the cost; rolls alone, which are forced by trading the 4</w:t>
            </w:r>
            <w:r>
              <w:rPr>
                <w:vertAlign w:val="superscript"/>
              </w:rPr>
              <w:t>th</w:t>
            </w:r>
            <w:r>
              <w:t xml:space="preserve"> meeting ahead, are 33%. Neither the carry filter nor any single choice in the robustness grid turns it positive.</w:t>
            </w:r>
          </w:p>
        </w:tc>
      </w:tr>
    </w:tbl>
    <w:p w14:paraId="65BF3692" w14:textId="77777777" w:rsidR="003554B3" w:rsidRDefault="00000000">
      <w:pPr>
        <w:pStyle w:val="Heading1"/>
        <w:pageBreakBefore/>
        <w:numPr>
          <w:ilvl w:val="0"/>
          <w:numId w:val="3"/>
        </w:numPr>
      </w:pPr>
      <w:r>
        <w:lastRenderedPageBreak/>
        <w:t>Why this question</w:t>
      </w:r>
    </w:p>
    <w:p w14:paraId="739D6730" w14:textId="77777777" w:rsidR="003554B3" w:rsidRDefault="00000000">
      <w:r>
        <w:t xml:space="preserve">The reference path is the Fed’s own published rule (in its Monetary Policy Report), so there are no free parameters to tune and it’s auditable. The Bank of England publishes no such rule, and for GBP, the same rule was applied to UK inputs. </w:t>
      </w:r>
    </w:p>
    <w:p w14:paraId="788C88B5" w14:textId="77777777" w:rsidR="003554B3" w:rsidRDefault="00000000">
      <w:r>
        <w:t>There is significant value in testing a rule of this nature. If the market ignored a rule the Fed itself publishes, that would say something about how much the rule guides policy. The answer runs the other way: the gap closes because the Fed moves toward the market.</w:t>
      </w:r>
    </w:p>
    <w:p w14:paraId="426573BA" w14:textId="77777777" w:rsidR="003554B3" w:rsidRDefault="00000000">
      <w:pPr>
        <w:pStyle w:val="Heading1"/>
        <w:numPr>
          <w:ilvl w:val="0"/>
          <w:numId w:val="3"/>
        </w:numPr>
      </w:pPr>
      <w:r>
        <w:t>Definitions</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100"/>
        <w:gridCol w:w="7260"/>
      </w:tblGrid>
      <w:tr w:rsidR="003554B3" w14:paraId="73191E87" w14:textId="77777777">
        <w:trPr>
          <w:cantSplit/>
          <w:tblHeader/>
        </w:trPr>
        <w:tc>
          <w:tcPr>
            <w:tcW w:w="2100" w:type="dxa"/>
            <w:tcBorders>
              <w:top w:val="none" w:sz="0" w:space="0" w:color="FFFFFF"/>
              <w:left w:val="none" w:sz="0" w:space="0" w:color="FFFFFF"/>
              <w:bottom w:val="single" w:sz="2" w:space="0" w:color="BFC9D6"/>
              <w:right w:val="none" w:sz="0" w:space="0" w:color="FFFFFF"/>
            </w:tcBorders>
            <w:shd w:val="clear" w:color="auto" w:fill="1F3864"/>
            <w:tcMar>
              <w:top w:w="70" w:type="dxa"/>
              <w:left w:w="110" w:type="dxa"/>
              <w:bottom w:w="70" w:type="dxa"/>
              <w:right w:w="110" w:type="dxa"/>
            </w:tcMar>
            <w:vAlign w:val="center"/>
          </w:tcPr>
          <w:p w14:paraId="491576AB" w14:textId="77777777" w:rsidR="003554B3" w:rsidRDefault="00000000">
            <w:pPr>
              <w:spacing w:after="0" w:line="240" w:lineRule="auto"/>
            </w:pPr>
            <w:r>
              <w:rPr>
                <w:b/>
                <w:bCs/>
                <w:color w:val="FFFFFF"/>
                <w:sz w:val="18"/>
                <w:szCs w:val="18"/>
              </w:rPr>
              <w:t>Term</w:t>
            </w:r>
          </w:p>
        </w:tc>
        <w:tc>
          <w:tcPr>
            <w:tcW w:w="7260" w:type="dxa"/>
            <w:tcBorders>
              <w:top w:val="none" w:sz="0" w:space="0" w:color="FFFFFF"/>
              <w:left w:val="none" w:sz="0" w:space="0" w:color="FFFFFF"/>
              <w:bottom w:val="single" w:sz="2" w:space="0" w:color="BFC9D6"/>
              <w:right w:val="none" w:sz="0" w:space="0" w:color="FFFFFF"/>
            </w:tcBorders>
            <w:shd w:val="clear" w:color="auto" w:fill="1F3864"/>
            <w:tcMar>
              <w:top w:w="70" w:type="dxa"/>
              <w:left w:w="110" w:type="dxa"/>
              <w:bottom w:w="70" w:type="dxa"/>
              <w:right w:w="110" w:type="dxa"/>
            </w:tcMar>
            <w:vAlign w:val="center"/>
          </w:tcPr>
          <w:p w14:paraId="57765EA1" w14:textId="77777777" w:rsidR="003554B3" w:rsidRDefault="00000000">
            <w:pPr>
              <w:spacing w:after="0" w:line="240" w:lineRule="auto"/>
            </w:pPr>
            <w:r>
              <w:rPr>
                <w:b/>
                <w:bCs/>
                <w:color w:val="FFFFFF"/>
                <w:sz w:val="18"/>
                <w:szCs w:val="18"/>
              </w:rPr>
              <w:t>Definition</w:t>
            </w:r>
          </w:p>
        </w:tc>
      </w:tr>
      <w:tr w:rsidR="003554B3" w14:paraId="7D00F85F" w14:textId="77777777">
        <w:trPr>
          <w:cantSplit/>
        </w:trPr>
        <w:tc>
          <w:tcPr>
            <w:tcW w:w="210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25B50B4B" w14:textId="77777777" w:rsidR="003554B3" w:rsidRDefault="00000000">
            <w:pPr>
              <w:spacing w:after="0" w:line="240" w:lineRule="auto"/>
            </w:pPr>
            <w:r>
              <w:rPr>
                <w:b/>
                <w:bCs/>
                <w:color w:val="1F3864"/>
                <w:sz w:val="18"/>
                <w:szCs w:val="18"/>
              </w:rPr>
              <w:t>USD r*</w:t>
            </w:r>
          </w:p>
        </w:tc>
        <w:tc>
          <w:tcPr>
            <w:tcW w:w="726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2D7F0574" w14:textId="77777777" w:rsidR="003554B3" w:rsidRDefault="00000000">
            <w:pPr>
              <w:spacing w:after="0" w:line="240" w:lineRule="auto"/>
            </w:pPr>
            <w:r>
              <w:rPr>
                <w:sz w:val="18"/>
                <w:szCs w:val="18"/>
              </w:rPr>
              <w:t>SEP (Summary of Economic Projections) longer run median; Taylor’s 2% before the first SEP (226 Sessions)</w:t>
            </w:r>
          </w:p>
        </w:tc>
      </w:tr>
      <w:tr w:rsidR="003554B3" w14:paraId="05404C9E" w14:textId="77777777">
        <w:trPr>
          <w:cantSplit/>
        </w:trPr>
        <w:tc>
          <w:tcPr>
            <w:tcW w:w="210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29454E6C" w14:textId="77777777" w:rsidR="003554B3" w:rsidRDefault="00000000">
            <w:pPr>
              <w:spacing w:after="0" w:line="240" w:lineRule="auto"/>
            </w:pPr>
            <w:r>
              <w:rPr>
                <w:b/>
                <w:bCs/>
                <w:color w:val="1F3864"/>
                <w:sz w:val="18"/>
                <w:szCs w:val="18"/>
              </w:rPr>
              <w:t>GBP r*</w:t>
            </w:r>
          </w:p>
        </w:tc>
        <w:tc>
          <w:tcPr>
            <w:tcW w:w="726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62DE4D17" w14:textId="77777777" w:rsidR="003554B3" w:rsidRDefault="00000000">
            <w:pPr>
              <w:spacing w:after="0" w:line="240" w:lineRule="auto"/>
            </w:pPr>
            <w:r>
              <w:rPr>
                <w:sz w:val="18"/>
                <w:szCs w:val="18"/>
              </w:rPr>
              <w:t>Constant −1.6% which is the average real Bank Rate from 2009–2026. A hindsight number. It moves the bp gap and mostly leaves z unchanged, except near the floor</w:t>
            </w:r>
          </w:p>
        </w:tc>
      </w:tr>
      <w:tr w:rsidR="003554B3" w14:paraId="4D36A9A6" w14:textId="77777777">
        <w:trPr>
          <w:cantSplit/>
        </w:trPr>
        <w:tc>
          <w:tcPr>
            <w:tcW w:w="210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0EC7F409" w14:textId="77777777" w:rsidR="003554B3" w:rsidRDefault="00000000">
            <w:pPr>
              <w:spacing w:after="0" w:line="240" w:lineRule="auto"/>
            </w:pPr>
            <w:r>
              <w:rPr>
                <w:b/>
                <w:bCs/>
                <w:color w:val="1F3864"/>
                <w:sz w:val="18"/>
                <w:szCs w:val="18"/>
              </w:rPr>
              <w:t>z</w:t>
            </w:r>
          </w:p>
        </w:tc>
        <w:tc>
          <w:tcPr>
            <w:tcW w:w="726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27E9BE4F" w14:textId="77777777" w:rsidR="003554B3" w:rsidRDefault="00000000">
            <w:pPr>
              <w:spacing w:after="0" w:line="240" w:lineRule="auto"/>
            </w:pPr>
            <w:r>
              <w:rPr>
                <w:sz w:val="18"/>
                <w:szCs w:val="18"/>
              </w:rPr>
              <w:t>The gap (market minus rule) at the 4th meeting ahead, standardized against its trailing 2-year window after 1 year of history</w:t>
            </w:r>
          </w:p>
        </w:tc>
      </w:tr>
      <w:tr w:rsidR="003554B3" w14:paraId="4B52B96B" w14:textId="77777777">
        <w:trPr>
          <w:cantSplit/>
        </w:trPr>
        <w:tc>
          <w:tcPr>
            <w:tcW w:w="210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4517340C" w14:textId="77777777" w:rsidR="003554B3" w:rsidRDefault="00000000">
            <w:pPr>
              <w:spacing w:after="0" w:line="240" w:lineRule="auto"/>
            </w:pPr>
            <w:r>
              <w:rPr>
                <w:b/>
                <w:bCs/>
                <w:color w:val="1F3864"/>
                <w:sz w:val="18"/>
                <w:szCs w:val="18"/>
              </w:rPr>
              <w:t>IC</w:t>
            </w:r>
          </w:p>
        </w:tc>
        <w:tc>
          <w:tcPr>
            <w:tcW w:w="726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26349C09" w14:textId="795E9D23" w:rsidR="003554B3" w:rsidRDefault="00000000">
            <w:pPr>
              <w:spacing w:after="0" w:line="240" w:lineRule="auto"/>
            </w:pPr>
            <w:r>
              <w:rPr>
                <w:sz w:val="18"/>
                <w:szCs w:val="18"/>
              </w:rPr>
              <w:t>Rank correlation of z with the change in the rate the sleeve trades over the next h sessions (5, 21, 63), after the one-session execution lag, outside the ELB State. The change is what it earns a unit receive position, carry and roll left out, so IC is signed in the trade's direction: positive means the rate moved the way the trade bet.</w:t>
            </w:r>
          </w:p>
        </w:tc>
      </w:tr>
      <w:tr w:rsidR="003554B3" w14:paraId="463BE128" w14:textId="77777777">
        <w:trPr>
          <w:cantSplit/>
        </w:trPr>
        <w:tc>
          <w:tcPr>
            <w:tcW w:w="210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3FA027E5" w14:textId="77777777" w:rsidR="003554B3" w:rsidRDefault="00000000">
            <w:pPr>
              <w:spacing w:after="0" w:line="240" w:lineRule="auto"/>
            </w:pPr>
            <w:r>
              <w:rPr>
                <w:b/>
                <w:bCs/>
                <w:color w:val="1F3864"/>
                <w:sz w:val="18"/>
                <w:szCs w:val="18"/>
              </w:rPr>
              <w:t>ELB State</w:t>
            </w:r>
          </w:p>
        </w:tc>
        <w:tc>
          <w:tcPr>
            <w:tcW w:w="726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7E2756DA" w14:textId="77777777" w:rsidR="003554B3" w:rsidRDefault="00000000">
            <w:pPr>
              <w:spacing w:after="0" w:line="240" w:lineRule="auto"/>
            </w:pPr>
            <w:r>
              <w:rPr>
                <w:sz w:val="18"/>
                <w:szCs w:val="18"/>
              </w:rPr>
              <w:t>Effective lower bound: the policy rate and the rule both at the floor. The book is flat there</w:t>
            </w:r>
          </w:p>
        </w:tc>
      </w:tr>
      <w:tr w:rsidR="003554B3" w14:paraId="2E3E6E2F" w14:textId="77777777">
        <w:trPr>
          <w:cantSplit/>
        </w:trPr>
        <w:tc>
          <w:tcPr>
            <w:tcW w:w="210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02398E08" w14:textId="77777777" w:rsidR="003554B3" w:rsidRDefault="00000000">
            <w:pPr>
              <w:spacing w:after="0" w:line="240" w:lineRule="auto"/>
            </w:pPr>
            <w:r>
              <w:rPr>
                <w:b/>
                <w:bCs/>
                <w:color w:val="1F3864"/>
                <w:sz w:val="18"/>
                <w:szCs w:val="18"/>
              </w:rPr>
              <w:t>Hysteresis Rule</w:t>
            </w:r>
          </w:p>
        </w:tc>
        <w:tc>
          <w:tcPr>
            <w:tcW w:w="726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750A7BDB" w14:textId="77777777" w:rsidR="003554B3" w:rsidRDefault="00000000">
            <w:pPr>
              <w:spacing w:after="0" w:line="240" w:lineRule="auto"/>
            </w:pPr>
            <w:r>
              <w:rPr>
                <w:sz w:val="18"/>
                <w:szCs w:val="18"/>
              </w:rPr>
              <w:t>Enter at |z| ≥ 1, exit at 0; fixed before results</w:t>
            </w:r>
          </w:p>
        </w:tc>
      </w:tr>
      <w:tr w:rsidR="003554B3" w14:paraId="633A618E" w14:textId="77777777">
        <w:trPr>
          <w:cantSplit/>
        </w:trPr>
        <w:tc>
          <w:tcPr>
            <w:tcW w:w="210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2C15C197" w14:textId="77777777" w:rsidR="006A30CA" w:rsidRDefault="00000000">
            <w:pPr>
              <w:spacing w:after="0" w:line="240" w:lineRule="auto"/>
            </w:pPr>
            <w:r>
              <w:rPr>
                <w:b/>
                <w:bCs/>
                <w:color w:val="1F3864"/>
                <w:sz w:val="18"/>
                <w:szCs w:val="18"/>
              </w:rPr>
              <w:t>Book</w:t>
            </w:r>
          </w:p>
        </w:tc>
        <w:tc>
          <w:tcPr>
            <w:tcW w:w="726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59B08064" w14:textId="77777777" w:rsidR="006A30CA" w:rsidRDefault="00000000">
            <w:pPr>
              <w:spacing w:after="0" w:line="240" w:lineRule="auto"/>
            </w:pPr>
            <w:r>
              <w:rPr>
                <w:sz w:val="18"/>
                <w:szCs w:val="18"/>
              </w:rPr>
              <w:t>The sleeves held together as one portfolio</w:t>
            </w:r>
          </w:p>
        </w:tc>
      </w:tr>
      <w:tr w:rsidR="003554B3" w14:paraId="58632142" w14:textId="77777777">
        <w:trPr>
          <w:cantSplit/>
        </w:trPr>
        <w:tc>
          <w:tcPr>
            <w:tcW w:w="210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51BD6DA2" w14:textId="77777777" w:rsidR="003554B3" w:rsidRDefault="00000000">
            <w:pPr>
              <w:spacing w:after="0" w:line="240" w:lineRule="auto"/>
            </w:pPr>
            <w:r>
              <w:rPr>
                <w:b/>
                <w:bCs/>
                <w:color w:val="1F3864"/>
                <w:sz w:val="18"/>
                <w:szCs w:val="18"/>
              </w:rPr>
              <w:t>Book Construction</w:t>
            </w:r>
          </w:p>
        </w:tc>
        <w:tc>
          <w:tcPr>
            <w:tcW w:w="726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6B23D304" w14:textId="77777777" w:rsidR="003554B3" w:rsidRDefault="00000000">
            <w:pPr>
              <w:spacing w:after="0" w:line="240" w:lineRule="auto"/>
            </w:pPr>
            <w:r>
              <w:rPr>
                <w:sz w:val="18"/>
                <w:szCs w:val="18"/>
              </w:rPr>
              <w:t>Inverse-vol weights, shrunk covariance, 5% vol target on the whole book, no drawdown control</w:t>
            </w:r>
          </w:p>
        </w:tc>
      </w:tr>
      <w:tr w:rsidR="003554B3" w14:paraId="5F3179EC" w14:textId="77777777">
        <w:trPr>
          <w:cantSplit/>
        </w:trPr>
        <w:tc>
          <w:tcPr>
            <w:tcW w:w="210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6DFFD4E3" w14:textId="77777777" w:rsidR="006A30CA" w:rsidRDefault="00000000">
            <w:pPr>
              <w:spacing w:after="0" w:line="240" w:lineRule="auto"/>
            </w:pPr>
            <w:r>
              <w:rPr>
                <w:b/>
                <w:bCs/>
                <w:color w:val="1F3864"/>
                <w:sz w:val="18"/>
                <w:szCs w:val="18"/>
              </w:rPr>
              <w:t>Roll</w:t>
            </w:r>
          </w:p>
        </w:tc>
        <w:tc>
          <w:tcPr>
            <w:tcW w:w="726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0A970899" w14:textId="77777777" w:rsidR="006A30CA" w:rsidRDefault="00000000">
            <w:pPr>
              <w:spacing w:after="0" w:line="240" w:lineRule="auto"/>
            </w:pPr>
            <w:r>
              <w:rPr>
                <w:sz w:val="18"/>
                <w:szCs w:val="18"/>
              </w:rPr>
              <w:t>Moving an outright position to the new fourth-meeting contract each time a meeting passes</w:t>
            </w:r>
          </w:p>
        </w:tc>
      </w:tr>
      <w:tr w:rsidR="003554B3" w14:paraId="765E57EE" w14:textId="77777777">
        <w:trPr>
          <w:cantSplit/>
        </w:trPr>
        <w:tc>
          <w:tcPr>
            <w:tcW w:w="210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081F3040" w14:textId="77777777" w:rsidR="006A30CA" w:rsidRDefault="00000000">
            <w:pPr>
              <w:spacing w:after="0" w:line="240" w:lineRule="auto"/>
            </w:pPr>
            <w:r>
              <w:rPr>
                <w:b/>
                <w:bCs/>
                <w:color w:val="1F3864"/>
                <w:sz w:val="18"/>
                <w:szCs w:val="18"/>
              </w:rPr>
              <w:t>Re-strike</w:t>
            </w:r>
          </w:p>
        </w:tc>
        <w:tc>
          <w:tcPr>
            <w:tcW w:w="726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2F8AAEBD" w14:textId="77777777" w:rsidR="006A30CA" w:rsidRDefault="00000000">
            <w:pPr>
              <w:spacing w:after="0" w:line="240" w:lineRule="auto"/>
            </w:pPr>
            <w:r>
              <w:rPr>
                <w:sz w:val="18"/>
                <w:szCs w:val="18"/>
              </w:rPr>
              <w:t>Replacing the par bond legs of the curve and cross sleeves with new par bonds each quarter</w:t>
            </w:r>
          </w:p>
        </w:tc>
      </w:tr>
      <w:tr w:rsidR="003554B3" w14:paraId="4173DB62" w14:textId="77777777">
        <w:trPr>
          <w:cantSplit/>
        </w:trPr>
        <w:tc>
          <w:tcPr>
            <w:tcW w:w="210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1C604C69" w14:textId="77777777" w:rsidR="006A30CA" w:rsidRDefault="00000000">
            <w:pPr>
              <w:spacing w:after="0" w:line="240" w:lineRule="auto"/>
            </w:pPr>
            <w:r>
              <w:rPr>
                <w:b/>
                <w:bCs/>
                <w:color w:val="1F3864"/>
                <w:sz w:val="18"/>
                <w:szCs w:val="18"/>
              </w:rPr>
              <w:t>Carry and roll</w:t>
            </w:r>
          </w:p>
        </w:tc>
        <w:tc>
          <w:tcPr>
            <w:tcW w:w="726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356010DE" w14:textId="77777777" w:rsidR="006A30CA" w:rsidRDefault="00000000">
            <w:pPr>
              <w:spacing w:after="0" w:line="240" w:lineRule="auto"/>
            </w:pPr>
            <w:r>
              <w:rPr>
                <w:sz w:val="18"/>
                <w:szCs w:val="18"/>
              </w:rPr>
              <w:t>What a position earns over a period if the curve does not move</w:t>
            </w:r>
          </w:p>
        </w:tc>
      </w:tr>
      <w:tr w:rsidR="003554B3" w14:paraId="53C5A856" w14:textId="77777777">
        <w:trPr>
          <w:cantSplit/>
        </w:trPr>
        <w:tc>
          <w:tcPr>
            <w:tcW w:w="210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14B40410" w14:textId="77777777" w:rsidR="003554B3" w:rsidRDefault="00000000">
            <w:pPr>
              <w:spacing w:after="0" w:line="240" w:lineRule="auto"/>
            </w:pPr>
            <w:r>
              <w:rPr>
                <w:b/>
                <w:bCs/>
                <w:color w:val="1F3864"/>
                <w:sz w:val="18"/>
                <w:szCs w:val="18"/>
              </w:rPr>
              <w:t>LFS</w:t>
            </w:r>
          </w:p>
        </w:tc>
        <w:tc>
          <w:tcPr>
            <w:tcW w:w="726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590C9BE6" w14:textId="77777777" w:rsidR="003554B3" w:rsidRDefault="00000000">
            <w:pPr>
              <w:spacing w:after="0" w:line="240" w:lineRule="auto"/>
            </w:pPr>
            <w:r>
              <w:rPr>
                <w:sz w:val="18"/>
                <w:szCs w:val="18"/>
              </w:rPr>
              <w:t>Labour Force Survey</w:t>
            </w:r>
          </w:p>
        </w:tc>
      </w:tr>
      <w:tr w:rsidR="003554B3" w14:paraId="2B307B11" w14:textId="77777777">
        <w:trPr>
          <w:cantSplit/>
        </w:trPr>
        <w:tc>
          <w:tcPr>
            <w:tcW w:w="210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60D7C6A7" w14:textId="77777777" w:rsidR="003554B3" w:rsidRDefault="00000000">
            <w:pPr>
              <w:spacing w:after="0" w:line="240" w:lineRule="auto"/>
            </w:pPr>
            <w:r>
              <w:rPr>
                <w:b/>
                <w:bCs/>
                <w:color w:val="1F3864"/>
                <w:sz w:val="18"/>
                <w:szCs w:val="18"/>
              </w:rPr>
              <w:t>DV01</w:t>
            </w:r>
          </w:p>
        </w:tc>
        <w:tc>
          <w:tcPr>
            <w:tcW w:w="726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50ECE596" w14:textId="77777777" w:rsidR="003554B3" w:rsidRDefault="00000000">
            <w:pPr>
              <w:spacing w:after="0" w:line="240" w:lineRule="auto"/>
            </w:pPr>
            <w:r>
              <w:rPr>
                <w:sz w:val="18"/>
                <w:szCs w:val="18"/>
              </w:rPr>
              <w:t>Dollar Value of a 1 basis point move</w:t>
            </w:r>
          </w:p>
        </w:tc>
      </w:tr>
      <w:tr w:rsidR="003554B3" w14:paraId="3382527B" w14:textId="77777777">
        <w:trPr>
          <w:cantSplit/>
        </w:trPr>
        <w:tc>
          <w:tcPr>
            <w:tcW w:w="2100" w:type="dxa"/>
            <w:tcBorders>
              <w:top w:val="none" w:sz="0" w:space="0" w:color="FFFFFF"/>
              <w:left w:val="none" w:sz="0" w:space="0" w:color="FFFFFF"/>
              <w:bottom w:val="single" w:sz="8" w:space="0" w:color="1F3864"/>
              <w:right w:val="none" w:sz="0" w:space="0" w:color="FFFFFF"/>
            </w:tcBorders>
            <w:tcMar>
              <w:top w:w="70" w:type="dxa"/>
              <w:left w:w="110" w:type="dxa"/>
              <w:bottom w:w="70" w:type="dxa"/>
              <w:right w:w="110" w:type="dxa"/>
            </w:tcMar>
            <w:vAlign w:val="center"/>
          </w:tcPr>
          <w:p w14:paraId="7DEE1144" w14:textId="77777777" w:rsidR="003554B3" w:rsidRDefault="00000000">
            <w:pPr>
              <w:spacing w:after="0" w:line="240" w:lineRule="auto"/>
            </w:pPr>
            <w:r>
              <w:rPr>
                <w:b/>
                <w:bCs/>
                <w:color w:val="1F3864"/>
                <w:sz w:val="18"/>
                <w:szCs w:val="18"/>
              </w:rPr>
              <w:t>Sleeve</w:t>
            </w:r>
          </w:p>
        </w:tc>
        <w:tc>
          <w:tcPr>
            <w:tcW w:w="7260" w:type="dxa"/>
            <w:tcBorders>
              <w:top w:val="none" w:sz="0" w:space="0" w:color="FFFFFF"/>
              <w:left w:val="none" w:sz="0" w:space="0" w:color="FFFFFF"/>
              <w:bottom w:val="single" w:sz="8" w:space="0" w:color="1F3864"/>
              <w:right w:val="none" w:sz="0" w:space="0" w:color="FFFFFF"/>
            </w:tcBorders>
            <w:tcMar>
              <w:top w:w="70" w:type="dxa"/>
              <w:left w:w="110" w:type="dxa"/>
              <w:bottom w:w="70" w:type="dxa"/>
              <w:right w:w="110" w:type="dxa"/>
            </w:tcMar>
            <w:vAlign w:val="center"/>
          </w:tcPr>
          <w:p w14:paraId="31195298" w14:textId="77777777" w:rsidR="003554B3" w:rsidRDefault="00000000">
            <w:pPr>
              <w:spacing w:after="0" w:line="240" w:lineRule="auto"/>
            </w:pPr>
            <w:r>
              <w:rPr>
                <w:sz w:val="18"/>
                <w:szCs w:val="18"/>
              </w:rPr>
              <w:t>One traded expression of the signal, e.g. USD outright</w:t>
            </w:r>
          </w:p>
        </w:tc>
      </w:tr>
    </w:tbl>
    <w:p w14:paraId="29A31A8B" w14:textId="77777777" w:rsidR="003554B3" w:rsidRDefault="003554B3">
      <w:pPr>
        <w:spacing w:after="0"/>
      </w:pPr>
    </w:p>
    <w:p w14:paraId="713E0283" w14:textId="77777777" w:rsidR="003554B3" w:rsidRDefault="00000000">
      <w:pPr>
        <w:pStyle w:val="Heading1"/>
        <w:numPr>
          <w:ilvl w:val="0"/>
          <w:numId w:val="3"/>
        </w:numPr>
      </w:pPr>
      <w:r>
        <w:t>Construction</w:t>
      </w:r>
    </w:p>
    <w:p w14:paraId="72F34862" w14:textId="77777777" w:rsidR="006A30CA" w:rsidRDefault="00000000">
      <w:r>
        <w:t>The market path is solved from fed funds futures (ZQ) for USD and read off the Bank of England’s fitted OIS curve for GBP, eight meetings ahead. Each is checked against independent prices: the USD path agrees with SOFR futures to within about 2 bp, and the GBP path is within 1 bp of the Bank’s own published conditioning paths on average across 29 reports. Appendix A sets out the construction and both checks.</w:t>
      </w:r>
    </w:p>
    <w:p w14:paraId="7A2CCDE9" w14:textId="77777777" w:rsidR="006A30CA" w:rsidRDefault="00000000">
      <w:r>
        <w:t>The signal is read at the 4</w:t>
      </w:r>
      <w:r>
        <w:rPr>
          <w:vertAlign w:val="superscript"/>
        </w:rPr>
        <w:t>th</w:t>
      </w:r>
      <w:r>
        <w:t xml:space="preserve"> meeting ahead, about five months out. That is far enough out that the market is pricing a forecast, not a decision the Fed has already signalled, and near enough that the futures are liquid </w:t>
      </w:r>
      <w:r>
        <w:lastRenderedPageBreak/>
        <w:t>and holding the rule’s inputs flat is still a fair approximation. Its cost is a forced roll each time a meeting passes, which section 7 measures.</w:t>
      </w:r>
    </w:p>
    <w:p w14:paraId="23E45CA8" w14:textId="77777777" w:rsidR="003554B3" w:rsidRDefault="00000000">
      <w:pPr>
        <w:pStyle w:val="Heading1"/>
        <w:numPr>
          <w:ilvl w:val="0"/>
          <w:numId w:val="3"/>
        </w:numPr>
      </w:pPr>
      <w:r>
        <w:t>The rule and r*</w:t>
      </w:r>
    </w:p>
    <w:p w14:paraId="0AC359FF" w14:textId="77777777" w:rsidR="003554B3" w:rsidRDefault="00000000">
      <w:pPr>
        <w:keepNext/>
      </w:pPr>
      <w:r>
        <w:t>One of the rules that the Fed publishes in its Monetary Policy Report is the balanced approach rule. It is a variant of the Taylor Rule. It carries a 2 on the unemployment gap which is double the Taylor Rule and is symmetric.</w:t>
      </w:r>
    </w:p>
    <w:p w14:paraId="036051A0" w14:textId="77777777" w:rsidR="003554B3" w:rsidRDefault="00000000">
      <w:pPr>
        <w:keepNext/>
        <w:tabs>
          <w:tab w:val="center" w:pos="4680"/>
          <w:tab w:val="right" w:pos="9360"/>
        </w:tabs>
        <w:spacing w:before="80" w:after="80"/>
      </w:pPr>
      <w:r>
        <w:tab/>
      </w:r>
      <m:oMath>
        <m:sSup>
          <m:sSupPr>
            <m:ctrlPr>
              <w:rPr>
                <w:rFonts w:ascii="Cambria Math" w:hAnsi="Cambria Math"/>
                <w:sz w:val="23"/>
              </w:rPr>
            </m:ctrlPr>
          </m:sSupPr>
          <m:e>
            <m:r>
              <w:rPr>
                <w:rFonts w:ascii="Cambria Math" w:hAnsi="Cambria Math"/>
                <w:sz w:val="23"/>
              </w:rPr>
              <m:t>R</m:t>
            </m:r>
          </m:e>
          <m:sup>
            <m:r>
              <w:rPr>
                <w:rFonts w:ascii="Cambria Math" w:hAnsi="Cambria Math"/>
                <w:sz w:val="23"/>
              </w:rPr>
              <m:t>*</m:t>
            </m:r>
          </m:sup>
        </m:sSup>
        <m:r>
          <w:rPr>
            <w:rFonts w:ascii="Cambria Math" w:hAnsi="Cambria Math"/>
            <w:sz w:val="23"/>
          </w:rPr>
          <m:t>=</m:t>
        </m:r>
        <m:sSup>
          <m:sSupPr>
            <m:ctrlPr>
              <w:rPr>
                <w:rFonts w:ascii="Cambria Math" w:hAnsi="Cambria Math"/>
                <w:sz w:val="23"/>
              </w:rPr>
            </m:ctrlPr>
          </m:sSupPr>
          <m:e>
            <m:r>
              <w:rPr>
                <w:rFonts w:ascii="Cambria Math" w:hAnsi="Cambria Math"/>
                <w:sz w:val="23"/>
              </w:rPr>
              <m:t>r</m:t>
            </m:r>
          </m:e>
          <m:sup>
            <m:r>
              <w:rPr>
                <w:rFonts w:ascii="Cambria Math" w:hAnsi="Cambria Math"/>
                <w:sz w:val="23"/>
              </w:rPr>
              <m:t>*</m:t>
            </m:r>
          </m:sup>
        </m:sSup>
        <m:r>
          <w:rPr>
            <w:rFonts w:ascii="Cambria Math" w:hAnsi="Cambria Math"/>
            <w:sz w:val="23"/>
          </w:rPr>
          <m:t>+π+0.5</m:t>
        </m:r>
        <m:d>
          <m:dPr>
            <m:ctrlPr>
              <w:rPr>
                <w:rFonts w:ascii="Cambria Math" w:hAnsi="Cambria Math"/>
                <w:sz w:val="23"/>
              </w:rPr>
            </m:ctrlPr>
          </m:dPr>
          <m:e>
            <m:r>
              <w:rPr>
                <w:rFonts w:ascii="Cambria Math" w:hAnsi="Cambria Math"/>
                <w:sz w:val="23"/>
              </w:rPr>
              <m:t>π-2</m:t>
            </m:r>
          </m:e>
        </m:d>
        <m:r>
          <w:rPr>
            <w:rFonts w:ascii="Cambria Math" w:hAnsi="Cambria Math"/>
            <w:sz w:val="23"/>
          </w:rPr>
          <m:t>+2</m:t>
        </m:r>
        <m:d>
          <m:dPr>
            <m:ctrlPr>
              <w:rPr>
                <w:rFonts w:ascii="Cambria Math" w:hAnsi="Cambria Math"/>
                <w:sz w:val="23"/>
              </w:rPr>
            </m:ctrlPr>
          </m:dPr>
          <m:e>
            <m:sSup>
              <m:sSupPr>
                <m:ctrlPr>
                  <w:rPr>
                    <w:rFonts w:ascii="Cambria Math" w:hAnsi="Cambria Math"/>
                    <w:sz w:val="23"/>
                  </w:rPr>
                </m:ctrlPr>
              </m:sSupPr>
              <m:e>
                <m:r>
                  <w:rPr>
                    <w:rFonts w:ascii="Cambria Math" w:hAnsi="Cambria Math"/>
                    <w:sz w:val="23"/>
                  </w:rPr>
                  <m:t>u</m:t>
                </m:r>
              </m:e>
              <m:sup>
                <m:r>
                  <w:rPr>
                    <w:rFonts w:ascii="Cambria Math" w:hAnsi="Cambria Math"/>
                    <w:sz w:val="23"/>
                  </w:rPr>
                  <m:t>*</m:t>
                </m:r>
              </m:sup>
            </m:sSup>
            <m:r>
              <w:rPr>
                <w:rFonts w:ascii="Cambria Math" w:hAnsi="Cambria Math"/>
                <w:sz w:val="23"/>
              </w:rPr>
              <m:t>-u</m:t>
            </m:r>
          </m:e>
        </m:d>
      </m:oMath>
      <w:r>
        <w:tab/>
        <w:t>(1)</w:t>
      </w:r>
    </w:p>
    <w:p w14:paraId="21280D44" w14:textId="77777777" w:rsidR="003554B3" w:rsidRDefault="00000000">
      <w:pPr>
        <w:keepNext/>
        <w:tabs>
          <w:tab w:val="center" w:pos="4680"/>
          <w:tab w:val="right" w:pos="9360"/>
        </w:tabs>
        <w:spacing w:before="80" w:after="80"/>
      </w:pPr>
      <w:r>
        <w:tab/>
      </w:r>
      <m:oMath>
        <m:sSub>
          <m:sSubPr>
            <m:ctrlPr>
              <w:rPr>
                <w:rFonts w:ascii="Cambria Math" w:hAnsi="Cambria Math"/>
                <w:sz w:val="23"/>
              </w:rPr>
            </m:ctrlPr>
          </m:sSubPr>
          <m:e>
            <m:r>
              <w:rPr>
                <w:rFonts w:ascii="Cambria Math" w:hAnsi="Cambria Math"/>
                <w:sz w:val="23"/>
              </w:rPr>
              <m:t>R</m:t>
            </m:r>
          </m:e>
          <m:sub>
            <m:r>
              <w:rPr>
                <w:rFonts w:ascii="Cambria Math" w:hAnsi="Cambria Math"/>
                <w:sz w:val="23"/>
              </w:rPr>
              <m:t>k</m:t>
            </m:r>
          </m:sub>
        </m:sSub>
        <m:r>
          <w:rPr>
            <w:rFonts w:ascii="Cambria Math" w:hAnsi="Cambria Math"/>
            <w:sz w:val="23"/>
          </w:rPr>
          <m:t>=0.922⋅</m:t>
        </m:r>
        <m:sSub>
          <m:sSubPr>
            <m:ctrlPr>
              <w:rPr>
                <w:rFonts w:ascii="Cambria Math" w:hAnsi="Cambria Math"/>
                <w:sz w:val="23"/>
              </w:rPr>
            </m:ctrlPr>
          </m:sSubPr>
          <m:e>
            <m:r>
              <w:rPr>
                <w:rFonts w:ascii="Cambria Math" w:hAnsi="Cambria Math"/>
                <w:sz w:val="23"/>
              </w:rPr>
              <m:t>R</m:t>
            </m:r>
          </m:e>
          <m:sub>
            <m:r>
              <w:rPr>
                <w:rFonts w:ascii="Cambria Math" w:hAnsi="Cambria Math"/>
                <w:sz w:val="23"/>
              </w:rPr>
              <m:t>k-1</m:t>
            </m:r>
          </m:sub>
        </m:sSub>
        <m:r>
          <w:rPr>
            <w:rFonts w:ascii="Cambria Math" w:hAnsi="Cambria Math"/>
            <w:sz w:val="23"/>
          </w:rPr>
          <m:t>+0.078⋅</m:t>
        </m:r>
        <m:func>
          <m:funcPr>
            <m:ctrlPr>
              <w:rPr>
                <w:rFonts w:ascii="Cambria Math" w:hAnsi="Cambria Math"/>
                <w:sz w:val="23"/>
              </w:rPr>
            </m:ctrlPr>
          </m:funcPr>
          <m:fName>
            <m:r>
              <m:rPr>
                <m:sty m:val="p"/>
              </m:rPr>
              <w:rPr>
                <w:rFonts w:ascii="Cambria Math" w:hAnsi="Cambria Math"/>
                <w:sz w:val="23"/>
              </w:rPr>
              <m:t>max</m:t>
            </m:r>
          </m:fName>
          <m:e>
            <m:d>
              <m:dPr>
                <m:ctrlPr>
                  <w:rPr>
                    <w:rFonts w:ascii="Cambria Math" w:hAnsi="Cambria Math"/>
                    <w:sz w:val="23"/>
                  </w:rPr>
                </m:ctrlPr>
              </m:dPr>
              <m:e>
                <m:r>
                  <m:rPr>
                    <m:sty m:val="p"/>
                  </m:rPr>
                  <w:rPr>
                    <w:rFonts w:ascii="Cambria Math" w:hAnsi="Cambria Math"/>
                    <w:sz w:val="23"/>
                  </w:rPr>
                  <m:t>ELB</m:t>
                </m:r>
                <m:r>
                  <w:rPr>
                    <w:rFonts w:ascii="Cambria Math" w:hAnsi="Cambria Math"/>
                    <w:sz w:val="23"/>
                  </w:rPr>
                  <m:t>,</m:t>
                </m:r>
                <m:sSup>
                  <m:sSupPr>
                    <m:ctrlPr>
                      <w:rPr>
                        <w:rFonts w:ascii="Cambria Math" w:hAnsi="Cambria Math"/>
                        <w:sz w:val="23"/>
                      </w:rPr>
                    </m:ctrlPr>
                  </m:sSupPr>
                  <m:e>
                    <m:r>
                      <w:rPr>
                        <w:rFonts w:ascii="Cambria Math" w:hAnsi="Cambria Math"/>
                        <w:sz w:val="23"/>
                      </w:rPr>
                      <m:t>R</m:t>
                    </m:r>
                  </m:e>
                  <m:sup>
                    <m:r>
                      <w:rPr>
                        <w:rFonts w:ascii="Cambria Math" w:hAnsi="Cambria Math"/>
                        <w:sz w:val="23"/>
                      </w:rPr>
                      <m:t>*</m:t>
                    </m:r>
                  </m:sup>
                </m:sSup>
              </m:e>
            </m:d>
          </m:e>
        </m:func>
      </m:oMath>
      <w:r>
        <w:tab/>
        <w:t>(2)</w:t>
      </w:r>
    </w:p>
    <w:p w14:paraId="1891AEA4" w14:textId="77777777" w:rsidR="003554B3" w:rsidRDefault="00000000">
      <w:r>
        <w:t xml:space="preserve">with </w:t>
      </w:r>
      <w:r>
        <w:rPr>
          <w:i/>
          <w:iCs/>
        </w:rPr>
        <w:t>R</w:t>
      </w:r>
      <w:r>
        <w:rPr>
          <w:vertAlign w:val="subscript"/>
        </w:rPr>
        <w:t>0</w:t>
      </w:r>
      <w:r>
        <w:t xml:space="preserve"> the rate in force.</w:t>
      </w:r>
    </w:p>
    <w:p w14:paraId="27E58140" w14:textId="77777777" w:rsidR="003554B3" w:rsidRDefault="00000000">
      <w:r>
        <w:t>The MPR’s inertial rule uses 0.85 per quarter, which is the weight on the last period’s rate: 0.922 per meeting (sqrt (0.85)). I held today’s inputs as flat across the path and asked: where does the rule take policy?</w:t>
      </w:r>
    </w:p>
    <w:p w14:paraId="2A9C4C84" w14:textId="77777777" w:rsidR="003554B3" w:rsidRDefault="00000000">
      <w:pPr>
        <w:pStyle w:val="Heading2"/>
        <w:numPr>
          <w:ilvl w:val="1"/>
          <w:numId w:val="3"/>
        </w:numPr>
      </w:pPr>
      <w:r>
        <w:t>Real-time inputs</w:t>
      </w:r>
    </w:p>
    <w:p w14:paraId="49303CBE" w14:textId="77777777" w:rsidR="003554B3" w:rsidRDefault="00000000">
      <w:r>
        <w:t>Each input is what was published on the day. Beginning with π, which is the 12-month core PCE, bridged from CPI for months PCE hasn’t printed yet. I tested the accuracy of this bridge and the test returned a RMSE of 0.075 pp against PCE’s first print over 185 months. u* is CBO’s estimate as vintaged on that day, from ALFRED (Figure 1). A test reruns the whole chain cut off on day D, then appends deliberately corrupted data after D and checks that nothing on or before D moves.</w:t>
      </w:r>
    </w:p>
    <w:p w14:paraId="5A97283A" w14:textId="77777777" w:rsidR="003554B3" w:rsidRDefault="00000000">
      <w:r>
        <w:t>For GBP the inputs are headline CPI (12 month, the MPC’s target), LFS unemployment as first printed, and constants for u* (4.5%) and r* (−1.6%). Importantly, this is headline CPI and not core as this is what the MPC targets.</w:t>
      </w:r>
    </w:p>
    <w:p w14:paraId="73EF25CA" w14:textId="77777777" w:rsidR="003554B3" w:rsidRDefault="00000000">
      <w:pPr>
        <w:keepNext/>
        <w:spacing w:before="120" w:after="60" w:line="240" w:lineRule="auto"/>
        <w:jc w:val="center"/>
      </w:pPr>
      <w:r>
        <w:rPr>
          <w:noProof/>
        </w:rPr>
        <w:lastRenderedPageBreak/>
        <w:drawing>
          <wp:inline distT="0" distB="0" distL="0" distR="0" wp14:anchorId="4F51C2EF" wp14:editId="0EB024BE">
            <wp:extent cx="5029200" cy="3419475"/>
            <wp:effectExtent l="0" t="0" r="0" b="0"/>
            <wp:docPr id="1634393084" name="Figure 4" descr="Real-time USD rule inputs: core PCE inflation as it could be read each day, and the unemployment gap."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029200" cy="3419475"/>
                    </a:xfrm>
                    <a:prstGeom prst="rect">
                      <a:avLst/>
                    </a:prstGeom>
                  </pic:spPr>
                </pic:pic>
              </a:graphicData>
            </a:graphic>
          </wp:inline>
        </w:drawing>
      </w:r>
    </w:p>
    <w:p w14:paraId="3889A5BA" w14:textId="4373AA15" w:rsidR="003554B3" w:rsidRDefault="00000000">
      <w:pPr>
        <w:pStyle w:val="FigureCaption"/>
        <w:jc w:val="center"/>
      </w:pPr>
      <w:r>
        <w:rPr>
          <w:b/>
          <w:bCs/>
          <w:color w:val="1F3864"/>
        </w:rPr>
        <w:t xml:space="preserve">Figure </w:t>
      </w:r>
      <w:r>
        <w:rPr>
          <w:b/>
          <w:bCs/>
          <w:color w:val="1F3864"/>
        </w:rPr>
        <w:fldChar w:fldCharType="begin"/>
      </w:r>
      <w:r>
        <w:rPr>
          <w:b/>
          <w:bCs/>
          <w:color w:val="1F3864"/>
        </w:rPr>
        <w:instrText xml:space="preserve"> SEQ Figure \* ARABIC </w:instrText>
      </w:r>
      <w:r>
        <w:rPr>
          <w:b/>
          <w:bCs/>
          <w:color w:val="1F3864"/>
        </w:rPr>
        <w:fldChar w:fldCharType="separate"/>
      </w:r>
      <w:r w:rsidR="00E1205C">
        <w:rPr>
          <w:b/>
          <w:bCs/>
          <w:noProof/>
          <w:color w:val="1F3864"/>
        </w:rPr>
        <w:t>1</w:t>
      </w:r>
      <w:r>
        <w:rPr>
          <w:b/>
          <w:bCs/>
          <w:color w:val="1F3864"/>
        </w:rPr>
        <w:fldChar w:fldCharType="end"/>
      </w:r>
      <w:r>
        <w:rPr>
          <w:b/>
          <w:bCs/>
          <w:color w:val="1F3864"/>
        </w:rPr>
        <w:t xml:space="preserve">. </w:t>
      </w:r>
      <w:r>
        <w:t>Real-time USD rule inputs: core PCE inflation as it could be read each day, and the unemployment gap.</w:t>
      </w:r>
    </w:p>
    <w:p w14:paraId="13A7A744" w14:textId="77777777" w:rsidR="003554B3" w:rsidRDefault="00000000">
      <w:pPr>
        <w:pStyle w:val="Heading2"/>
        <w:numPr>
          <w:ilvl w:val="1"/>
          <w:numId w:val="3"/>
        </w:numPr>
      </w:pPr>
      <w:r>
        <w:t>r* choices</w:t>
      </w:r>
    </w:p>
    <w:p w14:paraId="21C89540" w14:textId="77777777" w:rsidR="003554B3" w:rsidRDefault="00000000">
      <w:r>
        <w:t>Each SEP is a dated document that is never revised, so it is real time without any vintage machinery. This isn’t the same for GBP, which uses a constant −1.6%, the average real Bank rate. Both values are tested later in Robustness using HLW (Holston-Laubach-Williams r*) in real time for USD (book net Sharpe ratio −0.52) and constants ±1 pp for GBP (−0.58 and −0.63).</w:t>
      </w:r>
    </w:p>
    <w:p w14:paraId="27127EE9" w14:textId="77777777" w:rsidR="003554B3" w:rsidRDefault="00000000">
      <w:pPr>
        <w:pStyle w:val="Heading1"/>
        <w:numPr>
          <w:ilvl w:val="0"/>
          <w:numId w:val="3"/>
        </w:numPr>
      </w:pPr>
      <w:r>
        <w:t>The level</w:t>
      </w:r>
    </w:p>
    <w:p w14:paraId="0B9B6F23" w14:textId="77777777" w:rsidR="003554B3" w:rsidRDefault="00000000">
      <w:r>
        <w:t>The market trades persistently below the rule. For the USD, that’s 13 out of 13 years outside the ELB, by −25 bp to −86 bp (Figure 2). By regime that is −37 bp hiking, −53 bp on hold, and −62 bp cutting. In effect, this matches the pattern of the market pricing below the FOMC’s dots.</w:t>
      </w:r>
    </w:p>
    <w:p w14:paraId="650357EC" w14:textId="77777777" w:rsidR="006A30CA" w:rsidRDefault="00000000">
      <w:r>
        <w:t>Why the market prices below the rule is not something this measurement identifies, but it narrows the answer. The risk premium documented in fed funds futures is positive on average (Piazzesi and Swanson, 2008), which would put the market above the rule, not below it. That points to the market doubting that the Fed will follow the rule, or to the rule itself being off: its r*, or inputs held flat while inflation falls. Running the rule on the FOMC’s own projections of inflation and unemployment, rather than flat inputs, would test the second directly.</w:t>
      </w:r>
    </w:p>
    <w:p w14:paraId="4C50DA24" w14:textId="77777777" w:rsidR="003554B3" w:rsidRDefault="00000000">
      <w:pPr>
        <w:keepNext/>
        <w:spacing w:before="120" w:after="60" w:line="240" w:lineRule="auto"/>
        <w:jc w:val="center"/>
      </w:pPr>
      <w:r>
        <w:rPr>
          <w:noProof/>
        </w:rPr>
        <w:lastRenderedPageBreak/>
        <w:drawing>
          <wp:inline distT="0" distB="0" distL="0" distR="0" wp14:anchorId="167E3F4E" wp14:editId="044F423F">
            <wp:extent cx="5029200" cy="3657600"/>
            <wp:effectExtent l="0" t="0" r="0" b="0"/>
            <wp:docPr id="226569935" name="Figure 5" descr="USD: the market path against the balanced-approach rule, and the gap at the fourth meeting ahead."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029200" cy="3657600"/>
                    </a:xfrm>
                    <a:prstGeom prst="rect">
                      <a:avLst/>
                    </a:prstGeom>
                  </pic:spPr>
                </pic:pic>
              </a:graphicData>
            </a:graphic>
          </wp:inline>
        </w:drawing>
      </w:r>
    </w:p>
    <w:p w14:paraId="54CD7603" w14:textId="56DC32C2" w:rsidR="003554B3" w:rsidRDefault="00000000">
      <w:pPr>
        <w:pStyle w:val="FigureCaption"/>
        <w:jc w:val="center"/>
      </w:pPr>
      <w:r>
        <w:rPr>
          <w:b/>
          <w:bCs/>
          <w:color w:val="1F3864"/>
        </w:rPr>
        <w:t xml:space="preserve">Figure </w:t>
      </w:r>
      <w:r>
        <w:rPr>
          <w:b/>
          <w:bCs/>
          <w:color w:val="1F3864"/>
        </w:rPr>
        <w:fldChar w:fldCharType="begin"/>
      </w:r>
      <w:r>
        <w:rPr>
          <w:b/>
          <w:bCs/>
          <w:color w:val="1F3864"/>
        </w:rPr>
        <w:instrText xml:space="preserve"> SEQ Figure \* ARABIC </w:instrText>
      </w:r>
      <w:r>
        <w:rPr>
          <w:b/>
          <w:bCs/>
          <w:color w:val="1F3864"/>
        </w:rPr>
        <w:fldChar w:fldCharType="separate"/>
      </w:r>
      <w:r w:rsidR="00E1205C">
        <w:rPr>
          <w:b/>
          <w:bCs/>
          <w:noProof/>
          <w:color w:val="1F3864"/>
        </w:rPr>
        <w:t>2</w:t>
      </w:r>
      <w:r>
        <w:rPr>
          <w:b/>
          <w:bCs/>
          <w:color w:val="1F3864"/>
        </w:rPr>
        <w:fldChar w:fldCharType="end"/>
      </w:r>
      <w:r>
        <w:rPr>
          <w:b/>
          <w:bCs/>
          <w:color w:val="1F3864"/>
        </w:rPr>
        <w:t xml:space="preserve">. </w:t>
      </w:r>
      <w:r>
        <w:t>USD: the market path against the balanced-approach rule, and the gap at the fourth meeting ahead.</w:t>
      </w:r>
    </w:p>
    <w:p w14:paraId="6935303F" w14:textId="77777777" w:rsidR="003554B3" w:rsidRDefault="00000000">
      <w:r>
        <w:t>The gaps are larger for GBP (−122 to +102 bp; Figure 3). It isn’t persistent; it depends on the regime: −81 bp while hiking, +28 bp while cutting. It sat below the rule in 8 of 11 years, then above from 2024 (+36, +19, +102 bp). With a fixed r*, the post 2024 flip is as consistent with r* being wrong as with the market repricing, and this measurement can’t separate them.</w:t>
      </w:r>
    </w:p>
    <w:p w14:paraId="3888D4F4" w14:textId="77777777" w:rsidR="003554B3" w:rsidRDefault="00000000">
      <w:pPr>
        <w:keepNext/>
        <w:spacing w:before="120" w:after="60" w:line="240" w:lineRule="auto"/>
        <w:jc w:val="center"/>
      </w:pPr>
      <w:r>
        <w:rPr>
          <w:noProof/>
        </w:rPr>
        <w:drawing>
          <wp:inline distT="0" distB="0" distL="0" distR="0" wp14:anchorId="6FAD131F" wp14:editId="5DC37ADB">
            <wp:extent cx="5029200" cy="3390900"/>
            <wp:effectExtent l="0" t="0" r="0" b="0"/>
            <wp:docPr id="677286365" name="Figure 6" descr="GBP: the market path against the balanced-approach rule, and the gap at the fourth meeting ahead."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029200" cy="3390900"/>
                    </a:xfrm>
                    <a:prstGeom prst="rect">
                      <a:avLst/>
                    </a:prstGeom>
                  </pic:spPr>
                </pic:pic>
              </a:graphicData>
            </a:graphic>
          </wp:inline>
        </w:drawing>
      </w:r>
    </w:p>
    <w:p w14:paraId="745E55FA" w14:textId="515227EB" w:rsidR="003554B3" w:rsidRDefault="00000000">
      <w:pPr>
        <w:pStyle w:val="FigureCaption"/>
        <w:jc w:val="center"/>
      </w:pPr>
      <w:r>
        <w:rPr>
          <w:b/>
          <w:bCs/>
          <w:color w:val="1F3864"/>
        </w:rPr>
        <w:t xml:space="preserve">Figure </w:t>
      </w:r>
      <w:r>
        <w:rPr>
          <w:b/>
          <w:bCs/>
          <w:color w:val="1F3864"/>
        </w:rPr>
        <w:fldChar w:fldCharType="begin"/>
      </w:r>
      <w:r>
        <w:rPr>
          <w:b/>
          <w:bCs/>
          <w:color w:val="1F3864"/>
        </w:rPr>
        <w:instrText xml:space="preserve"> SEQ Figure \* ARABIC </w:instrText>
      </w:r>
      <w:r>
        <w:rPr>
          <w:b/>
          <w:bCs/>
          <w:color w:val="1F3864"/>
        </w:rPr>
        <w:fldChar w:fldCharType="separate"/>
      </w:r>
      <w:r w:rsidR="00E1205C">
        <w:rPr>
          <w:b/>
          <w:bCs/>
          <w:noProof/>
          <w:color w:val="1F3864"/>
        </w:rPr>
        <w:t>3</w:t>
      </w:r>
      <w:r>
        <w:rPr>
          <w:b/>
          <w:bCs/>
          <w:color w:val="1F3864"/>
        </w:rPr>
        <w:fldChar w:fldCharType="end"/>
      </w:r>
      <w:r>
        <w:rPr>
          <w:b/>
          <w:bCs/>
          <w:color w:val="1F3864"/>
        </w:rPr>
        <w:t xml:space="preserve">. </w:t>
      </w:r>
      <w:r>
        <w:t>GBP: the market path against the balanced-approach rule, and the gap at the fourth meeting ahead.</w:t>
      </w:r>
    </w:p>
    <w:p w14:paraId="621540A5" w14:textId="77777777" w:rsidR="003554B3" w:rsidRDefault="00000000">
      <w:pPr>
        <w:pStyle w:val="Heading1"/>
        <w:numPr>
          <w:ilvl w:val="0"/>
          <w:numId w:val="3"/>
        </w:numPr>
      </w:pPr>
      <w:r>
        <w:lastRenderedPageBreak/>
        <w:t>The signal and the null</w:t>
      </w:r>
    </w:p>
    <w:p w14:paraId="645DD846" w14:textId="77777777" w:rsidR="003554B3" w:rsidRDefault="00000000">
      <w:r>
        <w:t>The USD gap has no forecasting value and instead points the wrong way (Figure 4, Table 1). USD outright is not successful, with a −0.12 for IC (21) across 2,930 sessions. The results for GBP are strong, with GBP outright seeing +0.38 in IC (21). This result is across 2,273 sessions and carries a t-stat of 4.7. The three curve and cross sleeves are small (|t| ≤ 1.6). Outside GBP outright, nothing here rejects the null.</w:t>
      </w:r>
    </w:p>
    <w:p w14:paraId="7F3EE991" w14:textId="77777777" w:rsidR="003554B3" w:rsidRDefault="00000000">
      <w:pPr>
        <w:keepNext/>
        <w:spacing w:before="120" w:after="60" w:line="240" w:lineRule="auto"/>
        <w:jc w:val="center"/>
      </w:pPr>
      <w:r>
        <w:rPr>
          <w:noProof/>
        </w:rPr>
        <w:drawing>
          <wp:inline distT="0" distB="0" distL="0" distR="0" wp14:anchorId="2F4D014C" wp14:editId="38377D01">
            <wp:extent cx="3933825" cy="2543175"/>
            <wp:effectExtent l="0" t="0" r="0" b="0"/>
            <wp:docPr id="930192125" name="Figure 7" descr="IC of z against the next 5, 21 and 63 sessions’ rate change, outside the ELB."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933825" cy="2543175"/>
                    </a:xfrm>
                    <a:prstGeom prst="rect">
                      <a:avLst/>
                    </a:prstGeom>
                  </pic:spPr>
                </pic:pic>
              </a:graphicData>
            </a:graphic>
          </wp:inline>
        </w:drawing>
      </w:r>
    </w:p>
    <w:p w14:paraId="2B934E59" w14:textId="5B874E2F" w:rsidR="003554B3" w:rsidRDefault="00000000">
      <w:pPr>
        <w:pStyle w:val="FigureCaption"/>
        <w:jc w:val="center"/>
      </w:pPr>
      <w:r>
        <w:rPr>
          <w:b/>
          <w:bCs/>
          <w:color w:val="1F3864"/>
        </w:rPr>
        <w:t xml:space="preserve">Figure </w:t>
      </w:r>
      <w:r>
        <w:rPr>
          <w:b/>
          <w:bCs/>
          <w:color w:val="1F3864"/>
        </w:rPr>
        <w:fldChar w:fldCharType="begin"/>
      </w:r>
      <w:r>
        <w:rPr>
          <w:b/>
          <w:bCs/>
          <w:color w:val="1F3864"/>
        </w:rPr>
        <w:instrText xml:space="preserve"> SEQ Figure \* ARABIC </w:instrText>
      </w:r>
      <w:r>
        <w:rPr>
          <w:b/>
          <w:bCs/>
          <w:color w:val="1F3864"/>
        </w:rPr>
        <w:fldChar w:fldCharType="separate"/>
      </w:r>
      <w:r w:rsidR="00E1205C">
        <w:rPr>
          <w:b/>
          <w:bCs/>
          <w:noProof/>
          <w:color w:val="1F3864"/>
        </w:rPr>
        <w:t>4</w:t>
      </w:r>
      <w:r>
        <w:rPr>
          <w:b/>
          <w:bCs/>
          <w:color w:val="1F3864"/>
        </w:rPr>
        <w:fldChar w:fldCharType="end"/>
      </w:r>
      <w:r>
        <w:rPr>
          <w:b/>
          <w:bCs/>
          <w:color w:val="1F3864"/>
        </w:rPr>
        <w:t xml:space="preserve">. </w:t>
      </w:r>
      <w:r>
        <w:t>IC of z against the change in the rate each sleeve trades over the next 5, 21 and 63 sessions, outside the ELB.</w:t>
      </w:r>
    </w:p>
    <w:p w14:paraId="4D316ABF" w14:textId="17F3DB47" w:rsidR="003554B3" w:rsidRDefault="00000000">
      <w:pPr>
        <w:pStyle w:val="FigureCaption"/>
        <w:keepNext/>
        <w:spacing w:before="200" w:after="80"/>
      </w:pPr>
      <w:r>
        <w:rPr>
          <w:b/>
          <w:bCs/>
          <w:color w:val="1F3864"/>
        </w:rPr>
        <w:t xml:space="preserve">Table </w:t>
      </w:r>
      <w:r>
        <w:rPr>
          <w:b/>
          <w:bCs/>
          <w:color w:val="1F3864"/>
        </w:rPr>
        <w:fldChar w:fldCharType="begin"/>
      </w:r>
      <w:r>
        <w:rPr>
          <w:b/>
          <w:bCs/>
          <w:color w:val="1F3864"/>
        </w:rPr>
        <w:instrText xml:space="preserve"> SEQ Table \* ARABIC </w:instrText>
      </w:r>
      <w:r>
        <w:rPr>
          <w:b/>
          <w:bCs/>
          <w:color w:val="1F3864"/>
        </w:rPr>
        <w:fldChar w:fldCharType="separate"/>
      </w:r>
      <w:r w:rsidR="00E1205C">
        <w:rPr>
          <w:b/>
          <w:bCs/>
          <w:noProof/>
          <w:color w:val="1F3864"/>
        </w:rPr>
        <w:t>1</w:t>
      </w:r>
      <w:r>
        <w:rPr>
          <w:b/>
          <w:bCs/>
          <w:color w:val="1F3864"/>
        </w:rPr>
        <w:fldChar w:fldCharType="end"/>
      </w:r>
      <w:r>
        <w:rPr>
          <w:b/>
          <w:bCs/>
          <w:color w:val="1F3864"/>
        </w:rPr>
        <w:t xml:space="preserve">. </w:t>
      </w:r>
      <w:r>
        <w:t>IC of z against the change in the rate each sleeve trades over the next h sessions, outside the ELB.</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700"/>
        <w:gridCol w:w="1420"/>
        <w:gridCol w:w="1420"/>
        <w:gridCol w:w="1420"/>
        <w:gridCol w:w="1200"/>
        <w:gridCol w:w="2200"/>
      </w:tblGrid>
      <w:tr w:rsidR="003554B3" w14:paraId="4F9F6087" w14:textId="77777777">
        <w:trPr>
          <w:cantSplit/>
          <w:tblHeader/>
        </w:trPr>
        <w:tc>
          <w:tcPr>
            <w:tcW w:w="1700" w:type="dxa"/>
            <w:tcBorders>
              <w:top w:val="none" w:sz="0" w:space="0" w:color="FFFFFF"/>
              <w:left w:val="none" w:sz="0" w:space="0" w:color="FFFFFF"/>
              <w:bottom w:val="single" w:sz="2" w:space="0" w:color="BFC9D6"/>
              <w:right w:val="none" w:sz="0" w:space="0" w:color="FFFFFF"/>
            </w:tcBorders>
            <w:shd w:val="clear" w:color="auto" w:fill="1F3864"/>
            <w:tcMar>
              <w:top w:w="70" w:type="dxa"/>
              <w:left w:w="110" w:type="dxa"/>
              <w:bottom w:w="70" w:type="dxa"/>
              <w:right w:w="110" w:type="dxa"/>
            </w:tcMar>
            <w:vAlign w:val="center"/>
          </w:tcPr>
          <w:p w14:paraId="7BD906FC" w14:textId="77777777" w:rsidR="003554B3" w:rsidRDefault="00000000">
            <w:pPr>
              <w:spacing w:after="0" w:line="240" w:lineRule="auto"/>
            </w:pPr>
            <w:r>
              <w:rPr>
                <w:b/>
                <w:bCs/>
                <w:color w:val="FFFFFF"/>
                <w:sz w:val="17"/>
                <w:szCs w:val="17"/>
              </w:rPr>
              <w:t>Sleeve</w:t>
            </w:r>
          </w:p>
        </w:tc>
        <w:tc>
          <w:tcPr>
            <w:tcW w:w="1420" w:type="dxa"/>
            <w:tcBorders>
              <w:top w:val="none" w:sz="0" w:space="0" w:color="FFFFFF"/>
              <w:left w:val="none" w:sz="0" w:space="0" w:color="FFFFFF"/>
              <w:bottom w:val="single" w:sz="2" w:space="0" w:color="BFC9D6"/>
              <w:right w:val="none" w:sz="0" w:space="0" w:color="FFFFFF"/>
            </w:tcBorders>
            <w:shd w:val="clear" w:color="auto" w:fill="1F3864"/>
            <w:tcMar>
              <w:top w:w="70" w:type="dxa"/>
              <w:left w:w="110" w:type="dxa"/>
              <w:bottom w:w="70" w:type="dxa"/>
              <w:right w:w="110" w:type="dxa"/>
            </w:tcMar>
            <w:vAlign w:val="center"/>
          </w:tcPr>
          <w:p w14:paraId="4FEDFD70" w14:textId="77777777" w:rsidR="003554B3" w:rsidRDefault="00000000">
            <w:pPr>
              <w:spacing w:after="0" w:line="240" w:lineRule="auto"/>
              <w:jc w:val="center"/>
            </w:pPr>
            <w:r>
              <w:rPr>
                <w:b/>
                <w:bCs/>
                <w:color w:val="FFFFFF"/>
                <w:sz w:val="17"/>
                <w:szCs w:val="17"/>
              </w:rPr>
              <w:t>IC(5)</w:t>
            </w:r>
          </w:p>
        </w:tc>
        <w:tc>
          <w:tcPr>
            <w:tcW w:w="1420" w:type="dxa"/>
            <w:tcBorders>
              <w:top w:val="none" w:sz="0" w:space="0" w:color="FFFFFF"/>
              <w:left w:val="none" w:sz="0" w:space="0" w:color="FFFFFF"/>
              <w:bottom w:val="single" w:sz="2" w:space="0" w:color="BFC9D6"/>
              <w:right w:val="none" w:sz="0" w:space="0" w:color="FFFFFF"/>
            </w:tcBorders>
            <w:shd w:val="clear" w:color="auto" w:fill="1F3864"/>
            <w:tcMar>
              <w:top w:w="70" w:type="dxa"/>
              <w:left w:w="110" w:type="dxa"/>
              <w:bottom w:w="70" w:type="dxa"/>
              <w:right w:w="110" w:type="dxa"/>
            </w:tcMar>
            <w:vAlign w:val="center"/>
          </w:tcPr>
          <w:p w14:paraId="78209052" w14:textId="77777777" w:rsidR="003554B3" w:rsidRDefault="00000000">
            <w:pPr>
              <w:spacing w:after="0" w:line="240" w:lineRule="auto"/>
              <w:jc w:val="center"/>
            </w:pPr>
            <w:r>
              <w:rPr>
                <w:b/>
                <w:bCs/>
                <w:color w:val="FFFFFF"/>
                <w:sz w:val="17"/>
                <w:szCs w:val="17"/>
              </w:rPr>
              <w:t>IC(21)</w:t>
            </w:r>
          </w:p>
        </w:tc>
        <w:tc>
          <w:tcPr>
            <w:tcW w:w="1420" w:type="dxa"/>
            <w:tcBorders>
              <w:top w:val="none" w:sz="0" w:space="0" w:color="FFFFFF"/>
              <w:left w:val="none" w:sz="0" w:space="0" w:color="FFFFFF"/>
              <w:bottom w:val="single" w:sz="2" w:space="0" w:color="BFC9D6"/>
              <w:right w:val="none" w:sz="0" w:space="0" w:color="FFFFFF"/>
            </w:tcBorders>
            <w:shd w:val="clear" w:color="auto" w:fill="1F3864"/>
            <w:tcMar>
              <w:top w:w="70" w:type="dxa"/>
              <w:left w:w="110" w:type="dxa"/>
              <w:bottom w:w="70" w:type="dxa"/>
              <w:right w:w="110" w:type="dxa"/>
            </w:tcMar>
            <w:vAlign w:val="center"/>
          </w:tcPr>
          <w:p w14:paraId="144D8371" w14:textId="77777777" w:rsidR="003554B3" w:rsidRDefault="00000000">
            <w:pPr>
              <w:spacing w:after="0" w:line="240" w:lineRule="auto"/>
              <w:jc w:val="center"/>
            </w:pPr>
            <w:r>
              <w:rPr>
                <w:b/>
                <w:bCs/>
                <w:color w:val="FFFFFF"/>
                <w:sz w:val="17"/>
                <w:szCs w:val="17"/>
              </w:rPr>
              <w:t>IC(63)</w:t>
            </w:r>
          </w:p>
        </w:tc>
        <w:tc>
          <w:tcPr>
            <w:tcW w:w="1200" w:type="dxa"/>
            <w:tcBorders>
              <w:top w:val="none" w:sz="0" w:space="0" w:color="FFFFFF"/>
              <w:left w:val="none" w:sz="0" w:space="0" w:color="FFFFFF"/>
              <w:bottom w:val="single" w:sz="2" w:space="0" w:color="BFC9D6"/>
              <w:right w:val="none" w:sz="0" w:space="0" w:color="FFFFFF"/>
            </w:tcBorders>
            <w:shd w:val="clear" w:color="auto" w:fill="1F3864"/>
            <w:tcMar>
              <w:top w:w="70" w:type="dxa"/>
              <w:left w:w="110" w:type="dxa"/>
              <w:bottom w:w="70" w:type="dxa"/>
              <w:right w:w="110" w:type="dxa"/>
            </w:tcMar>
            <w:vAlign w:val="center"/>
          </w:tcPr>
          <w:p w14:paraId="7CB83DDE" w14:textId="77777777" w:rsidR="003554B3" w:rsidRDefault="00000000">
            <w:pPr>
              <w:spacing w:after="0" w:line="240" w:lineRule="auto"/>
              <w:jc w:val="center"/>
            </w:pPr>
            <w:r>
              <w:rPr>
                <w:b/>
                <w:bCs/>
                <w:color w:val="FFFFFF"/>
                <w:sz w:val="17"/>
                <w:szCs w:val="17"/>
              </w:rPr>
              <w:t>Sessions (21)</w:t>
            </w:r>
          </w:p>
        </w:tc>
        <w:tc>
          <w:tcPr>
            <w:tcW w:w="2200" w:type="dxa"/>
            <w:tcBorders>
              <w:top w:val="none" w:sz="0" w:space="0" w:color="FFFFFF"/>
              <w:left w:val="none" w:sz="0" w:space="0" w:color="FFFFFF"/>
              <w:bottom w:val="single" w:sz="2" w:space="0" w:color="BFC9D6"/>
              <w:right w:val="none" w:sz="0" w:space="0" w:color="FFFFFF"/>
            </w:tcBorders>
            <w:shd w:val="clear" w:color="auto" w:fill="1F3864"/>
            <w:tcMar>
              <w:top w:w="70" w:type="dxa"/>
              <w:left w:w="110" w:type="dxa"/>
              <w:bottom w:w="70" w:type="dxa"/>
              <w:right w:w="110" w:type="dxa"/>
            </w:tcMar>
            <w:vAlign w:val="center"/>
          </w:tcPr>
          <w:p w14:paraId="432A7A37" w14:textId="77777777" w:rsidR="003554B3" w:rsidRDefault="00000000">
            <w:pPr>
              <w:spacing w:after="0" w:line="240" w:lineRule="auto"/>
              <w:jc w:val="center"/>
            </w:pPr>
            <w:r>
              <w:rPr>
                <w:b/>
                <w:bCs/>
                <w:color w:val="FFFFFF"/>
                <w:sz w:val="17"/>
                <w:szCs w:val="17"/>
              </w:rPr>
              <w:t>Non-overlapping IC(21)</w:t>
            </w:r>
          </w:p>
        </w:tc>
      </w:tr>
      <w:tr w:rsidR="003554B3" w14:paraId="4313E72B" w14:textId="77777777">
        <w:trPr>
          <w:cantSplit/>
        </w:trPr>
        <w:tc>
          <w:tcPr>
            <w:tcW w:w="170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3046FF00" w14:textId="77777777" w:rsidR="003554B3" w:rsidRDefault="00000000">
            <w:pPr>
              <w:spacing w:after="0" w:line="240" w:lineRule="auto"/>
            </w:pPr>
            <w:r>
              <w:rPr>
                <w:sz w:val="17"/>
                <w:szCs w:val="17"/>
              </w:rPr>
              <w:t>USD outright</w:t>
            </w:r>
          </w:p>
        </w:tc>
        <w:tc>
          <w:tcPr>
            <w:tcW w:w="142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2EB16251" w14:textId="77777777" w:rsidR="003554B3" w:rsidRDefault="00000000">
            <w:pPr>
              <w:spacing w:after="0" w:line="240" w:lineRule="auto"/>
              <w:jc w:val="center"/>
            </w:pPr>
            <w:r>
              <w:rPr>
                <w:sz w:val="17"/>
                <w:szCs w:val="17"/>
              </w:rPr>
              <w:t>−0.059 (−1.7)</w:t>
            </w:r>
          </w:p>
        </w:tc>
        <w:tc>
          <w:tcPr>
            <w:tcW w:w="142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6615838F" w14:textId="77777777" w:rsidR="003554B3" w:rsidRDefault="00000000">
            <w:pPr>
              <w:spacing w:after="0" w:line="240" w:lineRule="auto"/>
              <w:jc w:val="center"/>
            </w:pPr>
            <w:r>
              <w:rPr>
                <w:sz w:val="17"/>
                <w:szCs w:val="17"/>
              </w:rPr>
              <w:t>−0.116 (−1.7)</w:t>
            </w:r>
          </w:p>
        </w:tc>
        <w:tc>
          <w:tcPr>
            <w:tcW w:w="142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6264DF63" w14:textId="77777777" w:rsidR="003554B3" w:rsidRDefault="00000000">
            <w:pPr>
              <w:spacing w:after="0" w:line="240" w:lineRule="auto"/>
              <w:jc w:val="center"/>
            </w:pPr>
            <w:r>
              <w:rPr>
                <w:sz w:val="17"/>
                <w:szCs w:val="17"/>
              </w:rPr>
              <w:t>−0.185 (−1.5)</w:t>
            </w:r>
          </w:p>
        </w:tc>
        <w:tc>
          <w:tcPr>
            <w:tcW w:w="120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52DABC05" w14:textId="77777777" w:rsidR="003554B3" w:rsidRDefault="00000000">
            <w:pPr>
              <w:spacing w:after="0" w:line="240" w:lineRule="auto"/>
              <w:jc w:val="center"/>
            </w:pPr>
            <w:r>
              <w:rPr>
                <w:sz w:val="17"/>
                <w:szCs w:val="17"/>
              </w:rPr>
              <w:t>2,930</w:t>
            </w:r>
          </w:p>
        </w:tc>
        <w:tc>
          <w:tcPr>
            <w:tcW w:w="220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2C6BEA9A" w14:textId="77777777" w:rsidR="003554B3" w:rsidRDefault="00000000">
            <w:pPr>
              <w:spacing w:after="0" w:line="240" w:lineRule="auto"/>
              <w:jc w:val="center"/>
            </w:pPr>
            <w:r>
              <w:rPr>
                <w:sz w:val="17"/>
                <w:szCs w:val="17"/>
              </w:rPr>
              <w:t>−0.115 [−0.18, −0.06]</w:t>
            </w:r>
          </w:p>
        </w:tc>
      </w:tr>
      <w:tr w:rsidR="003554B3" w14:paraId="1D782E2C" w14:textId="77777777">
        <w:trPr>
          <w:cantSplit/>
        </w:trPr>
        <w:tc>
          <w:tcPr>
            <w:tcW w:w="170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6D983290" w14:textId="77777777" w:rsidR="003554B3" w:rsidRDefault="00000000">
            <w:pPr>
              <w:spacing w:after="0" w:line="240" w:lineRule="auto"/>
            </w:pPr>
            <w:r>
              <w:rPr>
                <w:sz w:val="17"/>
                <w:szCs w:val="17"/>
              </w:rPr>
              <w:t>GBP outright</w:t>
            </w:r>
          </w:p>
        </w:tc>
        <w:tc>
          <w:tcPr>
            <w:tcW w:w="142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02D8A545" w14:textId="77777777" w:rsidR="003554B3" w:rsidRDefault="00000000">
            <w:pPr>
              <w:spacing w:after="0" w:line="240" w:lineRule="auto"/>
              <w:jc w:val="center"/>
            </w:pPr>
            <w:r>
              <w:rPr>
                <w:sz w:val="17"/>
                <w:szCs w:val="17"/>
              </w:rPr>
              <w:t>+0.203 (+4.7)</w:t>
            </w:r>
          </w:p>
        </w:tc>
        <w:tc>
          <w:tcPr>
            <w:tcW w:w="142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4C48EB35" w14:textId="77777777" w:rsidR="003554B3" w:rsidRDefault="00000000">
            <w:pPr>
              <w:spacing w:after="0" w:line="240" w:lineRule="auto"/>
              <w:jc w:val="center"/>
            </w:pPr>
            <w:r>
              <w:rPr>
                <w:sz w:val="17"/>
                <w:szCs w:val="17"/>
              </w:rPr>
              <w:t>+0.380 (+4.7)</w:t>
            </w:r>
          </w:p>
        </w:tc>
        <w:tc>
          <w:tcPr>
            <w:tcW w:w="142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2474315E" w14:textId="77777777" w:rsidR="003554B3" w:rsidRDefault="00000000">
            <w:pPr>
              <w:spacing w:after="0" w:line="240" w:lineRule="auto"/>
              <w:jc w:val="center"/>
            </w:pPr>
            <w:r>
              <w:rPr>
                <w:sz w:val="17"/>
                <w:szCs w:val="17"/>
              </w:rPr>
              <w:t>+0.505 (+4.1)</w:t>
            </w:r>
          </w:p>
        </w:tc>
        <w:tc>
          <w:tcPr>
            <w:tcW w:w="120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189696DA" w14:textId="77777777" w:rsidR="003554B3" w:rsidRDefault="00000000">
            <w:pPr>
              <w:spacing w:after="0" w:line="240" w:lineRule="auto"/>
              <w:jc w:val="center"/>
            </w:pPr>
            <w:r>
              <w:rPr>
                <w:sz w:val="17"/>
                <w:szCs w:val="17"/>
              </w:rPr>
              <w:t>2,273</w:t>
            </w:r>
          </w:p>
        </w:tc>
        <w:tc>
          <w:tcPr>
            <w:tcW w:w="220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6425E968" w14:textId="77777777" w:rsidR="003554B3" w:rsidRDefault="00000000">
            <w:pPr>
              <w:spacing w:after="0" w:line="240" w:lineRule="auto"/>
              <w:jc w:val="center"/>
            </w:pPr>
            <w:r>
              <w:rPr>
                <w:sz w:val="17"/>
                <w:szCs w:val="17"/>
              </w:rPr>
              <w:t>+0.378 [+0.32, +0.43]</w:t>
            </w:r>
          </w:p>
        </w:tc>
      </w:tr>
      <w:tr w:rsidR="003554B3" w14:paraId="53F942A9" w14:textId="77777777">
        <w:trPr>
          <w:cantSplit/>
        </w:trPr>
        <w:tc>
          <w:tcPr>
            <w:tcW w:w="170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26901D56" w14:textId="77777777" w:rsidR="003554B3" w:rsidRDefault="00000000">
            <w:pPr>
              <w:spacing w:after="0" w:line="240" w:lineRule="auto"/>
            </w:pPr>
            <w:r>
              <w:rPr>
                <w:sz w:val="17"/>
                <w:szCs w:val="17"/>
              </w:rPr>
              <w:t>USD 2s10s</w:t>
            </w:r>
          </w:p>
        </w:tc>
        <w:tc>
          <w:tcPr>
            <w:tcW w:w="142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01C22D6F" w14:textId="77777777" w:rsidR="003554B3" w:rsidRDefault="00000000">
            <w:pPr>
              <w:spacing w:after="0" w:line="240" w:lineRule="auto"/>
              <w:jc w:val="center"/>
            </w:pPr>
            <w:r>
              <w:rPr>
                <w:sz w:val="17"/>
                <w:szCs w:val="17"/>
              </w:rPr>
              <w:t>+0.055 (+1.6)</w:t>
            </w:r>
          </w:p>
        </w:tc>
        <w:tc>
          <w:tcPr>
            <w:tcW w:w="142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1155AFDA" w14:textId="77777777" w:rsidR="003554B3" w:rsidRDefault="00000000">
            <w:pPr>
              <w:spacing w:after="0" w:line="240" w:lineRule="auto"/>
              <w:jc w:val="center"/>
            </w:pPr>
            <w:r>
              <w:rPr>
                <w:sz w:val="17"/>
                <w:szCs w:val="17"/>
              </w:rPr>
              <w:t>+0.088 (+1.3)</w:t>
            </w:r>
          </w:p>
        </w:tc>
        <w:tc>
          <w:tcPr>
            <w:tcW w:w="142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1F47FE57" w14:textId="77777777" w:rsidR="003554B3" w:rsidRDefault="00000000">
            <w:pPr>
              <w:spacing w:after="0" w:line="240" w:lineRule="auto"/>
              <w:jc w:val="center"/>
            </w:pPr>
            <w:r>
              <w:rPr>
                <w:sz w:val="17"/>
                <w:szCs w:val="17"/>
              </w:rPr>
              <w:t>+0.167 (+1.4)</w:t>
            </w:r>
          </w:p>
        </w:tc>
        <w:tc>
          <w:tcPr>
            <w:tcW w:w="120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27F5064E" w14:textId="77777777" w:rsidR="003554B3" w:rsidRDefault="00000000">
            <w:pPr>
              <w:spacing w:after="0" w:line="240" w:lineRule="auto"/>
              <w:jc w:val="center"/>
            </w:pPr>
            <w:r>
              <w:rPr>
                <w:sz w:val="17"/>
                <w:szCs w:val="17"/>
              </w:rPr>
              <w:t>2,930</w:t>
            </w:r>
          </w:p>
        </w:tc>
        <w:tc>
          <w:tcPr>
            <w:tcW w:w="220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7DFFA8BC" w14:textId="77777777" w:rsidR="003554B3" w:rsidRDefault="00000000">
            <w:pPr>
              <w:spacing w:after="0" w:line="240" w:lineRule="auto"/>
              <w:jc w:val="center"/>
            </w:pPr>
            <w:r>
              <w:rPr>
                <w:sz w:val="17"/>
                <w:szCs w:val="17"/>
              </w:rPr>
              <w:t>+0.088 [+0.02, +0.17]</w:t>
            </w:r>
          </w:p>
        </w:tc>
      </w:tr>
      <w:tr w:rsidR="003554B3" w14:paraId="4F27A65F" w14:textId="77777777">
        <w:trPr>
          <w:cantSplit/>
        </w:trPr>
        <w:tc>
          <w:tcPr>
            <w:tcW w:w="170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1C7F2BBB" w14:textId="77777777" w:rsidR="003554B3" w:rsidRDefault="00000000">
            <w:pPr>
              <w:spacing w:after="0" w:line="240" w:lineRule="auto"/>
            </w:pPr>
            <w:r>
              <w:rPr>
                <w:sz w:val="17"/>
                <w:szCs w:val="17"/>
              </w:rPr>
              <w:t>GBP 2s10s</w:t>
            </w:r>
          </w:p>
        </w:tc>
        <w:tc>
          <w:tcPr>
            <w:tcW w:w="142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55BD72B5" w14:textId="77777777" w:rsidR="003554B3" w:rsidRDefault="00000000">
            <w:pPr>
              <w:spacing w:after="0" w:line="240" w:lineRule="auto"/>
              <w:jc w:val="center"/>
            </w:pPr>
            <w:r>
              <w:rPr>
                <w:sz w:val="17"/>
                <w:szCs w:val="17"/>
              </w:rPr>
              <w:t>−0.001 (−0.0)</w:t>
            </w:r>
          </w:p>
        </w:tc>
        <w:tc>
          <w:tcPr>
            <w:tcW w:w="142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5FE6786C" w14:textId="77777777" w:rsidR="003554B3" w:rsidRDefault="00000000">
            <w:pPr>
              <w:spacing w:after="0" w:line="240" w:lineRule="auto"/>
              <w:jc w:val="center"/>
            </w:pPr>
            <w:r>
              <w:rPr>
                <w:sz w:val="17"/>
                <w:szCs w:val="17"/>
              </w:rPr>
              <w:t>+0.043 (+0.6)</w:t>
            </w:r>
          </w:p>
        </w:tc>
        <w:tc>
          <w:tcPr>
            <w:tcW w:w="142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27A6ABF1" w14:textId="77777777" w:rsidR="003554B3" w:rsidRDefault="00000000">
            <w:pPr>
              <w:spacing w:after="0" w:line="240" w:lineRule="auto"/>
              <w:jc w:val="center"/>
            </w:pPr>
            <w:r>
              <w:rPr>
                <w:sz w:val="17"/>
                <w:szCs w:val="17"/>
              </w:rPr>
              <w:t>+0.029 (+0.3)</w:t>
            </w:r>
          </w:p>
        </w:tc>
        <w:tc>
          <w:tcPr>
            <w:tcW w:w="120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401EF4D2" w14:textId="77777777" w:rsidR="003554B3" w:rsidRDefault="00000000">
            <w:pPr>
              <w:spacing w:after="0" w:line="240" w:lineRule="auto"/>
              <w:jc w:val="center"/>
            </w:pPr>
            <w:r>
              <w:rPr>
                <w:sz w:val="17"/>
                <w:szCs w:val="17"/>
              </w:rPr>
              <w:t>2,273</w:t>
            </w:r>
          </w:p>
        </w:tc>
        <w:tc>
          <w:tcPr>
            <w:tcW w:w="220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7EA305EF" w14:textId="77777777" w:rsidR="003554B3" w:rsidRDefault="00000000">
            <w:pPr>
              <w:spacing w:after="0" w:line="240" w:lineRule="auto"/>
              <w:jc w:val="center"/>
            </w:pPr>
            <w:r>
              <w:rPr>
                <w:sz w:val="17"/>
                <w:szCs w:val="17"/>
              </w:rPr>
              <w:t>+0.043 [−0.05, +0.13]</w:t>
            </w:r>
          </w:p>
        </w:tc>
      </w:tr>
      <w:tr w:rsidR="003554B3" w14:paraId="32528EAD" w14:textId="77777777">
        <w:trPr>
          <w:cantSplit/>
        </w:trPr>
        <w:tc>
          <w:tcPr>
            <w:tcW w:w="1700" w:type="dxa"/>
            <w:tcBorders>
              <w:top w:val="none" w:sz="0" w:space="0" w:color="FFFFFF"/>
              <w:left w:val="none" w:sz="0" w:space="0" w:color="FFFFFF"/>
              <w:bottom w:val="single" w:sz="8" w:space="0" w:color="1F3864"/>
              <w:right w:val="none" w:sz="0" w:space="0" w:color="FFFFFF"/>
            </w:tcBorders>
            <w:tcMar>
              <w:top w:w="70" w:type="dxa"/>
              <w:left w:w="110" w:type="dxa"/>
              <w:bottom w:w="70" w:type="dxa"/>
              <w:right w:w="110" w:type="dxa"/>
            </w:tcMar>
            <w:vAlign w:val="center"/>
          </w:tcPr>
          <w:p w14:paraId="3F2670CA" w14:textId="77777777" w:rsidR="003554B3" w:rsidRDefault="00000000">
            <w:pPr>
              <w:spacing w:after="0" w:line="240" w:lineRule="auto"/>
            </w:pPr>
            <w:r>
              <w:rPr>
                <w:sz w:val="17"/>
                <w:szCs w:val="17"/>
              </w:rPr>
              <w:t>GBP − USD 2y</w:t>
            </w:r>
          </w:p>
        </w:tc>
        <w:tc>
          <w:tcPr>
            <w:tcW w:w="1420" w:type="dxa"/>
            <w:tcBorders>
              <w:top w:val="none" w:sz="0" w:space="0" w:color="FFFFFF"/>
              <w:left w:val="none" w:sz="0" w:space="0" w:color="FFFFFF"/>
              <w:bottom w:val="single" w:sz="8" w:space="0" w:color="1F3864"/>
              <w:right w:val="none" w:sz="0" w:space="0" w:color="FFFFFF"/>
            </w:tcBorders>
            <w:tcMar>
              <w:top w:w="70" w:type="dxa"/>
              <w:left w:w="110" w:type="dxa"/>
              <w:bottom w:w="70" w:type="dxa"/>
              <w:right w:w="110" w:type="dxa"/>
            </w:tcMar>
            <w:vAlign w:val="center"/>
          </w:tcPr>
          <w:p w14:paraId="40C1CCE6" w14:textId="77777777" w:rsidR="003554B3" w:rsidRDefault="00000000">
            <w:pPr>
              <w:spacing w:after="0" w:line="240" w:lineRule="auto"/>
              <w:jc w:val="center"/>
            </w:pPr>
            <w:r>
              <w:rPr>
                <w:sz w:val="17"/>
                <w:szCs w:val="17"/>
              </w:rPr>
              <w:t>−0.015 (−0.4)</w:t>
            </w:r>
          </w:p>
        </w:tc>
        <w:tc>
          <w:tcPr>
            <w:tcW w:w="1420" w:type="dxa"/>
            <w:tcBorders>
              <w:top w:val="none" w:sz="0" w:space="0" w:color="FFFFFF"/>
              <w:left w:val="none" w:sz="0" w:space="0" w:color="FFFFFF"/>
              <w:bottom w:val="single" w:sz="8" w:space="0" w:color="1F3864"/>
              <w:right w:val="none" w:sz="0" w:space="0" w:color="FFFFFF"/>
            </w:tcBorders>
            <w:tcMar>
              <w:top w:w="70" w:type="dxa"/>
              <w:left w:w="110" w:type="dxa"/>
              <w:bottom w:w="70" w:type="dxa"/>
              <w:right w:w="110" w:type="dxa"/>
            </w:tcMar>
            <w:vAlign w:val="center"/>
          </w:tcPr>
          <w:p w14:paraId="65DE7363" w14:textId="77777777" w:rsidR="003554B3" w:rsidRDefault="00000000">
            <w:pPr>
              <w:spacing w:after="0" w:line="240" w:lineRule="auto"/>
              <w:jc w:val="center"/>
            </w:pPr>
            <w:r>
              <w:rPr>
                <w:sz w:val="17"/>
                <w:szCs w:val="17"/>
              </w:rPr>
              <w:t>−0.035 (−0.4)</w:t>
            </w:r>
          </w:p>
        </w:tc>
        <w:tc>
          <w:tcPr>
            <w:tcW w:w="1420" w:type="dxa"/>
            <w:tcBorders>
              <w:top w:val="none" w:sz="0" w:space="0" w:color="FFFFFF"/>
              <w:left w:val="none" w:sz="0" w:space="0" w:color="FFFFFF"/>
              <w:bottom w:val="single" w:sz="8" w:space="0" w:color="1F3864"/>
              <w:right w:val="none" w:sz="0" w:space="0" w:color="FFFFFF"/>
            </w:tcBorders>
            <w:tcMar>
              <w:top w:w="70" w:type="dxa"/>
              <w:left w:w="110" w:type="dxa"/>
              <w:bottom w:w="70" w:type="dxa"/>
              <w:right w:w="110" w:type="dxa"/>
            </w:tcMar>
            <w:vAlign w:val="center"/>
          </w:tcPr>
          <w:p w14:paraId="21FD8305" w14:textId="77777777" w:rsidR="003554B3" w:rsidRDefault="00000000">
            <w:pPr>
              <w:spacing w:after="0" w:line="240" w:lineRule="auto"/>
              <w:jc w:val="center"/>
            </w:pPr>
            <w:r>
              <w:rPr>
                <w:sz w:val="17"/>
                <w:szCs w:val="17"/>
              </w:rPr>
              <w:t>−0.036 (−0.3)</w:t>
            </w:r>
          </w:p>
        </w:tc>
        <w:tc>
          <w:tcPr>
            <w:tcW w:w="1200" w:type="dxa"/>
            <w:tcBorders>
              <w:top w:val="none" w:sz="0" w:space="0" w:color="FFFFFF"/>
              <w:left w:val="none" w:sz="0" w:space="0" w:color="FFFFFF"/>
              <w:bottom w:val="single" w:sz="8" w:space="0" w:color="1F3864"/>
              <w:right w:val="none" w:sz="0" w:space="0" w:color="FFFFFF"/>
            </w:tcBorders>
            <w:tcMar>
              <w:top w:w="70" w:type="dxa"/>
              <w:left w:w="110" w:type="dxa"/>
              <w:bottom w:w="70" w:type="dxa"/>
              <w:right w:w="110" w:type="dxa"/>
            </w:tcMar>
            <w:vAlign w:val="center"/>
          </w:tcPr>
          <w:p w14:paraId="1598196E" w14:textId="77777777" w:rsidR="003554B3" w:rsidRDefault="00000000">
            <w:pPr>
              <w:spacing w:after="0" w:line="240" w:lineRule="auto"/>
              <w:jc w:val="center"/>
            </w:pPr>
            <w:r>
              <w:rPr>
                <w:sz w:val="17"/>
                <w:szCs w:val="17"/>
              </w:rPr>
              <w:t>2,195</w:t>
            </w:r>
          </w:p>
        </w:tc>
        <w:tc>
          <w:tcPr>
            <w:tcW w:w="2200" w:type="dxa"/>
            <w:tcBorders>
              <w:top w:val="none" w:sz="0" w:space="0" w:color="FFFFFF"/>
              <w:left w:val="none" w:sz="0" w:space="0" w:color="FFFFFF"/>
              <w:bottom w:val="single" w:sz="8" w:space="0" w:color="1F3864"/>
              <w:right w:val="none" w:sz="0" w:space="0" w:color="FFFFFF"/>
            </w:tcBorders>
            <w:tcMar>
              <w:top w:w="70" w:type="dxa"/>
              <w:left w:w="110" w:type="dxa"/>
              <w:bottom w:w="70" w:type="dxa"/>
              <w:right w:w="110" w:type="dxa"/>
            </w:tcMar>
            <w:vAlign w:val="center"/>
          </w:tcPr>
          <w:p w14:paraId="071456CC" w14:textId="77777777" w:rsidR="003554B3" w:rsidRDefault="00000000">
            <w:pPr>
              <w:spacing w:after="0" w:line="240" w:lineRule="auto"/>
              <w:jc w:val="center"/>
            </w:pPr>
            <w:r>
              <w:rPr>
                <w:sz w:val="17"/>
                <w:szCs w:val="17"/>
              </w:rPr>
              <w:t>−0.033 [−0.11, +0.01]</w:t>
            </w:r>
          </w:p>
        </w:tc>
      </w:tr>
    </w:tbl>
    <w:p w14:paraId="24385007" w14:textId="77777777" w:rsidR="003554B3" w:rsidRDefault="00000000">
      <w:pPr>
        <w:pStyle w:val="FigureCaption"/>
        <w:spacing w:before="60" w:after="200"/>
      </w:pPr>
      <w:r>
        <w:rPr>
          <w:i/>
          <w:iCs/>
        </w:rPr>
        <w:t>Newey-West t in parentheses; the non-overlapping range in brackets.</w:t>
      </w:r>
    </w:p>
    <w:p w14:paraId="1F62D378" w14:textId="77777777" w:rsidR="003554B3" w:rsidRDefault="00000000">
      <w:r>
        <w:t>The t is Newey-West to lag h, but z is persistent, and so the products of z and the rate change stay autocorrelated past h. That results in t overstating the precision. The non-overlapping check gives GBP +0.32 to +0.43, clear of zero, and USD −0.18 to −0.06.</w:t>
      </w:r>
    </w:p>
    <w:p w14:paraId="2D575B8A" w14:textId="4E05EBF0" w:rsidR="003554B3" w:rsidRDefault="00000000">
      <w:r>
        <w:t xml:space="preserve">The interpretation from these results is that the market leads the Fed. A negative IC means the side z picks </w:t>
      </w:r>
      <w:proofErr w:type="gramStart"/>
      <w:r>
        <w:t>tends</w:t>
      </w:r>
      <w:proofErr w:type="gramEnd"/>
      <w:r>
        <w:t xml:space="preserve"> to lose on the rate: when the market sits further below the rule than usual, the rate the book trades </w:t>
      </w:r>
      <w:proofErr w:type="gramStart"/>
      <w:r>
        <w:t>tends</w:t>
      </w:r>
      <w:proofErr w:type="gramEnd"/>
      <w:r>
        <w:t xml:space="preserve"> to fall, not rise toward the rule. The rule falls towards the market instead, because the Fed’s rate moves. The dots move towards the market (+0.68 per bp of gap over 63 sessions (t +4.7) against +0.09 (t +0.5) the other way). The gap carries no usable information at the book level; GBP outright is the one exception. As shown later, I do not claim this as a tradable signal.</w:t>
      </w:r>
    </w:p>
    <w:p w14:paraId="0B5F98C6" w14:textId="77777777" w:rsidR="003554B3" w:rsidRDefault="00000000">
      <w:pPr>
        <w:pStyle w:val="Heading2"/>
        <w:numPr>
          <w:ilvl w:val="1"/>
          <w:numId w:val="3"/>
        </w:numPr>
      </w:pPr>
      <w:r>
        <w:t>Performance</w:t>
      </w:r>
    </w:p>
    <w:p w14:paraId="6D749D06" w14:textId="77777777" w:rsidR="003554B3" w:rsidRDefault="00000000">
      <w:r>
        <w:t xml:space="preserve">The book’s Sharpe ratio is −0.14 gross and −0.60 net (SE 0.32; Table 2): −3.19% of capital per year. The worst drawdown was more reflective of a grind than of a break, 57.5%: April 2014 to September 2021. The worst 21 </w:t>
      </w:r>
      <w:r>
        <w:lastRenderedPageBreak/>
        <w:t>session loss is only 10.8%. The losses in the book are concentrated in the USD outright, which accounts for −25.9% cumulative (Figure 5).</w:t>
      </w:r>
    </w:p>
    <w:p w14:paraId="2DB8D8C1" w14:textId="5E68963A" w:rsidR="003554B3" w:rsidRDefault="00000000">
      <w:pPr>
        <w:pStyle w:val="FigureCaption"/>
        <w:keepNext/>
        <w:spacing w:before="200" w:after="80"/>
      </w:pPr>
      <w:r>
        <w:rPr>
          <w:b/>
          <w:bCs/>
          <w:color w:val="1F3864"/>
        </w:rPr>
        <w:t xml:space="preserve">Table </w:t>
      </w:r>
      <w:r>
        <w:rPr>
          <w:b/>
          <w:bCs/>
          <w:color w:val="1F3864"/>
        </w:rPr>
        <w:fldChar w:fldCharType="begin"/>
      </w:r>
      <w:r>
        <w:rPr>
          <w:b/>
          <w:bCs/>
          <w:color w:val="1F3864"/>
        </w:rPr>
        <w:instrText xml:space="preserve"> SEQ Table \* ARABIC </w:instrText>
      </w:r>
      <w:r>
        <w:rPr>
          <w:b/>
          <w:bCs/>
          <w:color w:val="1F3864"/>
        </w:rPr>
        <w:fldChar w:fldCharType="separate"/>
      </w:r>
      <w:r w:rsidR="00E1205C">
        <w:rPr>
          <w:b/>
          <w:bCs/>
          <w:noProof/>
          <w:color w:val="1F3864"/>
        </w:rPr>
        <w:t>2</w:t>
      </w:r>
      <w:r>
        <w:rPr>
          <w:b/>
          <w:bCs/>
          <w:color w:val="1F3864"/>
        </w:rPr>
        <w:fldChar w:fldCharType="end"/>
      </w:r>
      <w:r>
        <w:rPr>
          <w:b/>
          <w:bCs/>
          <w:color w:val="1F3864"/>
        </w:rPr>
        <w:t xml:space="preserve">. </w:t>
      </w:r>
      <w:r>
        <w:t>Sharpe ratios (SE), gross and net of costs, and net with 2022 and 2022–23 left out.</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60"/>
        <w:gridCol w:w="1500"/>
        <w:gridCol w:w="1500"/>
        <w:gridCol w:w="1200"/>
        <w:gridCol w:w="1650"/>
        <w:gridCol w:w="1650"/>
      </w:tblGrid>
      <w:tr w:rsidR="003554B3" w14:paraId="7D91CFD2" w14:textId="77777777">
        <w:trPr>
          <w:cantSplit/>
          <w:tblHeader/>
        </w:trPr>
        <w:tc>
          <w:tcPr>
            <w:tcW w:w="1860" w:type="dxa"/>
            <w:tcBorders>
              <w:top w:val="none" w:sz="0" w:space="0" w:color="FFFFFF"/>
              <w:left w:val="none" w:sz="0" w:space="0" w:color="FFFFFF"/>
              <w:bottom w:val="single" w:sz="2" w:space="0" w:color="BFC9D6"/>
              <w:right w:val="none" w:sz="0" w:space="0" w:color="FFFFFF"/>
            </w:tcBorders>
            <w:shd w:val="clear" w:color="auto" w:fill="1F3864"/>
            <w:tcMar>
              <w:top w:w="70" w:type="dxa"/>
              <w:left w:w="110" w:type="dxa"/>
              <w:bottom w:w="70" w:type="dxa"/>
              <w:right w:w="110" w:type="dxa"/>
            </w:tcMar>
            <w:vAlign w:val="center"/>
          </w:tcPr>
          <w:p w14:paraId="27603B68" w14:textId="77777777" w:rsidR="003554B3" w:rsidRDefault="00000000">
            <w:pPr>
              <w:spacing w:after="0" w:line="240" w:lineRule="auto"/>
            </w:pPr>
            <w:r>
              <w:rPr>
                <w:b/>
                <w:bCs/>
                <w:color w:val="FFFFFF"/>
                <w:sz w:val="17"/>
                <w:szCs w:val="17"/>
              </w:rPr>
              <w:t>Sleeve</w:t>
            </w:r>
          </w:p>
        </w:tc>
        <w:tc>
          <w:tcPr>
            <w:tcW w:w="1500" w:type="dxa"/>
            <w:tcBorders>
              <w:top w:val="none" w:sz="0" w:space="0" w:color="FFFFFF"/>
              <w:left w:val="none" w:sz="0" w:space="0" w:color="FFFFFF"/>
              <w:bottom w:val="single" w:sz="2" w:space="0" w:color="BFC9D6"/>
              <w:right w:val="none" w:sz="0" w:space="0" w:color="FFFFFF"/>
            </w:tcBorders>
            <w:shd w:val="clear" w:color="auto" w:fill="1F3864"/>
            <w:tcMar>
              <w:top w:w="70" w:type="dxa"/>
              <w:left w:w="110" w:type="dxa"/>
              <w:bottom w:w="70" w:type="dxa"/>
              <w:right w:w="110" w:type="dxa"/>
            </w:tcMar>
            <w:vAlign w:val="center"/>
          </w:tcPr>
          <w:p w14:paraId="31D3CFB6" w14:textId="77777777" w:rsidR="003554B3" w:rsidRDefault="00000000">
            <w:pPr>
              <w:spacing w:after="0" w:line="240" w:lineRule="auto"/>
              <w:jc w:val="center"/>
            </w:pPr>
            <w:r>
              <w:rPr>
                <w:b/>
                <w:bCs/>
                <w:color w:val="FFFFFF"/>
                <w:sz w:val="17"/>
                <w:szCs w:val="17"/>
              </w:rPr>
              <w:t>Gross SR</w:t>
            </w:r>
          </w:p>
        </w:tc>
        <w:tc>
          <w:tcPr>
            <w:tcW w:w="1500" w:type="dxa"/>
            <w:tcBorders>
              <w:top w:val="none" w:sz="0" w:space="0" w:color="FFFFFF"/>
              <w:left w:val="none" w:sz="0" w:space="0" w:color="FFFFFF"/>
              <w:bottom w:val="single" w:sz="2" w:space="0" w:color="BFC9D6"/>
              <w:right w:val="none" w:sz="0" w:space="0" w:color="FFFFFF"/>
            </w:tcBorders>
            <w:shd w:val="clear" w:color="auto" w:fill="1F3864"/>
            <w:tcMar>
              <w:top w:w="70" w:type="dxa"/>
              <w:left w:w="110" w:type="dxa"/>
              <w:bottom w:w="70" w:type="dxa"/>
              <w:right w:w="110" w:type="dxa"/>
            </w:tcMar>
            <w:vAlign w:val="center"/>
          </w:tcPr>
          <w:p w14:paraId="25D4452C" w14:textId="77777777" w:rsidR="003554B3" w:rsidRDefault="00000000">
            <w:pPr>
              <w:spacing w:after="0" w:line="240" w:lineRule="auto"/>
              <w:jc w:val="center"/>
            </w:pPr>
            <w:r>
              <w:rPr>
                <w:b/>
                <w:bCs/>
                <w:color w:val="FFFFFF"/>
                <w:sz w:val="17"/>
                <w:szCs w:val="17"/>
              </w:rPr>
              <w:t>Net SR</w:t>
            </w:r>
          </w:p>
        </w:tc>
        <w:tc>
          <w:tcPr>
            <w:tcW w:w="1200" w:type="dxa"/>
            <w:tcBorders>
              <w:top w:val="none" w:sz="0" w:space="0" w:color="FFFFFF"/>
              <w:left w:val="none" w:sz="0" w:space="0" w:color="FFFFFF"/>
              <w:bottom w:val="single" w:sz="2" w:space="0" w:color="BFC9D6"/>
              <w:right w:val="none" w:sz="0" w:space="0" w:color="FFFFFF"/>
            </w:tcBorders>
            <w:shd w:val="clear" w:color="auto" w:fill="1F3864"/>
            <w:tcMar>
              <w:top w:w="70" w:type="dxa"/>
              <w:left w:w="110" w:type="dxa"/>
              <w:bottom w:w="70" w:type="dxa"/>
              <w:right w:w="110" w:type="dxa"/>
            </w:tcMar>
            <w:vAlign w:val="center"/>
          </w:tcPr>
          <w:p w14:paraId="5B6E6A78" w14:textId="77777777" w:rsidR="003554B3" w:rsidRDefault="00000000">
            <w:pPr>
              <w:spacing w:after="0" w:line="240" w:lineRule="auto"/>
              <w:jc w:val="center"/>
            </w:pPr>
            <w:r>
              <w:rPr>
                <w:b/>
                <w:bCs/>
                <w:color w:val="FFFFFF"/>
                <w:sz w:val="17"/>
                <w:szCs w:val="17"/>
              </w:rPr>
              <w:t>Net a year</w:t>
            </w:r>
          </w:p>
        </w:tc>
        <w:tc>
          <w:tcPr>
            <w:tcW w:w="1650" w:type="dxa"/>
            <w:tcBorders>
              <w:top w:val="none" w:sz="0" w:space="0" w:color="FFFFFF"/>
              <w:left w:val="none" w:sz="0" w:space="0" w:color="FFFFFF"/>
              <w:bottom w:val="single" w:sz="2" w:space="0" w:color="BFC9D6"/>
              <w:right w:val="none" w:sz="0" w:space="0" w:color="FFFFFF"/>
            </w:tcBorders>
            <w:shd w:val="clear" w:color="auto" w:fill="1F3864"/>
            <w:tcMar>
              <w:top w:w="70" w:type="dxa"/>
              <w:left w:w="110" w:type="dxa"/>
              <w:bottom w:w="70" w:type="dxa"/>
              <w:right w:w="110" w:type="dxa"/>
            </w:tcMar>
            <w:vAlign w:val="center"/>
          </w:tcPr>
          <w:p w14:paraId="35F7745B" w14:textId="77777777" w:rsidR="003554B3" w:rsidRDefault="00000000">
            <w:pPr>
              <w:spacing w:after="0" w:line="240" w:lineRule="auto"/>
              <w:jc w:val="center"/>
            </w:pPr>
            <w:r>
              <w:rPr>
                <w:b/>
                <w:bCs/>
                <w:color w:val="FFFFFF"/>
                <w:sz w:val="17"/>
                <w:szCs w:val="17"/>
              </w:rPr>
              <w:t>Ex-2022</w:t>
            </w:r>
          </w:p>
        </w:tc>
        <w:tc>
          <w:tcPr>
            <w:tcW w:w="1650" w:type="dxa"/>
            <w:tcBorders>
              <w:top w:val="none" w:sz="0" w:space="0" w:color="FFFFFF"/>
              <w:left w:val="none" w:sz="0" w:space="0" w:color="FFFFFF"/>
              <w:bottom w:val="single" w:sz="2" w:space="0" w:color="BFC9D6"/>
              <w:right w:val="none" w:sz="0" w:space="0" w:color="FFFFFF"/>
            </w:tcBorders>
            <w:shd w:val="clear" w:color="auto" w:fill="1F3864"/>
            <w:tcMar>
              <w:top w:w="70" w:type="dxa"/>
              <w:left w:w="110" w:type="dxa"/>
              <w:bottom w:w="70" w:type="dxa"/>
              <w:right w:w="110" w:type="dxa"/>
            </w:tcMar>
            <w:vAlign w:val="center"/>
          </w:tcPr>
          <w:p w14:paraId="71379D13" w14:textId="77777777" w:rsidR="003554B3" w:rsidRDefault="00000000">
            <w:pPr>
              <w:spacing w:after="0" w:line="240" w:lineRule="auto"/>
              <w:jc w:val="center"/>
            </w:pPr>
            <w:r>
              <w:rPr>
                <w:b/>
                <w:bCs/>
                <w:color w:val="FFFFFF"/>
                <w:sz w:val="17"/>
                <w:szCs w:val="17"/>
              </w:rPr>
              <w:t>Ex-2022–23</w:t>
            </w:r>
          </w:p>
        </w:tc>
      </w:tr>
      <w:tr w:rsidR="003554B3" w14:paraId="44B84072" w14:textId="77777777">
        <w:trPr>
          <w:cantSplit/>
        </w:trPr>
        <w:tc>
          <w:tcPr>
            <w:tcW w:w="1860" w:type="dxa"/>
            <w:tcBorders>
              <w:top w:val="none" w:sz="0" w:space="0" w:color="FFFFFF"/>
              <w:left w:val="none" w:sz="0" w:space="0" w:color="FFFFFF"/>
              <w:bottom w:val="single" w:sz="2" w:space="0" w:color="BFC9D6"/>
              <w:right w:val="none" w:sz="0" w:space="0" w:color="FFFFFF"/>
            </w:tcBorders>
            <w:shd w:val="clear" w:color="auto" w:fill="EEF3F9"/>
            <w:tcMar>
              <w:top w:w="70" w:type="dxa"/>
              <w:left w:w="110" w:type="dxa"/>
              <w:bottom w:w="70" w:type="dxa"/>
              <w:right w:w="110" w:type="dxa"/>
            </w:tcMar>
            <w:vAlign w:val="center"/>
          </w:tcPr>
          <w:p w14:paraId="5DDE971C" w14:textId="77777777" w:rsidR="003554B3" w:rsidRDefault="00000000">
            <w:pPr>
              <w:spacing w:after="0" w:line="240" w:lineRule="auto"/>
            </w:pPr>
            <w:r>
              <w:rPr>
                <w:b/>
                <w:bCs/>
                <w:sz w:val="17"/>
                <w:szCs w:val="17"/>
              </w:rPr>
              <w:t>Book</w:t>
            </w:r>
          </w:p>
        </w:tc>
        <w:tc>
          <w:tcPr>
            <w:tcW w:w="1500" w:type="dxa"/>
            <w:tcBorders>
              <w:top w:val="none" w:sz="0" w:space="0" w:color="FFFFFF"/>
              <w:left w:val="none" w:sz="0" w:space="0" w:color="FFFFFF"/>
              <w:bottom w:val="single" w:sz="2" w:space="0" w:color="BFC9D6"/>
              <w:right w:val="none" w:sz="0" w:space="0" w:color="FFFFFF"/>
            </w:tcBorders>
            <w:shd w:val="clear" w:color="auto" w:fill="EEF3F9"/>
            <w:tcMar>
              <w:top w:w="70" w:type="dxa"/>
              <w:left w:w="110" w:type="dxa"/>
              <w:bottom w:w="70" w:type="dxa"/>
              <w:right w:w="110" w:type="dxa"/>
            </w:tcMar>
            <w:vAlign w:val="center"/>
          </w:tcPr>
          <w:p w14:paraId="3F57F5B2" w14:textId="77777777" w:rsidR="003554B3" w:rsidRDefault="00000000">
            <w:pPr>
              <w:spacing w:after="0" w:line="240" w:lineRule="auto"/>
              <w:jc w:val="center"/>
            </w:pPr>
            <w:r>
              <w:rPr>
                <w:b/>
                <w:bCs/>
                <w:sz w:val="17"/>
                <w:szCs w:val="17"/>
              </w:rPr>
              <w:t>−0.14 (0.29)</w:t>
            </w:r>
          </w:p>
        </w:tc>
        <w:tc>
          <w:tcPr>
            <w:tcW w:w="1500" w:type="dxa"/>
            <w:tcBorders>
              <w:top w:val="none" w:sz="0" w:space="0" w:color="FFFFFF"/>
              <w:left w:val="none" w:sz="0" w:space="0" w:color="FFFFFF"/>
              <w:bottom w:val="single" w:sz="2" w:space="0" w:color="BFC9D6"/>
              <w:right w:val="none" w:sz="0" w:space="0" w:color="FFFFFF"/>
            </w:tcBorders>
            <w:shd w:val="clear" w:color="auto" w:fill="EEF3F9"/>
            <w:tcMar>
              <w:top w:w="70" w:type="dxa"/>
              <w:left w:w="110" w:type="dxa"/>
              <w:bottom w:w="70" w:type="dxa"/>
              <w:right w:w="110" w:type="dxa"/>
            </w:tcMar>
            <w:vAlign w:val="center"/>
          </w:tcPr>
          <w:p w14:paraId="2C79966A" w14:textId="77777777" w:rsidR="003554B3" w:rsidRDefault="00000000">
            <w:pPr>
              <w:spacing w:after="0" w:line="240" w:lineRule="auto"/>
              <w:jc w:val="center"/>
            </w:pPr>
            <w:r>
              <w:rPr>
                <w:b/>
                <w:bCs/>
                <w:sz w:val="17"/>
                <w:szCs w:val="17"/>
              </w:rPr>
              <w:t>−0.60 (0.32)</w:t>
            </w:r>
          </w:p>
        </w:tc>
        <w:tc>
          <w:tcPr>
            <w:tcW w:w="1200" w:type="dxa"/>
            <w:tcBorders>
              <w:top w:val="none" w:sz="0" w:space="0" w:color="FFFFFF"/>
              <w:left w:val="none" w:sz="0" w:space="0" w:color="FFFFFF"/>
              <w:bottom w:val="single" w:sz="2" w:space="0" w:color="BFC9D6"/>
              <w:right w:val="none" w:sz="0" w:space="0" w:color="FFFFFF"/>
            </w:tcBorders>
            <w:shd w:val="clear" w:color="auto" w:fill="EEF3F9"/>
            <w:tcMar>
              <w:top w:w="70" w:type="dxa"/>
              <w:left w:w="110" w:type="dxa"/>
              <w:bottom w:w="70" w:type="dxa"/>
              <w:right w:w="110" w:type="dxa"/>
            </w:tcMar>
            <w:vAlign w:val="center"/>
          </w:tcPr>
          <w:p w14:paraId="4F8C37CC" w14:textId="77777777" w:rsidR="003554B3" w:rsidRDefault="00000000">
            <w:pPr>
              <w:spacing w:after="0" w:line="240" w:lineRule="auto"/>
              <w:jc w:val="center"/>
            </w:pPr>
            <w:r>
              <w:rPr>
                <w:b/>
                <w:bCs/>
                <w:sz w:val="17"/>
                <w:szCs w:val="17"/>
              </w:rPr>
              <w:t>−3.19%</w:t>
            </w:r>
          </w:p>
        </w:tc>
        <w:tc>
          <w:tcPr>
            <w:tcW w:w="1650" w:type="dxa"/>
            <w:tcBorders>
              <w:top w:val="none" w:sz="0" w:space="0" w:color="FFFFFF"/>
              <w:left w:val="none" w:sz="0" w:space="0" w:color="FFFFFF"/>
              <w:bottom w:val="single" w:sz="2" w:space="0" w:color="BFC9D6"/>
              <w:right w:val="none" w:sz="0" w:space="0" w:color="FFFFFF"/>
            </w:tcBorders>
            <w:shd w:val="clear" w:color="auto" w:fill="EEF3F9"/>
            <w:tcMar>
              <w:top w:w="70" w:type="dxa"/>
              <w:left w:w="110" w:type="dxa"/>
              <w:bottom w:w="70" w:type="dxa"/>
              <w:right w:w="110" w:type="dxa"/>
            </w:tcMar>
            <w:vAlign w:val="center"/>
          </w:tcPr>
          <w:p w14:paraId="51457E66" w14:textId="77777777" w:rsidR="003554B3" w:rsidRDefault="00000000">
            <w:pPr>
              <w:spacing w:after="0" w:line="240" w:lineRule="auto"/>
              <w:jc w:val="center"/>
            </w:pPr>
            <w:r>
              <w:rPr>
                <w:b/>
                <w:bCs/>
                <w:sz w:val="17"/>
                <w:szCs w:val="17"/>
              </w:rPr>
              <w:t>−0.98 (0.37)</w:t>
            </w:r>
          </w:p>
        </w:tc>
        <w:tc>
          <w:tcPr>
            <w:tcW w:w="1650" w:type="dxa"/>
            <w:tcBorders>
              <w:top w:val="none" w:sz="0" w:space="0" w:color="FFFFFF"/>
              <w:left w:val="none" w:sz="0" w:space="0" w:color="FFFFFF"/>
              <w:bottom w:val="single" w:sz="2" w:space="0" w:color="BFC9D6"/>
              <w:right w:val="none" w:sz="0" w:space="0" w:color="FFFFFF"/>
            </w:tcBorders>
            <w:shd w:val="clear" w:color="auto" w:fill="EEF3F9"/>
            <w:tcMar>
              <w:top w:w="70" w:type="dxa"/>
              <w:left w:w="110" w:type="dxa"/>
              <w:bottom w:w="70" w:type="dxa"/>
              <w:right w:w="110" w:type="dxa"/>
            </w:tcMar>
            <w:vAlign w:val="center"/>
          </w:tcPr>
          <w:p w14:paraId="720F0178" w14:textId="77777777" w:rsidR="003554B3" w:rsidRDefault="00000000">
            <w:pPr>
              <w:spacing w:after="0" w:line="240" w:lineRule="auto"/>
              <w:jc w:val="center"/>
            </w:pPr>
            <w:r>
              <w:rPr>
                <w:b/>
                <w:bCs/>
                <w:sz w:val="17"/>
                <w:szCs w:val="17"/>
              </w:rPr>
              <w:t>−1.11 (0.40)</w:t>
            </w:r>
          </w:p>
        </w:tc>
      </w:tr>
      <w:tr w:rsidR="003554B3" w14:paraId="278FE222" w14:textId="77777777">
        <w:trPr>
          <w:cantSplit/>
        </w:trPr>
        <w:tc>
          <w:tcPr>
            <w:tcW w:w="186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6B8D25CF" w14:textId="77777777" w:rsidR="003554B3" w:rsidRDefault="00000000">
            <w:pPr>
              <w:spacing w:after="0" w:line="240" w:lineRule="auto"/>
            </w:pPr>
            <w:r>
              <w:rPr>
                <w:sz w:val="17"/>
                <w:szCs w:val="17"/>
              </w:rPr>
              <w:t>USD outright</w:t>
            </w:r>
          </w:p>
        </w:tc>
        <w:tc>
          <w:tcPr>
            <w:tcW w:w="150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20F07295" w14:textId="77777777" w:rsidR="003554B3" w:rsidRDefault="00000000">
            <w:pPr>
              <w:spacing w:after="0" w:line="240" w:lineRule="auto"/>
              <w:jc w:val="center"/>
            </w:pPr>
            <w:r>
              <w:rPr>
                <w:sz w:val="17"/>
                <w:szCs w:val="17"/>
              </w:rPr>
              <w:t>−0.50 (0.31)</w:t>
            </w:r>
          </w:p>
        </w:tc>
        <w:tc>
          <w:tcPr>
            <w:tcW w:w="150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436885AF" w14:textId="77777777" w:rsidR="003554B3" w:rsidRDefault="00000000">
            <w:pPr>
              <w:spacing w:after="0" w:line="240" w:lineRule="auto"/>
              <w:jc w:val="center"/>
            </w:pPr>
            <w:r>
              <w:rPr>
                <w:sz w:val="17"/>
                <w:szCs w:val="17"/>
              </w:rPr>
              <w:t>−0.88 (0.34)</w:t>
            </w:r>
          </w:p>
        </w:tc>
        <w:tc>
          <w:tcPr>
            <w:tcW w:w="120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1BDD7653" w14:textId="77777777" w:rsidR="003554B3" w:rsidRDefault="00000000">
            <w:pPr>
              <w:spacing w:after="0" w:line="240" w:lineRule="auto"/>
              <w:jc w:val="center"/>
            </w:pPr>
            <w:r>
              <w:rPr>
                <w:sz w:val="17"/>
                <w:szCs w:val="17"/>
              </w:rPr>
              <w:t>−2.19%</w:t>
            </w:r>
          </w:p>
        </w:tc>
        <w:tc>
          <w:tcPr>
            <w:tcW w:w="165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1A110946" w14:textId="77777777" w:rsidR="003554B3" w:rsidRDefault="00000000">
            <w:pPr>
              <w:spacing w:after="0" w:line="240" w:lineRule="auto"/>
              <w:jc w:val="center"/>
            </w:pPr>
            <w:r>
              <w:rPr>
                <w:sz w:val="17"/>
                <w:szCs w:val="17"/>
              </w:rPr>
              <w:t>−1.09 (0.38)</w:t>
            </w:r>
          </w:p>
        </w:tc>
        <w:tc>
          <w:tcPr>
            <w:tcW w:w="165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1A9D81F9" w14:textId="77777777" w:rsidR="003554B3" w:rsidRDefault="00000000">
            <w:pPr>
              <w:spacing w:after="0" w:line="240" w:lineRule="auto"/>
              <w:jc w:val="center"/>
            </w:pPr>
            <w:r>
              <w:rPr>
                <w:sz w:val="17"/>
                <w:szCs w:val="17"/>
              </w:rPr>
              <w:t>−1.23 (0.42)</w:t>
            </w:r>
          </w:p>
        </w:tc>
      </w:tr>
      <w:tr w:rsidR="003554B3" w14:paraId="56B77A0D" w14:textId="77777777">
        <w:trPr>
          <w:cantSplit/>
        </w:trPr>
        <w:tc>
          <w:tcPr>
            <w:tcW w:w="186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55E3006D" w14:textId="77777777" w:rsidR="003554B3" w:rsidRDefault="00000000">
            <w:pPr>
              <w:spacing w:after="0" w:line="240" w:lineRule="auto"/>
            </w:pPr>
            <w:r>
              <w:rPr>
                <w:sz w:val="17"/>
                <w:szCs w:val="17"/>
              </w:rPr>
              <w:t>GBP outright</w:t>
            </w:r>
          </w:p>
        </w:tc>
        <w:tc>
          <w:tcPr>
            <w:tcW w:w="150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009439C8" w14:textId="77777777" w:rsidR="003554B3" w:rsidRDefault="00000000">
            <w:pPr>
              <w:spacing w:after="0" w:line="240" w:lineRule="auto"/>
              <w:jc w:val="center"/>
            </w:pPr>
            <w:r>
              <w:rPr>
                <w:sz w:val="17"/>
                <w:szCs w:val="17"/>
              </w:rPr>
              <w:t>+0.73 (0.33)</w:t>
            </w:r>
          </w:p>
        </w:tc>
        <w:tc>
          <w:tcPr>
            <w:tcW w:w="150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51795B83" w14:textId="77777777" w:rsidR="003554B3" w:rsidRDefault="00000000">
            <w:pPr>
              <w:spacing w:after="0" w:line="240" w:lineRule="auto"/>
              <w:jc w:val="center"/>
            </w:pPr>
            <w:r>
              <w:rPr>
                <w:sz w:val="17"/>
                <w:szCs w:val="17"/>
              </w:rPr>
              <w:t>+0.50 (0.31)</w:t>
            </w:r>
          </w:p>
        </w:tc>
        <w:tc>
          <w:tcPr>
            <w:tcW w:w="120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37B890BA" w14:textId="77777777" w:rsidR="003554B3" w:rsidRDefault="00000000">
            <w:pPr>
              <w:spacing w:after="0" w:line="240" w:lineRule="auto"/>
              <w:jc w:val="center"/>
            </w:pPr>
            <w:r>
              <w:rPr>
                <w:sz w:val="17"/>
                <w:szCs w:val="17"/>
              </w:rPr>
              <w:t>+0.99%</w:t>
            </w:r>
          </w:p>
        </w:tc>
        <w:tc>
          <w:tcPr>
            <w:tcW w:w="165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3E94F03C" w14:textId="77777777" w:rsidR="003554B3" w:rsidRDefault="00000000">
            <w:pPr>
              <w:spacing w:after="0" w:line="240" w:lineRule="auto"/>
              <w:jc w:val="center"/>
            </w:pPr>
            <w:r>
              <w:rPr>
                <w:sz w:val="17"/>
                <w:szCs w:val="17"/>
              </w:rPr>
              <w:t>+0.15 (0.31)</w:t>
            </w:r>
          </w:p>
        </w:tc>
        <w:tc>
          <w:tcPr>
            <w:tcW w:w="165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72D0FE44" w14:textId="77777777" w:rsidR="003554B3" w:rsidRDefault="00000000">
            <w:pPr>
              <w:spacing w:after="0" w:line="240" w:lineRule="auto"/>
              <w:jc w:val="center"/>
            </w:pPr>
            <w:r>
              <w:rPr>
                <w:sz w:val="17"/>
                <w:szCs w:val="17"/>
              </w:rPr>
              <w:t>+0.04 (0.32)</w:t>
            </w:r>
          </w:p>
        </w:tc>
      </w:tr>
      <w:tr w:rsidR="003554B3" w14:paraId="7C55A55C" w14:textId="77777777">
        <w:trPr>
          <w:cantSplit/>
        </w:trPr>
        <w:tc>
          <w:tcPr>
            <w:tcW w:w="186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57D22E98" w14:textId="77777777" w:rsidR="003554B3" w:rsidRDefault="00000000">
            <w:pPr>
              <w:spacing w:after="0" w:line="240" w:lineRule="auto"/>
            </w:pPr>
            <w:r>
              <w:rPr>
                <w:sz w:val="17"/>
                <w:szCs w:val="17"/>
              </w:rPr>
              <w:t>USD 2s10s</w:t>
            </w:r>
          </w:p>
        </w:tc>
        <w:tc>
          <w:tcPr>
            <w:tcW w:w="150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3552704F" w14:textId="77777777" w:rsidR="003554B3" w:rsidRDefault="00000000">
            <w:pPr>
              <w:spacing w:after="0" w:line="240" w:lineRule="auto"/>
              <w:jc w:val="center"/>
            </w:pPr>
            <w:r>
              <w:rPr>
                <w:sz w:val="17"/>
                <w:szCs w:val="17"/>
              </w:rPr>
              <w:t>+0.01 (0.29)</w:t>
            </w:r>
          </w:p>
        </w:tc>
        <w:tc>
          <w:tcPr>
            <w:tcW w:w="150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36AB608A" w14:textId="77777777" w:rsidR="003554B3" w:rsidRDefault="00000000">
            <w:pPr>
              <w:spacing w:after="0" w:line="240" w:lineRule="auto"/>
              <w:jc w:val="center"/>
            </w:pPr>
            <w:r>
              <w:rPr>
                <w:sz w:val="17"/>
                <w:szCs w:val="17"/>
              </w:rPr>
              <w:t>−0.12 (0.29)</w:t>
            </w:r>
          </w:p>
        </w:tc>
        <w:tc>
          <w:tcPr>
            <w:tcW w:w="120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67A35FCD" w14:textId="77777777" w:rsidR="003554B3" w:rsidRDefault="00000000">
            <w:pPr>
              <w:spacing w:after="0" w:line="240" w:lineRule="auto"/>
              <w:jc w:val="center"/>
            </w:pPr>
            <w:r>
              <w:rPr>
                <w:sz w:val="17"/>
                <w:szCs w:val="17"/>
              </w:rPr>
              <w:t>−0.29%</w:t>
            </w:r>
          </w:p>
        </w:tc>
        <w:tc>
          <w:tcPr>
            <w:tcW w:w="165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019F3B3B" w14:textId="77777777" w:rsidR="003554B3" w:rsidRDefault="00000000">
            <w:pPr>
              <w:spacing w:after="0" w:line="240" w:lineRule="auto"/>
              <w:jc w:val="center"/>
            </w:pPr>
            <w:r>
              <w:rPr>
                <w:sz w:val="17"/>
                <w:szCs w:val="17"/>
              </w:rPr>
              <w:t>−0.15 (0.31)</w:t>
            </w:r>
          </w:p>
        </w:tc>
        <w:tc>
          <w:tcPr>
            <w:tcW w:w="165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54AFEE4B" w14:textId="77777777" w:rsidR="003554B3" w:rsidRDefault="00000000">
            <w:pPr>
              <w:spacing w:after="0" w:line="240" w:lineRule="auto"/>
              <w:jc w:val="center"/>
            </w:pPr>
            <w:r>
              <w:rPr>
                <w:sz w:val="17"/>
                <w:szCs w:val="17"/>
              </w:rPr>
              <w:t>−0.19 (0.32)</w:t>
            </w:r>
          </w:p>
        </w:tc>
      </w:tr>
      <w:tr w:rsidR="003554B3" w14:paraId="62C35734" w14:textId="77777777">
        <w:trPr>
          <w:cantSplit/>
        </w:trPr>
        <w:tc>
          <w:tcPr>
            <w:tcW w:w="186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7CB5B839" w14:textId="77777777" w:rsidR="003554B3" w:rsidRDefault="00000000">
            <w:pPr>
              <w:spacing w:after="0" w:line="240" w:lineRule="auto"/>
            </w:pPr>
            <w:r>
              <w:rPr>
                <w:sz w:val="17"/>
                <w:szCs w:val="17"/>
              </w:rPr>
              <w:t>GBP 2s10s</w:t>
            </w:r>
          </w:p>
        </w:tc>
        <w:tc>
          <w:tcPr>
            <w:tcW w:w="150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62696202" w14:textId="77777777" w:rsidR="003554B3" w:rsidRDefault="00000000">
            <w:pPr>
              <w:spacing w:after="0" w:line="240" w:lineRule="auto"/>
              <w:jc w:val="center"/>
            </w:pPr>
            <w:r>
              <w:rPr>
                <w:sz w:val="17"/>
                <w:szCs w:val="17"/>
              </w:rPr>
              <w:t>−0.36 (0.30)</w:t>
            </w:r>
          </w:p>
        </w:tc>
        <w:tc>
          <w:tcPr>
            <w:tcW w:w="150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7FE1D7F1" w14:textId="77777777" w:rsidR="003554B3" w:rsidRDefault="00000000">
            <w:pPr>
              <w:spacing w:after="0" w:line="240" w:lineRule="auto"/>
              <w:jc w:val="center"/>
            </w:pPr>
            <w:r>
              <w:rPr>
                <w:sz w:val="17"/>
                <w:szCs w:val="17"/>
              </w:rPr>
              <w:t>−0.62 (0.32)</w:t>
            </w:r>
          </w:p>
        </w:tc>
        <w:tc>
          <w:tcPr>
            <w:tcW w:w="120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16262400" w14:textId="77777777" w:rsidR="003554B3" w:rsidRDefault="00000000">
            <w:pPr>
              <w:spacing w:after="0" w:line="240" w:lineRule="auto"/>
              <w:jc w:val="center"/>
            </w:pPr>
            <w:r>
              <w:rPr>
                <w:sz w:val="17"/>
                <w:szCs w:val="17"/>
              </w:rPr>
              <w:t>−1.15%</w:t>
            </w:r>
          </w:p>
        </w:tc>
        <w:tc>
          <w:tcPr>
            <w:tcW w:w="165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503FD99C" w14:textId="77777777" w:rsidR="003554B3" w:rsidRDefault="00000000">
            <w:pPr>
              <w:spacing w:after="0" w:line="240" w:lineRule="auto"/>
              <w:jc w:val="center"/>
            </w:pPr>
            <w:r>
              <w:rPr>
                <w:sz w:val="17"/>
                <w:szCs w:val="17"/>
              </w:rPr>
              <w:t>−0.73 (0.34)</w:t>
            </w:r>
          </w:p>
        </w:tc>
        <w:tc>
          <w:tcPr>
            <w:tcW w:w="165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3C8C05B2" w14:textId="77777777" w:rsidR="003554B3" w:rsidRDefault="00000000">
            <w:pPr>
              <w:spacing w:after="0" w:line="240" w:lineRule="auto"/>
              <w:jc w:val="center"/>
            </w:pPr>
            <w:r>
              <w:rPr>
                <w:sz w:val="17"/>
                <w:szCs w:val="17"/>
              </w:rPr>
              <w:t>−0.58 (0.34)</w:t>
            </w:r>
          </w:p>
        </w:tc>
      </w:tr>
      <w:tr w:rsidR="003554B3" w14:paraId="7FD94DA9" w14:textId="77777777">
        <w:trPr>
          <w:cantSplit/>
        </w:trPr>
        <w:tc>
          <w:tcPr>
            <w:tcW w:w="1860" w:type="dxa"/>
            <w:tcBorders>
              <w:top w:val="none" w:sz="0" w:space="0" w:color="FFFFFF"/>
              <w:left w:val="none" w:sz="0" w:space="0" w:color="FFFFFF"/>
              <w:bottom w:val="single" w:sz="8" w:space="0" w:color="1F3864"/>
              <w:right w:val="none" w:sz="0" w:space="0" w:color="FFFFFF"/>
            </w:tcBorders>
            <w:tcMar>
              <w:top w:w="70" w:type="dxa"/>
              <w:left w:w="110" w:type="dxa"/>
              <w:bottom w:w="70" w:type="dxa"/>
              <w:right w:w="110" w:type="dxa"/>
            </w:tcMar>
            <w:vAlign w:val="center"/>
          </w:tcPr>
          <w:p w14:paraId="7AF5420D" w14:textId="77777777" w:rsidR="003554B3" w:rsidRDefault="00000000">
            <w:pPr>
              <w:spacing w:after="0" w:line="240" w:lineRule="auto"/>
            </w:pPr>
            <w:r>
              <w:rPr>
                <w:sz w:val="17"/>
                <w:szCs w:val="17"/>
              </w:rPr>
              <w:t>GBP − USD 2y</w:t>
            </w:r>
          </w:p>
        </w:tc>
        <w:tc>
          <w:tcPr>
            <w:tcW w:w="1500" w:type="dxa"/>
            <w:tcBorders>
              <w:top w:val="none" w:sz="0" w:space="0" w:color="FFFFFF"/>
              <w:left w:val="none" w:sz="0" w:space="0" w:color="FFFFFF"/>
              <w:bottom w:val="single" w:sz="8" w:space="0" w:color="1F3864"/>
              <w:right w:val="none" w:sz="0" w:space="0" w:color="FFFFFF"/>
            </w:tcBorders>
            <w:tcMar>
              <w:top w:w="70" w:type="dxa"/>
              <w:left w:w="110" w:type="dxa"/>
              <w:bottom w:w="70" w:type="dxa"/>
              <w:right w:w="110" w:type="dxa"/>
            </w:tcMar>
            <w:vAlign w:val="center"/>
          </w:tcPr>
          <w:p w14:paraId="2DF3D699" w14:textId="77777777" w:rsidR="003554B3" w:rsidRDefault="00000000">
            <w:pPr>
              <w:spacing w:after="0" w:line="240" w:lineRule="auto"/>
              <w:jc w:val="center"/>
            </w:pPr>
            <w:r>
              <w:rPr>
                <w:sz w:val="17"/>
                <w:szCs w:val="17"/>
              </w:rPr>
              <w:t>−0.15 (0.29)</w:t>
            </w:r>
          </w:p>
        </w:tc>
        <w:tc>
          <w:tcPr>
            <w:tcW w:w="1500" w:type="dxa"/>
            <w:tcBorders>
              <w:top w:val="none" w:sz="0" w:space="0" w:color="FFFFFF"/>
              <w:left w:val="none" w:sz="0" w:space="0" w:color="FFFFFF"/>
              <w:bottom w:val="single" w:sz="8" w:space="0" w:color="1F3864"/>
              <w:right w:val="none" w:sz="0" w:space="0" w:color="FFFFFF"/>
            </w:tcBorders>
            <w:tcMar>
              <w:top w:w="70" w:type="dxa"/>
              <w:left w:w="110" w:type="dxa"/>
              <w:bottom w:w="70" w:type="dxa"/>
              <w:right w:w="110" w:type="dxa"/>
            </w:tcMar>
            <w:vAlign w:val="center"/>
          </w:tcPr>
          <w:p w14:paraId="7E7C7861" w14:textId="77777777" w:rsidR="003554B3" w:rsidRDefault="00000000">
            <w:pPr>
              <w:spacing w:after="0" w:line="240" w:lineRule="auto"/>
              <w:jc w:val="center"/>
            </w:pPr>
            <w:r>
              <w:rPr>
                <w:sz w:val="17"/>
                <w:szCs w:val="17"/>
              </w:rPr>
              <w:t>−0.27 (0.30)</w:t>
            </w:r>
          </w:p>
        </w:tc>
        <w:tc>
          <w:tcPr>
            <w:tcW w:w="1200" w:type="dxa"/>
            <w:tcBorders>
              <w:top w:val="none" w:sz="0" w:space="0" w:color="FFFFFF"/>
              <w:left w:val="none" w:sz="0" w:space="0" w:color="FFFFFF"/>
              <w:bottom w:val="single" w:sz="8" w:space="0" w:color="1F3864"/>
              <w:right w:val="none" w:sz="0" w:space="0" w:color="FFFFFF"/>
            </w:tcBorders>
            <w:tcMar>
              <w:top w:w="70" w:type="dxa"/>
              <w:left w:w="110" w:type="dxa"/>
              <w:bottom w:w="70" w:type="dxa"/>
              <w:right w:w="110" w:type="dxa"/>
            </w:tcMar>
            <w:vAlign w:val="center"/>
          </w:tcPr>
          <w:p w14:paraId="0823286A" w14:textId="77777777" w:rsidR="003554B3" w:rsidRDefault="00000000">
            <w:pPr>
              <w:spacing w:after="0" w:line="240" w:lineRule="auto"/>
              <w:jc w:val="center"/>
            </w:pPr>
            <w:r>
              <w:rPr>
                <w:sz w:val="17"/>
                <w:szCs w:val="17"/>
              </w:rPr>
              <w:t>−0.54%</w:t>
            </w:r>
          </w:p>
        </w:tc>
        <w:tc>
          <w:tcPr>
            <w:tcW w:w="1650" w:type="dxa"/>
            <w:tcBorders>
              <w:top w:val="none" w:sz="0" w:space="0" w:color="FFFFFF"/>
              <w:left w:val="none" w:sz="0" w:space="0" w:color="FFFFFF"/>
              <w:bottom w:val="single" w:sz="8" w:space="0" w:color="1F3864"/>
              <w:right w:val="none" w:sz="0" w:space="0" w:color="FFFFFF"/>
            </w:tcBorders>
            <w:tcMar>
              <w:top w:w="70" w:type="dxa"/>
              <w:left w:w="110" w:type="dxa"/>
              <w:bottom w:w="70" w:type="dxa"/>
              <w:right w:w="110" w:type="dxa"/>
            </w:tcMar>
            <w:vAlign w:val="center"/>
          </w:tcPr>
          <w:p w14:paraId="47D211B2" w14:textId="77777777" w:rsidR="003554B3" w:rsidRDefault="00000000">
            <w:pPr>
              <w:spacing w:after="0" w:line="240" w:lineRule="auto"/>
              <w:jc w:val="center"/>
            </w:pPr>
            <w:r>
              <w:rPr>
                <w:sz w:val="17"/>
                <w:szCs w:val="17"/>
              </w:rPr>
              <w:t>−0.48 (0.32)</w:t>
            </w:r>
          </w:p>
        </w:tc>
        <w:tc>
          <w:tcPr>
            <w:tcW w:w="1650" w:type="dxa"/>
            <w:tcBorders>
              <w:top w:val="none" w:sz="0" w:space="0" w:color="FFFFFF"/>
              <w:left w:val="none" w:sz="0" w:space="0" w:color="FFFFFF"/>
              <w:bottom w:val="single" w:sz="8" w:space="0" w:color="1F3864"/>
              <w:right w:val="none" w:sz="0" w:space="0" w:color="FFFFFF"/>
            </w:tcBorders>
            <w:tcMar>
              <w:top w:w="70" w:type="dxa"/>
              <w:left w:w="110" w:type="dxa"/>
              <w:bottom w:w="70" w:type="dxa"/>
              <w:right w:w="110" w:type="dxa"/>
            </w:tcMar>
            <w:vAlign w:val="center"/>
          </w:tcPr>
          <w:p w14:paraId="60FDB36D" w14:textId="77777777" w:rsidR="003554B3" w:rsidRDefault="00000000">
            <w:pPr>
              <w:spacing w:after="0" w:line="240" w:lineRule="auto"/>
              <w:jc w:val="center"/>
            </w:pPr>
            <w:r>
              <w:rPr>
                <w:sz w:val="17"/>
                <w:szCs w:val="17"/>
              </w:rPr>
              <w:t>−0.62 (0.34)</w:t>
            </w:r>
          </w:p>
        </w:tc>
      </w:tr>
    </w:tbl>
    <w:p w14:paraId="4E855045" w14:textId="77777777" w:rsidR="003554B3" w:rsidRDefault="003554B3">
      <w:pPr>
        <w:spacing w:after="80"/>
      </w:pPr>
    </w:p>
    <w:p w14:paraId="6B6534EA" w14:textId="77777777" w:rsidR="003554B3" w:rsidRDefault="00000000">
      <w:pPr>
        <w:keepNext/>
        <w:spacing w:before="120" w:after="60" w:line="240" w:lineRule="auto"/>
        <w:jc w:val="center"/>
      </w:pPr>
      <w:r>
        <w:rPr>
          <w:noProof/>
        </w:rPr>
        <w:drawing>
          <wp:inline distT="0" distB="0" distL="0" distR="0" wp14:anchorId="43C35246" wp14:editId="37382923">
            <wp:extent cx="5762625" cy="2533650"/>
            <wp:effectExtent l="0" t="0" r="0" b="0"/>
            <wp:docPr id="1479240916" name="Figure 8" descr="Net equity of the book by construction, and the headline book’s net P&amp;L by sleeve."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2625" cy="2533650"/>
                    </a:xfrm>
                    <a:prstGeom prst="rect">
                      <a:avLst/>
                    </a:prstGeom>
                  </pic:spPr>
                </pic:pic>
              </a:graphicData>
            </a:graphic>
          </wp:inline>
        </w:drawing>
      </w:r>
    </w:p>
    <w:p w14:paraId="24ABEAA6" w14:textId="6DE855C1" w:rsidR="003554B3" w:rsidRDefault="00000000">
      <w:pPr>
        <w:pStyle w:val="FigureCaption"/>
        <w:jc w:val="center"/>
      </w:pPr>
      <w:r>
        <w:rPr>
          <w:b/>
          <w:bCs/>
          <w:color w:val="1F3864"/>
        </w:rPr>
        <w:t xml:space="preserve">Figure </w:t>
      </w:r>
      <w:r>
        <w:rPr>
          <w:b/>
          <w:bCs/>
          <w:color w:val="1F3864"/>
        </w:rPr>
        <w:fldChar w:fldCharType="begin"/>
      </w:r>
      <w:r>
        <w:rPr>
          <w:b/>
          <w:bCs/>
          <w:color w:val="1F3864"/>
        </w:rPr>
        <w:instrText xml:space="preserve"> SEQ Figure \* ARABIC </w:instrText>
      </w:r>
      <w:r>
        <w:rPr>
          <w:b/>
          <w:bCs/>
          <w:color w:val="1F3864"/>
        </w:rPr>
        <w:fldChar w:fldCharType="separate"/>
      </w:r>
      <w:r w:rsidR="00E1205C">
        <w:rPr>
          <w:b/>
          <w:bCs/>
          <w:noProof/>
          <w:color w:val="1F3864"/>
        </w:rPr>
        <w:t>5</w:t>
      </w:r>
      <w:r>
        <w:rPr>
          <w:b/>
          <w:bCs/>
          <w:color w:val="1F3864"/>
        </w:rPr>
        <w:fldChar w:fldCharType="end"/>
      </w:r>
      <w:r>
        <w:rPr>
          <w:b/>
          <w:bCs/>
          <w:color w:val="1F3864"/>
        </w:rPr>
        <w:t xml:space="preserve">. </w:t>
      </w:r>
      <w:r>
        <w:t>Net equity of the book by construction, and the headline book’s net P&amp;L by sleeve.</w:t>
      </w:r>
    </w:p>
    <w:p w14:paraId="72559C85" w14:textId="77777777" w:rsidR="003554B3" w:rsidRDefault="00000000">
      <w:r>
        <w:t>GBP outright is the only sleeve that earns, and it earns in one window: net Sharpe ratio +1.76 (SE 0.87) while hiking, on 4 trades; excluding this winning period (2022–2023) it nets +0.04. GBP outright’s success depends on this window, a hindsight r* constant, and is sensitive to the coefficients (+0.67 → +0.13).</w:t>
      </w:r>
    </w:p>
    <w:p w14:paraId="59629FB0" w14:textId="77777777" w:rsidR="003554B3" w:rsidRDefault="00000000">
      <w:r>
        <w:t>63% of the variance of the daily gross P&amp;L is the exposure to the front-end, so the book is closer to a duration timer than it is to a relative value trade. In fact, for the gross P&amp;L, the level exposure earned 0.05% of capital per year, where the rest lost 0.77%. The level sleeves earn +0.22% per year gross and −1.20% net; costs (1.43%) alone turn the level negative (Figure 6). The risk is the level’s; the loss is the rest’s.</w:t>
      </w:r>
    </w:p>
    <w:p w14:paraId="37950911" w14:textId="77777777" w:rsidR="003554B3" w:rsidRDefault="00000000">
      <w:pPr>
        <w:keepNext/>
        <w:spacing w:before="120" w:after="60" w:line="240" w:lineRule="auto"/>
        <w:jc w:val="center"/>
      </w:pPr>
      <w:r>
        <w:rPr>
          <w:noProof/>
        </w:rPr>
        <w:lastRenderedPageBreak/>
        <w:drawing>
          <wp:inline distT="0" distB="0" distL="0" distR="0" wp14:anchorId="008EF82A" wp14:editId="07D30B93">
            <wp:extent cx="3933825" cy="2619375"/>
            <wp:effectExtent l="0" t="0" r="0" b="0"/>
            <wp:docPr id="355916275" name="Figure 9" descr="Net equity by component: level, slope and cross-country, with the book gross and net."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933825" cy="2619375"/>
                    </a:xfrm>
                    <a:prstGeom prst="rect">
                      <a:avLst/>
                    </a:prstGeom>
                  </pic:spPr>
                </pic:pic>
              </a:graphicData>
            </a:graphic>
          </wp:inline>
        </w:drawing>
      </w:r>
    </w:p>
    <w:p w14:paraId="6B899AC1" w14:textId="2C4F7CF1" w:rsidR="003554B3" w:rsidRDefault="00000000">
      <w:pPr>
        <w:pStyle w:val="FigureCaption"/>
        <w:jc w:val="center"/>
      </w:pPr>
      <w:r>
        <w:rPr>
          <w:b/>
          <w:bCs/>
          <w:color w:val="1F3864"/>
        </w:rPr>
        <w:t xml:space="preserve">Figure </w:t>
      </w:r>
      <w:r>
        <w:rPr>
          <w:b/>
          <w:bCs/>
          <w:color w:val="1F3864"/>
        </w:rPr>
        <w:fldChar w:fldCharType="begin"/>
      </w:r>
      <w:r>
        <w:rPr>
          <w:b/>
          <w:bCs/>
          <w:color w:val="1F3864"/>
        </w:rPr>
        <w:instrText xml:space="preserve"> SEQ Figure \* ARABIC </w:instrText>
      </w:r>
      <w:r>
        <w:rPr>
          <w:b/>
          <w:bCs/>
          <w:color w:val="1F3864"/>
        </w:rPr>
        <w:fldChar w:fldCharType="separate"/>
      </w:r>
      <w:r w:rsidR="00E1205C">
        <w:rPr>
          <w:b/>
          <w:bCs/>
          <w:noProof/>
          <w:color w:val="1F3864"/>
        </w:rPr>
        <w:t>6</w:t>
      </w:r>
      <w:r>
        <w:rPr>
          <w:b/>
          <w:bCs/>
          <w:color w:val="1F3864"/>
        </w:rPr>
        <w:fldChar w:fldCharType="end"/>
      </w:r>
      <w:r>
        <w:rPr>
          <w:b/>
          <w:bCs/>
          <w:color w:val="1F3864"/>
        </w:rPr>
        <w:t xml:space="preserve">. </w:t>
      </w:r>
      <w:r>
        <w:t>Net equity by component: level, slope and cross-country, with the book gross and net.</w:t>
      </w:r>
    </w:p>
    <w:p w14:paraId="1902C631" w14:textId="77777777" w:rsidR="003554B3" w:rsidRDefault="00000000">
      <w:pPr>
        <w:pStyle w:val="Heading2"/>
        <w:numPr>
          <w:ilvl w:val="1"/>
          <w:numId w:val="3"/>
        </w:numPr>
      </w:pPr>
      <w:r>
        <w:t>Reaction</w:t>
      </w:r>
    </w:p>
    <w:p w14:paraId="1A7A04D1" w14:textId="77777777" w:rsidR="003554B3" w:rsidRDefault="00000000">
      <w:r>
        <w:t>Nothing was re-tuned in response. The hysteresis pair was set in config before the grid ran. Similarly, the ELB treatment and construction were fixed before the results.</w:t>
      </w:r>
    </w:p>
    <w:p w14:paraId="5617968C" w14:textId="77777777" w:rsidR="003554B3" w:rsidRDefault="00000000">
      <w:pPr>
        <w:pStyle w:val="Heading1"/>
        <w:numPr>
          <w:ilvl w:val="0"/>
          <w:numId w:val="3"/>
        </w:numPr>
      </w:pPr>
      <w:r>
        <w:t>Costs, rolls and breakeven</w:t>
      </w:r>
    </w:p>
    <w:p w14:paraId="61F763C8" w14:textId="77777777" w:rsidR="003554B3" w:rsidRDefault="00000000">
      <w:pPr>
        <w:pStyle w:val="Heading2"/>
        <w:numPr>
          <w:ilvl w:val="1"/>
          <w:numId w:val="3"/>
        </w:numPr>
      </w:pPr>
      <w:r>
        <w:t>Costs and the roll</w:t>
      </w:r>
    </w:p>
    <w:p w14:paraId="6ABBD136" w14:textId="77777777" w:rsidR="003554B3" w:rsidRDefault="00000000">
      <w:r>
        <w:t>Turnover explains the costs exactly: 19.8 turns a year × 284k per bp of mean gross DV01 × 0.44 bp one way = 2.47% of capital a year, the cost charged.</w:t>
      </w:r>
    </w:p>
    <w:p w14:paraId="4255F17D" w14:textId="77777777" w:rsidR="003554B3" w:rsidRDefault="00000000">
      <w:r>
        <w:t>Maintenance is 46% of the cost. Rolls alone are 33%, and they are forced: each outright trades the 4</w:t>
      </w:r>
      <w:r>
        <w:rPr>
          <w:vertAlign w:val="superscript"/>
        </w:rPr>
        <w:t>th</w:t>
      </w:r>
      <w:r>
        <w:t xml:space="preserve"> meeting ahead, so every time a meeting passes the position moves to a new contract. The par legs are also re-struck every quarter (13%).</w:t>
      </w:r>
    </w:p>
    <w:p w14:paraId="761E1F53" w14:textId="77777777" w:rsidR="003554B3" w:rsidRDefault="00000000">
      <w:r>
        <w:t>Gross is already −0.72% per year. No cost treatment makes the book pay (Figure 7).</w:t>
      </w:r>
    </w:p>
    <w:p w14:paraId="7CA4A7F6" w14:textId="77777777" w:rsidR="003554B3" w:rsidRDefault="00000000">
      <w:pPr>
        <w:keepNext/>
        <w:spacing w:before="120" w:after="60" w:line="240" w:lineRule="auto"/>
        <w:jc w:val="center"/>
      </w:pPr>
      <w:r>
        <w:rPr>
          <w:noProof/>
        </w:rPr>
        <w:lastRenderedPageBreak/>
        <w:drawing>
          <wp:inline distT="0" distB="0" distL="0" distR="0" wp14:anchorId="466FAF3D" wp14:editId="45A29C47">
            <wp:extent cx="3933825" cy="2657475"/>
            <wp:effectExtent l="0" t="0" r="0" b="0"/>
            <wp:docPr id="788836092" name="Figure 10" descr="The book’s net Sharpe ratio against the round-trip cost assumed."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933825" cy="2657475"/>
                    </a:xfrm>
                    <a:prstGeom prst="rect">
                      <a:avLst/>
                    </a:prstGeom>
                  </pic:spPr>
                </pic:pic>
              </a:graphicData>
            </a:graphic>
          </wp:inline>
        </w:drawing>
      </w:r>
    </w:p>
    <w:p w14:paraId="53CC8F76" w14:textId="1D9CDD33" w:rsidR="003554B3" w:rsidRDefault="00000000">
      <w:pPr>
        <w:pStyle w:val="FigureCaption"/>
        <w:jc w:val="center"/>
      </w:pPr>
      <w:r>
        <w:rPr>
          <w:b/>
          <w:bCs/>
          <w:color w:val="1F3864"/>
        </w:rPr>
        <w:t xml:space="preserve">Figure </w:t>
      </w:r>
      <w:r>
        <w:rPr>
          <w:b/>
          <w:bCs/>
          <w:color w:val="1F3864"/>
        </w:rPr>
        <w:fldChar w:fldCharType="begin"/>
      </w:r>
      <w:r>
        <w:rPr>
          <w:b/>
          <w:bCs/>
          <w:color w:val="1F3864"/>
        </w:rPr>
        <w:instrText xml:space="preserve"> SEQ Figure \* ARABIC </w:instrText>
      </w:r>
      <w:r>
        <w:rPr>
          <w:b/>
          <w:bCs/>
          <w:color w:val="1F3864"/>
        </w:rPr>
        <w:fldChar w:fldCharType="separate"/>
      </w:r>
      <w:r w:rsidR="00E1205C">
        <w:rPr>
          <w:b/>
          <w:bCs/>
          <w:noProof/>
          <w:color w:val="1F3864"/>
        </w:rPr>
        <w:t>7</w:t>
      </w:r>
      <w:r>
        <w:rPr>
          <w:b/>
          <w:bCs/>
          <w:color w:val="1F3864"/>
        </w:rPr>
        <w:fldChar w:fldCharType="end"/>
      </w:r>
      <w:r>
        <w:rPr>
          <w:b/>
          <w:bCs/>
          <w:color w:val="1F3864"/>
        </w:rPr>
        <w:t xml:space="preserve">. </w:t>
      </w:r>
      <w:r>
        <w:t>The book’s net Sharpe ratio against the round-trip cost assumed.</w:t>
      </w:r>
    </w:p>
    <w:p w14:paraId="69A88EE3" w14:textId="77777777" w:rsidR="003554B3" w:rsidRDefault="00000000">
      <w:r>
        <w:t>Even charging rolls at half price, which saves 0.40% (−3.19% → −2.78%), does not change the outcome. There is no breakeven for the portfolio.</w:t>
      </w:r>
    </w:p>
    <w:p w14:paraId="027E7F53" w14:textId="77777777" w:rsidR="003554B3" w:rsidRDefault="00000000">
      <w:pPr>
        <w:pStyle w:val="Heading2"/>
        <w:numPr>
          <w:ilvl w:val="1"/>
          <w:numId w:val="3"/>
        </w:numPr>
      </w:pPr>
      <w:r>
        <w:t>Breakeven</w:t>
      </w:r>
    </w:p>
    <w:p w14:paraId="49E732FF" w14:textId="77777777" w:rsidR="003554B3" w:rsidRDefault="00000000">
      <w:pPr>
        <w:keepNext/>
        <w:spacing w:before="120" w:after="60" w:line="240" w:lineRule="auto"/>
        <w:jc w:val="center"/>
      </w:pPr>
      <w:r>
        <w:rPr>
          <w:noProof/>
        </w:rPr>
        <w:drawing>
          <wp:inline distT="0" distB="0" distL="0" distR="0" wp14:anchorId="0A521B2D" wp14:editId="0AE9367D">
            <wp:extent cx="5762625" cy="2809875"/>
            <wp:effectExtent l="0" t="0" r="0" b="0"/>
            <wp:docPr id="1706035542" name="Figure 11" descr="Carry and roll against the side held, by sleeve, and what those signals earned."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62625" cy="2809875"/>
                    </a:xfrm>
                    <a:prstGeom prst="rect">
                      <a:avLst/>
                    </a:prstGeom>
                  </pic:spPr>
                </pic:pic>
              </a:graphicData>
            </a:graphic>
          </wp:inline>
        </w:drawing>
      </w:r>
    </w:p>
    <w:p w14:paraId="459C420C" w14:textId="3671C771" w:rsidR="003554B3" w:rsidRDefault="00000000">
      <w:pPr>
        <w:pStyle w:val="FigureCaption"/>
        <w:jc w:val="center"/>
      </w:pPr>
      <w:r>
        <w:rPr>
          <w:b/>
          <w:bCs/>
          <w:color w:val="1F3864"/>
        </w:rPr>
        <w:t xml:space="preserve">Figure </w:t>
      </w:r>
      <w:r>
        <w:rPr>
          <w:b/>
          <w:bCs/>
          <w:color w:val="1F3864"/>
        </w:rPr>
        <w:fldChar w:fldCharType="begin"/>
      </w:r>
      <w:r>
        <w:rPr>
          <w:b/>
          <w:bCs/>
          <w:color w:val="1F3864"/>
        </w:rPr>
        <w:instrText xml:space="preserve"> SEQ Figure \* ARABIC </w:instrText>
      </w:r>
      <w:r>
        <w:rPr>
          <w:b/>
          <w:bCs/>
          <w:color w:val="1F3864"/>
        </w:rPr>
        <w:fldChar w:fldCharType="separate"/>
      </w:r>
      <w:r w:rsidR="00E1205C">
        <w:rPr>
          <w:b/>
          <w:bCs/>
          <w:noProof/>
          <w:color w:val="1F3864"/>
        </w:rPr>
        <w:t>8</w:t>
      </w:r>
      <w:r>
        <w:rPr>
          <w:b/>
          <w:bCs/>
          <w:color w:val="1F3864"/>
        </w:rPr>
        <w:fldChar w:fldCharType="end"/>
      </w:r>
      <w:r>
        <w:rPr>
          <w:b/>
          <w:bCs/>
          <w:color w:val="1F3864"/>
        </w:rPr>
        <w:t xml:space="preserve">. </w:t>
      </w:r>
      <w:r>
        <w:t>Left: each sleeve’s signal sessions by their carry and roll over the next quarter: in the position’s favour (blue), against it but expected to be paid back as the gap closes (pink), or against it and not (red). Right: what each group then earned over the next 91 days, before costs.</w:t>
      </w:r>
    </w:p>
    <w:p w14:paraId="169E95F0" w14:textId="77777777" w:rsidR="003554B3" w:rsidRDefault="00000000">
      <w:r>
        <w:t>Figure 8 shows that carry and roll ran against 53% of the signals, and those signals didn’t earn less. The right but bleeding moniker best applies to GBP outrights and USD 2s10s. For others, such as USD outright and GBP 2s10s, they are wrong and bleeding. GBP – USD 2y collected carry but was wrong on the rate.</w:t>
      </w:r>
    </w:p>
    <w:p w14:paraId="5CEAC7EA" w14:textId="77777777" w:rsidR="003554B3" w:rsidRDefault="00000000">
      <w:r>
        <w:t>To net zero, the rate calls must pay the costs less carry and roll. They earned +1.36% a year against +4.55% needed: 3.3 times short.</w:t>
      </w:r>
    </w:p>
    <w:p w14:paraId="360450E6" w14:textId="77777777" w:rsidR="003554B3" w:rsidRDefault="00000000">
      <w:r>
        <w:lastRenderedPageBreak/>
        <w:t>Only GBP outright clears. Its position has a correlation of +0.036 with the daily rate move, against a needed +0.022.</w:t>
      </w:r>
    </w:p>
    <w:p w14:paraId="5EA048D1" w14:textId="77777777" w:rsidR="003554B3" w:rsidRDefault="00000000">
      <w:pPr>
        <w:pStyle w:val="Heading1"/>
        <w:numPr>
          <w:ilvl w:val="0"/>
          <w:numId w:val="3"/>
        </w:numPr>
      </w:pPr>
      <w:r>
        <w:t>Carry filter</w:t>
      </w:r>
    </w:p>
    <w:p w14:paraId="46165BC8" w14:textId="77777777" w:rsidR="003554B3" w:rsidRDefault="00000000">
      <w:r>
        <w:t>The carry filter was specified in advance as a diagnostic. At each entry it asks whether the expected quarter (the share of the gap that has historically closed, plus carry and roll on the rest) is below zero and skips the entry if so. It skips 16 of 104 entries (15%). That lifts the book’s net Sharpe ratio from −0.61 to −0.51 on the common sample, +0.10 with a paired SE of 0.05. The effect is statistically real, about two paired SEs, and economically irrelevant. The book still loses, and the filter stays off in the headline.</w:t>
      </w:r>
    </w:p>
    <w:p w14:paraId="62CBEA09" w14:textId="77777777" w:rsidR="003554B3" w:rsidRDefault="00000000">
      <w:pPr>
        <w:pStyle w:val="Heading1"/>
        <w:numPr>
          <w:ilvl w:val="0"/>
          <w:numId w:val="3"/>
        </w:numPr>
      </w:pPr>
      <w:r>
        <w:t>Robustness</w:t>
      </w:r>
    </w:p>
    <w:p w14:paraId="43DE4811" w14:textId="77777777" w:rsidR="003554B3" w:rsidRDefault="00000000">
      <w:r>
        <w:t>No single choice turns the loss into a gain: across 13 rows the net Sharpe ratio runs from −0.70 to −0.29 (Figure 9). The aggregate hides the sleeve: GBP outright, the one sleeve that earns in every row, falls from +0.67 to +0.13–0.15 under estimated coefficients.</w:t>
      </w:r>
    </w:p>
    <w:p w14:paraId="417F8420" w14:textId="77777777" w:rsidR="003554B3" w:rsidRDefault="00000000">
      <w:pPr>
        <w:keepNext/>
        <w:spacing w:before="120" w:after="60" w:line="240" w:lineRule="auto"/>
        <w:jc w:val="center"/>
      </w:pPr>
      <w:r>
        <w:rPr>
          <w:noProof/>
        </w:rPr>
        <w:drawing>
          <wp:inline distT="0" distB="0" distL="0" distR="0" wp14:anchorId="2FDC022C" wp14:editId="264C24A2">
            <wp:extent cx="5029200" cy="3590925"/>
            <wp:effectExtent l="0" t="0" r="0" b="0"/>
            <wp:docPr id="1547758537" name="Figure 12" descr="The headline book’s net Sharpe ratio with one choice at a time moved off the chosen specification."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029200" cy="3590925"/>
                    </a:xfrm>
                    <a:prstGeom prst="rect">
                      <a:avLst/>
                    </a:prstGeom>
                  </pic:spPr>
                </pic:pic>
              </a:graphicData>
            </a:graphic>
          </wp:inline>
        </w:drawing>
      </w:r>
    </w:p>
    <w:p w14:paraId="53FC9232" w14:textId="63B15DCC" w:rsidR="003554B3" w:rsidRDefault="00000000">
      <w:pPr>
        <w:pStyle w:val="FigureCaption"/>
        <w:jc w:val="center"/>
      </w:pPr>
      <w:r>
        <w:rPr>
          <w:b/>
          <w:bCs/>
          <w:color w:val="1F3864"/>
        </w:rPr>
        <w:t xml:space="preserve">Figure </w:t>
      </w:r>
      <w:r>
        <w:rPr>
          <w:b/>
          <w:bCs/>
          <w:color w:val="1F3864"/>
        </w:rPr>
        <w:fldChar w:fldCharType="begin"/>
      </w:r>
      <w:r>
        <w:rPr>
          <w:b/>
          <w:bCs/>
          <w:color w:val="1F3864"/>
        </w:rPr>
        <w:instrText xml:space="preserve"> SEQ Figure \* ARABIC </w:instrText>
      </w:r>
      <w:r>
        <w:rPr>
          <w:b/>
          <w:bCs/>
          <w:color w:val="1F3864"/>
        </w:rPr>
        <w:fldChar w:fldCharType="separate"/>
      </w:r>
      <w:r w:rsidR="00E1205C">
        <w:rPr>
          <w:b/>
          <w:bCs/>
          <w:noProof/>
          <w:color w:val="1F3864"/>
        </w:rPr>
        <w:t>9</w:t>
      </w:r>
      <w:r>
        <w:rPr>
          <w:b/>
          <w:bCs/>
          <w:color w:val="1F3864"/>
        </w:rPr>
        <w:fldChar w:fldCharType="end"/>
      </w:r>
      <w:r>
        <w:rPr>
          <w:b/>
          <w:bCs/>
          <w:color w:val="1F3864"/>
        </w:rPr>
        <w:t xml:space="preserve">. </w:t>
      </w:r>
      <w:r>
        <w:t>The headline book’s net Sharpe ratio with one choice at a time moved off the chosen specification.</w:t>
      </w:r>
    </w:p>
    <w:p w14:paraId="1B816873" w14:textId="77777777" w:rsidR="003554B3" w:rsidRDefault="00000000">
      <w:pPr>
        <w:pStyle w:val="Heading1"/>
        <w:numPr>
          <w:ilvl w:val="0"/>
          <w:numId w:val="3"/>
        </w:numPr>
      </w:pPr>
      <w:r>
        <w:t>Conclusion</w:t>
      </w:r>
    </w:p>
    <w:p w14:paraId="4E90C6EA" w14:textId="77777777" w:rsidR="003554B3" w:rsidRDefault="00000000">
      <w:r>
        <w:t xml:space="preserve">The market prices the policy path below the Fed’s published rule, in USD in every year from 2014 to 2026. Standardized, the gap doesn’t forecast rate changes. In USD it points the wrong way, consistent with the Fed moving toward the market rather than the reverse. GBP outright forecasts, but its gain is concentrated in 2022–23 and depends on a hindsight r* and the coefficients, so it isn’t claimed. The book loses before costs. Costs, half of them maintenance the construction forces, make it worse. No single choice in the robustness </w:t>
      </w:r>
      <w:r>
        <w:lastRenderedPageBreak/>
        <w:t>grid, and not the carry filter, turns it positive. What would change this is mostly about GBP outright and a sign-flipped USD trade, which leads straight into the list that follows.</w:t>
      </w:r>
    </w:p>
    <w:p w14:paraId="232BCF42" w14:textId="77777777" w:rsidR="003554B3" w:rsidRDefault="00000000">
      <w:pPr>
        <w:pStyle w:val="Heading1"/>
        <w:numPr>
          <w:ilvl w:val="0"/>
          <w:numId w:val="3"/>
        </w:numPr>
      </w:pPr>
      <w:r>
        <w:t>What would change my view</w:t>
      </w:r>
    </w:p>
    <w:p w14:paraId="62BADF0E" w14:textId="77777777" w:rsidR="003554B3" w:rsidRDefault="00000000">
      <w:pPr>
        <w:keepNext/>
      </w:pPr>
      <w:r>
        <w:t>Any of these would change my view:</w:t>
      </w:r>
    </w:p>
    <w:p w14:paraId="360C1240" w14:textId="77777777" w:rsidR="003554B3" w:rsidRDefault="00000000">
      <w:pPr>
        <w:pStyle w:val="ListParagraph"/>
        <w:numPr>
          <w:ilvl w:val="0"/>
          <w:numId w:val="4"/>
        </w:numPr>
        <w:spacing w:after="60"/>
      </w:pPr>
      <w:r>
        <w:t>GBP outright holding up outside 2022–2023</w:t>
      </w:r>
    </w:p>
    <w:p w14:paraId="0824E5E3" w14:textId="77777777" w:rsidR="003554B3" w:rsidRDefault="00000000">
      <w:pPr>
        <w:pStyle w:val="ListParagraph"/>
        <w:numPr>
          <w:ilvl w:val="0"/>
          <w:numId w:val="4"/>
        </w:numPr>
        <w:spacing w:after="60"/>
      </w:pPr>
      <w:r>
        <w:t>Quote-based ZQ costs, or calendar-spread roll pricing, that turn GBP net clearly positive (Figure 13)</w:t>
      </w:r>
    </w:p>
    <w:p w14:paraId="0A93F7A1" w14:textId="77777777" w:rsidR="003554B3" w:rsidRDefault="00000000">
      <w:pPr>
        <w:pStyle w:val="ListParagraph"/>
        <w:numPr>
          <w:ilvl w:val="0"/>
          <w:numId w:val="4"/>
        </w:numPr>
        <w:spacing w:after="60"/>
      </w:pPr>
      <w:r>
        <w:t>A sign-flipped USD trade, betting that the market leads the Fed, that earns out of sample, registered before it is judged</w:t>
      </w:r>
    </w:p>
    <w:p w14:paraId="698F9DDF" w14:textId="77777777" w:rsidR="006A30CA" w:rsidRDefault="00000000">
      <w:pPr>
        <w:pStyle w:val="ListParagraph"/>
        <w:numPr>
          <w:ilvl w:val="0"/>
          <w:numId w:val="4"/>
        </w:numPr>
        <w:spacing w:after="60"/>
      </w:pPr>
      <w:r>
        <w:t>The rule run on the FOMC’s projected inputs, rather than flat ones, closing most of the level gap</w:t>
      </w:r>
    </w:p>
    <w:p w14:paraId="45A871AB" w14:textId="77777777" w:rsidR="003554B3" w:rsidRDefault="00000000">
      <w:pPr>
        <w:pStyle w:val="ListParagraph"/>
        <w:numPr>
          <w:ilvl w:val="0"/>
          <w:numId w:val="4"/>
        </w:numPr>
        <w:spacing w:after="60"/>
      </w:pPr>
      <w:r>
        <w:t>A more harmonized r* across currencies</w:t>
      </w:r>
    </w:p>
    <w:p w14:paraId="6A1D780C" w14:textId="77777777" w:rsidR="003554B3" w:rsidRDefault="00000000">
      <w:pPr>
        <w:pStyle w:val="ListParagraph"/>
        <w:numPr>
          <w:ilvl w:val="0"/>
          <w:numId w:val="4"/>
        </w:numPr>
        <w:spacing w:after="60"/>
      </w:pPr>
      <w:r>
        <w:t>Calendar-anchored signal which would remove the forced roll</w:t>
      </w:r>
    </w:p>
    <w:p w14:paraId="079356C7" w14:textId="77777777" w:rsidR="003554B3" w:rsidRDefault="00000000">
      <w:pPr>
        <w:pStyle w:val="ListParagraph"/>
        <w:numPr>
          <w:ilvl w:val="0"/>
          <w:numId w:val="4"/>
        </w:numPr>
        <w:spacing w:after="60"/>
      </w:pPr>
      <w:r>
        <w:t>More currencies such as EUR or AUD</w:t>
      </w:r>
    </w:p>
    <w:p w14:paraId="3A74D1C8" w14:textId="77777777" w:rsidR="003554B3" w:rsidRDefault="00000000">
      <w:pPr>
        <w:pStyle w:val="Heading1"/>
        <w:numPr>
          <w:ilvl w:val="0"/>
          <w:numId w:val="3"/>
        </w:numPr>
      </w:pPr>
      <w:r>
        <w:t>Limitations</w:t>
      </w:r>
    </w:p>
    <w:p w14:paraId="2EA0B60E" w14:textId="77777777" w:rsidR="003554B3" w:rsidRDefault="00000000">
      <w:pPr>
        <w:pStyle w:val="ListParagraph"/>
        <w:numPr>
          <w:ilvl w:val="0"/>
          <w:numId w:val="5"/>
        </w:numPr>
        <w:spacing w:after="60"/>
      </w:pPr>
      <w:r>
        <w:t>GBP r* is a hindsight constant (−1.6%, the 2009–26 average real Bank Rate)</w:t>
      </w:r>
    </w:p>
    <w:p w14:paraId="66750D1A" w14:textId="77777777" w:rsidR="003554B3" w:rsidRDefault="00000000">
      <w:pPr>
        <w:pStyle w:val="ListParagraph"/>
        <w:numPr>
          <w:ilvl w:val="0"/>
          <w:numId w:val="5"/>
        </w:numPr>
        <w:spacing w:after="60"/>
      </w:pPr>
      <w:r>
        <w:t>GBP u* is a constant 4.5%, not a real-time estimate</w:t>
      </w:r>
    </w:p>
    <w:p w14:paraId="33848C5E" w14:textId="77777777" w:rsidR="003554B3" w:rsidRDefault="00000000">
      <w:pPr>
        <w:pStyle w:val="ListParagraph"/>
        <w:numPr>
          <w:ilvl w:val="0"/>
          <w:numId w:val="5"/>
        </w:numPr>
        <w:spacing w:after="60"/>
      </w:pPr>
      <w:r>
        <w:t>UK labor data: LFS was suspended from October 2023 to January 2024</w:t>
      </w:r>
    </w:p>
    <w:p w14:paraId="7F09B787" w14:textId="77777777" w:rsidR="003554B3" w:rsidRDefault="00000000">
      <w:pPr>
        <w:pStyle w:val="ListParagraph"/>
        <w:numPr>
          <w:ilvl w:val="0"/>
          <w:numId w:val="5"/>
        </w:numPr>
        <w:spacing w:after="60"/>
      </w:pPr>
      <w:r>
        <w:t>First z’s after lift-off are standardized against a window that is mostly ELB sessions</w:t>
      </w:r>
    </w:p>
    <w:p w14:paraId="32D2BDE4" w14:textId="77777777" w:rsidR="003554B3" w:rsidRDefault="00000000">
      <w:pPr>
        <w:pStyle w:val="ListParagraph"/>
        <w:numPr>
          <w:ilvl w:val="0"/>
          <w:numId w:val="5"/>
        </w:numPr>
        <w:spacing w:after="60"/>
      </w:pPr>
      <w:r>
        <w:t>There is no bid-offer data, ZQ’s cost is its tick</w:t>
      </w:r>
    </w:p>
    <w:p w14:paraId="59CB9371" w14:textId="77777777" w:rsidR="003554B3" w:rsidRDefault="00000000">
      <w:pPr>
        <w:pStyle w:val="ListParagraph"/>
        <w:numPr>
          <w:ilvl w:val="0"/>
          <w:numId w:val="5"/>
        </w:numPr>
        <w:spacing w:after="60"/>
      </w:pPr>
      <w:r>
        <w:t>Settlements may be preliminary</w:t>
      </w:r>
    </w:p>
    <w:p w14:paraId="71E4380E" w14:textId="77777777" w:rsidR="003554B3" w:rsidRDefault="00000000">
      <w:pPr>
        <w:pStyle w:val="ListParagraph"/>
        <w:numPr>
          <w:ilvl w:val="0"/>
          <w:numId w:val="5"/>
        </w:numPr>
        <w:spacing w:after="60"/>
      </w:pPr>
      <w:r>
        <w:t>Only 2 currencies currently and 2 hiking cycles</w:t>
      </w:r>
    </w:p>
    <w:p w14:paraId="5B476167" w14:textId="77777777" w:rsidR="003554B3" w:rsidRDefault="00000000">
      <w:pPr>
        <w:pStyle w:val="ListParagraph"/>
        <w:numPr>
          <w:ilvl w:val="0"/>
          <w:numId w:val="5"/>
        </w:numPr>
        <w:spacing w:after="60"/>
      </w:pPr>
      <w:r>
        <w:t>Overlapping windows inflate t-stats</w:t>
      </w:r>
    </w:p>
    <w:p w14:paraId="5C70910C" w14:textId="77777777" w:rsidR="003554B3" w:rsidRDefault="00000000">
      <w:pPr>
        <w:pStyle w:val="Heading1"/>
      </w:pPr>
      <w:r>
        <w:t>References</w:t>
      </w:r>
    </w:p>
    <w:p w14:paraId="65795106" w14:textId="77777777" w:rsidR="003554B3" w:rsidRDefault="00000000">
      <w:pPr>
        <w:spacing w:after="100"/>
        <w:ind w:left="360" w:hanging="360"/>
      </w:pPr>
      <w:r>
        <w:rPr>
          <w:sz w:val="19"/>
          <w:szCs w:val="19"/>
        </w:rPr>
        <w:t xml:space="preserve">Bank of England. Yield curve data: OIS spot curve. And </w:t>
      </w:r>
      <w:r>
        <w:rPr>
          <w:i/>
          <w:iCs/>
          <w:sz w:val="19"/>
          <w:szCs w:val="19"/>
        </w:rPr>
        <w:t>Monetary Policy Report</w:t>
      </w:r>
      <w:r>
        <w:rPr>
          <w:sz w:val="19"/>
          <w:szCs w:val="19"/>
        </w:rPr>
        <w:t>, market-implied conditioning paths</w:t>
      </w:r>
      <w:r>
        <w:t>.</w:t>
      </w:r>
    </w:p>
    <w:p w14:paraId="7A2640F2" w14:textId="77777777" w:rsidR="003554B3" w:rsidRDefault="00000000">
      <w:pPr>
        <w:spacing w:after="100"/>
        <w:ind w:left="360" w:hanging="360"/>
      </w:pPr>
      <w:r>
        <w:rPr>
          <w:sz w:val="19"/>
          <w:szCs w:val="19"/>
        </w:rPr>
        <w:t xml:space="preserve">Board of Governors of the Federal Reserve System. </w:t>
      </w:r>
      <w:r>
        <w:rPr>
          <w:i/>
          <w:iCs/>
          <w:sz w:val="19"/>
          <w:szCs w:val="19"/>
        </w:rPr>
        <w:t>Monetary Policy Report</w:t>
      </w:r>
      <w:r>
        <w:rPr>
          <w:sz w:val="19"/>
          <w:szCs w:val="19"/>
        </w:rPr>
        <w:t>, the section on monetary policy rules (the balanced-approach and inertial rules)</w:t>
      </w:r>
      <w:r>
        <w:t>.</w:t>
      </w:r>
    </w:p>
    <w:p w14:paraId="28968817" w14:textId="77777777" w:rsidR="003554B3" w:rsidRDefault="00000000">
      <w:pPr>
        <w:spacing w:after="100"/>
        <w:ind w:left="360" w:hanging="360"/>
      </w:pPr>
      <w:r>
        <w:rPr>
          <w:sz w:val="19"/>
          <w:szCs w:val="19"/>
        </w:rPr>
        <w:t xml:space="preserve">Board of Governors of the Federal Reserve System. </w:t>
      </w:r>
      <w:r>
        <w:rPr>
          <w:i/>
          <w:iCs/>
          <w:sz w:val="19"/>
          <w:szCs w:val="19"/>
        </w:rPr>
        <w:t>Summary of Economic Projections</w:t>
      </w:r>
      <w:r>
        <w:rPr>
          <w:sz w:val="19"/>
          <w:szCs w:val="19"/>
        </w:rPr>
        <w:t>, longer-run federal funds rate median, 2012–2026</w:t>
      </w:r>
      <w:r>
        <w:t>.</w:t>
      </w:r>
    </w:p>
    <w:p w14:paraId="31EF9DB8" w14:textId="77777777" w:rsidR="003554B3" w:rsidRDefault="00000000">
      <w:pPr>
        <w:spacing w:after="100"/>
        <w:ind w:left="360" w:hanging="360"/>
      </w:pPr>
      <w:r>
        <w:rPr>
          <w:sz w:val="19"/>
          <w:szCs w:val="19"/>
        </w:rPr>
        <w:t>CME Group. Contract specifications: 30-Day Federal Funds futures (ZQ) and One-Month SOFR futures (SR1)</w:t>
      </w:r>
      <w:r>
        <w:t>.</w:t>
      </w:r>
    </w:p>
    <w:p w14:paraId="50825AA2" w14:textId="77777777" w:rsidR="003554B3" w:rsidRDefault="00000000">
      <w:pPr>
        <w:spacing w:after="100"/>
        <w:ind w:left="360" w:hanging="360"/>
      </w:pPr>
      <w:r>
        <w:rPr>
          <w:sz w:val="19"/>
          <w:szCs w:val="19"/>
        </w:rPr>
        <w:t>Congressional Budget Office. Noncyclical rate of unemployment (FRED series NROU), real-time vintages via ALFRED, Federal Reserve Bank of St. Louis</w:t>
      </w:r>
      <w:r>
        <w:t>.</w:t>
      </w:r>
    </w:p>
    <w:p w14:paraId="33DBDAEF" w14:textId="77777777" w:rsidR="003554B3" w:rsidRDefault="00000000">
      <w:pPr>
        <w:spacing w:after="100"/>
        <w:ind w:left="360" w:hanging="360"/>
      </w:pPr>
      <w:r>
        <w:rPr>
          <w:sz w:val="19"/>
          <w:szCs w:val="19"/>
        </w:rPr>
        <w:t xml:space="preserve">Holston, K., Laubach, T., and Williams, J. C. (2017). “Measuring the natural rate of interest: International trends and determinants.” </w:t>
      </w:r>
      <w:r>
        <w:rPr>
          <w:i/>
          <w:iCs/>
          <w:sz w:val="19"/>
          <w:szCs w:val="19"/>
        </w:rPr>
        <w:t>Journal of International Economics</w:t>
      </w:r>
      <w:r>
        <w:rPr>
          <w:sz w:val="19"/>
          <w:szCs w:val="19"/>
        </w:rPr>
        <w:t xml:space="preserve"> 108: S59–S75. Real-time estimates from the Federal Reserve Bank of New York</w:t>
      </w:r>
      <w:r>
        <w:t>.</w:t>
      </w:r>
    </w:p>
    <w:p w14:paraId="146AD3C0" w14:textId="77777777" w:rsidR="003554B3" w:rsidRDefault="00000000">
      <w:pPr>
        <w:spacing w:after="100"/>
        <w:ind w:left="360" w:hanging="360"/>
      </w:pPr>
      <w:r>
        <w:rPr>
          <w:sz w:val="19"/>
          <w:szCs w:val="19"/>
        </w:rPr>
        <w:lastRenderedPageBreak/>
        <w:t>Office for National Statistics. CPI 12-month rate (D7G7) and LFS unemployment rate (MGSX)</w:t>
      </w:r>
      <w:r>
        <w:t>.</w:t>
      </w:r>
    </w:p>
    <w:p w14:paraId="614A26D1" w14:textId="77777777" w:rsidR="006A30CA" w:rsidRDefault="00000000">
      <w:pPr>
        <w:spacing w:after="100"/>
        <w:ind w:left="360" w:hanging="360"/>
      </w:pPr>
      <w:r>
        <w:rPr>
          <w:sz w:val="19"/>
          <w:szCs w:val="19"/>
        </w:rPr>
        <w:t xml:space="preserve">Piazzesi, M., and Swanson, E. T. (2008). “Futures prices as risk-adjusted forecasts of monetary policy.” </w:t>
      </w:r>
      <w:r>
        <w:rPr>
          <w:i/>
          <w:iCs/>
          <w:sz w:val="19"/>
          <w:szCs w:val="19"/>
        </w:rPr>
        <w:t>Journal of Monetary Economics</w:t>
      </w:r>
      <w:r>
        <w:rPr>
          <w:sz w:val="19"/>
          <w:szCs w:val="19"/>
        </w:rPr>
        <w:t xml:space="preserve"> 55(4): 677–691.</w:t>
      </w:r>
    </w:p>
    <w:p w14:paraId="74C0175C" w14:textId="77777777" w:rsidR="003554B3" w:rsidRDefault="00000000">
      <w:pPr>
        <w:spacing w:after="100"/>
        <w:ind w:left="360" w:hanging="360"/>
      </w:pPr>
      <w:r>
        <w:rPr>
          <w:sz w:val="19"/>
          <w:szCs w:val="19"/>
        </w:rPr>
        <w:t xml:space="preserve">Taylor, J. B. (1993). “Discretion versus policy rules in practice.” </w:t>
      </w:r>
      <w:r>
        <w:rPr>
          <w:i/>
          <w:iCs/>
          <w:sz w:val="19"/>
          <w:szCs w:val="19"/>
        </w:rPr>
        <w:t>Carnegie-Rochester Conference Series on Public Policy</w:t>
      </w:r>
      <w:r>
        <w:rPr>
          <w:sz w:val="19"/>
          <w:szCs w:val="19"/>
        </w:rPr>
        <w:t xml:space="preserve"> 39: 195–214</w:t>
      </w:r>
      <w:r>
        <w:t>.</w:t>
      </w:r>
    </w:p>
    <w:p w14:paraId="084D12CC" w14:textId="77777777" w:rsidR="006A30CA" w:rsidRDefault="00000000">
      <w:pPr>
        <w:pStyle w:val="Heading1"/>
        <w:pageBreakBefore/>
      </w:pPr>
      <w:r>
        <w:lastRenderedPageBreak/>
        <w:t>Appendix A: constructing the market path</w:t>
      </w:r>
    </w:p>
    <w:p w14:paraId="0FD6BEA8" w14:textId="77777777" w:rsidR="006A30CA" w:rsidRDefault="00000000">
      <w:pPr>
        <w:pStyle w:val="Heading2"/>
      </w:pPr>
      <w:r>
        <w:t>USD: the path from Fed Funds Futures</w:t>
      </w:r>
    </w:p>
    <w:p w14:paraId="3C5CDC64" w14:textId="77777777" w:rsidR="006A30CA" w:rsidRDefault="00000000">
      <w:r>
        <w:t>Each ZQ contract (CME 30-Day Fed Funds Futures) settles to the arithmetic average of every calendar day of its delivery month. Due to this, each contract month is one linear equation in the regime rates, each weighted by its share of the month’s days. These contracts are priced across months and regimes using joint least squares (Figure 10). A regime spans several contract months, and each month mixes several regimes. They must be solved together to ensure consistency. However, an issue arises in how information is captured by these contracts. Mid-month, part of the contract is already history. To reflect this, days whose EFFR (Effective Fed Funds Rate) is published enter this as known numbers. This process of substituting in known days creates an additional challenge. When the next meeting is days away, the rate from today until then lives in a few days of the front contract, and price noise in that contract is multiplied by days-in-month over days-left. To address this, contracts below a threshold are pinned to the last fixing when it is shorter than 10 days. Measured against the actual decision on 46 announcement days since 2021, the error in the implied steps fell sharply, from 5.8 bp to 0.5 bp on average, and from 34 bp to 1.6 bp at worst.</w:t>
      </w:r>
    </w:p>
    <w:p w14:paraId="517FCC5B" w14:textId="77777777" w:rsidR="006A30CA" w:rsidRDefault="00000000">
      <w:pPr>
        <w:keepNext/>
        <w:spacing w:before="120" w:after="60" w:line="240" w:lineRule="auto"/>
        <w:jc w:val="center"/>
      </w:pPr>
      <w:r>
        <w:rPr>
          <w:noProof/>
        </w:rPr>
        <w:drawing>
          <wp:inline distT="0" distB="0" distL="0" distR="0" wp14:anchorId="38160125" wp14:editId="3F36C607">
            <wp:extent cx="5029200" cy="3600450"/>
            <wp:effectExtent l="0" t="0" r="0" b="0"/>
            <wp:docPr id="1706035643" name="Figure 10" descr="The fed funds path implied by ZQ futures, and the move priced at each meeting."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029200" cy="3600450"/>
                    </a:xfrm>
                    <a:prstGeom prst="rect">
                      <a:avLst/>
                    </a:prstGeom>
                  </pic:spPr>
                </pic:pic>
              </a:graphicData>
            </a:graphic>
          </wp:inline>
        </w:drawing>
      </w:r>
    </w:p>
    <w:p w14:paraId="2ECFABB5" w14:textId="10CB63B9" w:rsidR="006A30CA" w:rsidRDefault="00000000">
      <w:pPr>
        <w:pStyle w:val="FigureCaption"/>
        <w:jc w:val="center"/>
      </w:pPr>
      <w:r>
        <w:rPr>
          <w:b/>
          <w:bCs/>
          <w:color w:val="1F3864"/>
        </w:rPr>
        <w:t xml:space="preserve">Figure </w:t>
      </w:r>
      <w:r>
        <w:rPr>
          <w:b/>
          <w:bCs/>
          <w:color w:val="1F3864"/>
        </w:rPr>
        <w:fldChar w:fldCharType="begin"/>
      </w:r>
      <w:r>
        <w:rPr>
          <w:b/>
          <w:bCs/>
          <w:color w:val="1F3864"/>
        </w:rPr>
        <w:instrText xml:space="preserve"> SEQ Figure \* ARABIC </w:instrText>
      </w:r>
      <w:r>
        <w:rPr>
          <w:b/>
          <w:bCs/>
          <w:color w:val="1F3864"/>
        </w:rPr>
        <w:fldChar w:fldCharType="separate"/>
      </w:r>
      <w:r w:rsidR="00E1205C">
        <w:rPr>
          <w:b/>
          <w:bCs/>
          <w:noProof/>
          <w:color w:val="1F3864"/>
        </w:rPr>
        <w:t>10</w:t>
      </w:r>
      <w:r>
        <w:rPr>
          <w:b/>
          <w:bCs/>
          <w:color w:val="1F3864"/>
        </w:rPr>
        <w:fldChar w:fldCharType="end"/>
      </w:r>
      <w:r>
        <w:rPr>
          <w:b/>
          <w:bCs/>
          <w:color w:val="1F3864"/>
        </w:rPr>
        <w:t xml:space="preserve">. </w:t>
      </w:r>
      <w:r>
        <w:t>The fed funds path implied by ZQ futures, and the move priced at each meeting.</w:t>
      </w:r>
    </w:p>
    <w:p w14:paraId="6FFB00C3" w14:textId="77777777" w:rsidR="006A30CA" w:rsidRDefault="00000000">
      <w:r>
        <w:t>To check the result, I compare it with SR1 (CME One-Month SOFR Futures). For each session I average the ZQ-implied EFFR path over each SR1 contract month and solve for the constant spread that reprices the SR1 settle: the SOFR – EFFR basis the two markets imply together. I then compare it with the basis later realized (Figure 11). Over 2,116 sessions it misses by +0.52 bp on average, 1.86 bp in absolute terms, and is within 3 bp on 80% of them. Two independent markets agree to within about 2 bp, so the ZQ path is not an artefact of the solver.</w:t>
      </w:r>
    </w:p>
    <w:p w14:paraId="0B593A05" w14:textId="77777777" w:rsidR="006A30CA" w:rsidRDefault="00000000">
      <w:pPr>
        <w:keepNext/>
        <w:spacing w:before="120" w:after="60" w:line="240" w:lineRule="auto"/>
        <w:jc w:val="center"/>
      </w:pPr>
      <w:r>
        <w:rPr>
          <w:noProof/>
        </w:rPr>
        <w:lastRenderedPageBreak/>
        <w:drawing>
          <wp:inline distT="0" distB="0" distL="0" distR="0" wp14:anchorId="3357CF5D" wp14:editId="4ABAEDF0">
            <wp:extent cx="5762625" cy="2600325"/>
            <wp:effectExtent l="0" t="0" r="0" b="0"/>
            <wp:docPr id="1706035644" name="Figure 11" descr="The SOFR − EFFR basis implied jointly by SR1 and the ZQ path"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62625" cy="2600325"/>
                    </a:xfrm>
                    <a:prstGeom prst="rect">
                      <a:avLst/>
                    </a:prstGeom>
                  </pic:spPr>
                </pic:pic>
              </a:graphicData>
            </a:graphic>
          </wp:inline>
        </w:drawing>
      </w:r>
    </w:p>
    <w:p w14:paraId="79138AFC" w14:textId="42E14746" w:rsidR="006A30CA" w:rsidRDefault="00000000">
      <w:pPr>
        <w:pStyle w:val="FigureCaption"/>
        <w:jc w:val="center"/>
      </w:pPr>
      <w:r>
        <w:rPr>
          <w:b/>
          <w:bCs/>
          <w:color w:val="1F3864"/>
        </w:rPr>
        <w:t xml:space="preserve">Figure </w:t>
      </w:r>
      <w:r>
        <w:rPr>
          <w:b/>
          <w:bCs/>
          <w:color w:val="1F3864"/>
        </w:rPr>
        <w:fldChar w:fldCharType="begin"/>
      </w:r>
      <w:r>
        <w:rPr>
          <w:b/>
          <w:bCs/>
          <w:color w:val="1F3864"/>
        </w:rPr>
        <w:instrText xml:space="preserve"> SEQ Figure \* ARABIC </w:instrText>
      </w:r>
      <w:r>
        <w:rPr>
          <w:b/>
          <w:bCs/>
          <w:color w:val="1F3864"/>
        </w:rPr>
        <w:fldChar w:fldCharType="separate"/>
      </w:r>
      <w:r w:rsidR="00E1205C">
        <w:rPr>
          <w:b/>
          <w:bCs/>
          <w:noProof/>
          <w:color w:val="1F3864"/>
        </w:rPr>
        <w:t>11</w:t>
      </w:r>
      <w:r>
        <w:rPr>
          <w:b/>
          <w:bCs/>
          <w:color w:val="1F3864"/>
        </w:rPr>
        <w:fldChar w:fldCharType="end"/>
      </w:r>
      <w:r>
        <w:rPr>
          <w:b/>
          <w:bCs/>
          <w:color w:val="1F3864"/>
        </w:rPr>
        <w:t xml:space="preserve">. </w:t>
      </w:r>
      <w:r>
        <w:t>The SOFR − EFFR basis implied jointly by SR1 and the ZQ path.</w:t>
      </w:r>
    </w:p>
    <w:p w14:paraId="7DC7D616" w14:textId="77777777" w:rsidR="006A30CA" w:rsidRDefault="00000000">
      <w:pPr>
        <w:pStyle w:val="Heading2"/>
      </w:pPr>
      <w:r>
        <w:t>GBP: the path from the Bank of England’s OIS curve</w:t>
      </w:r>
    </w:p>
    <w:p w14:paraId="766D0373" w14:textId="77777777" w:rsidR="006A30CA" w:rsidRDefault="00000000">
      <w:r>
        <w:t>There is no ZQ outside the US. For GBP, the Bank of England publishes a fitted OIS (Overnight Index Swap) spot curve. I interpolate its log discount factors, and the expected rate between two meetings is the forward over that window (Figure 12).</w:t>
      </w:r>
    </w:p>
    <w:p w14:paraId="4F2A3D8D" w14:textId="77777777" w:rsidR="006A30CA" w:rsidRDefault="00000000">
      <w:pPr>
        <w:keepNext/>
        <w:spacing w:before="120" w:after="60" w:line="240" w:lineRule="auto"/>
        <w:jc w:val="center"/>
      </w:pPr>
      <w:r>
        <w:rPr>
          <w:noProof/>
        </w:rPr>
        <w:drawing>
          <wp:inline distT="0" distB="0" distL="0" distR="0" wp14:anchorId="0046F126" wp14:editId="3C9DF3EE">
            <wp:extent cx="5029200" cy="3629025"/>
            <wp:effectExtent l="0" t="0" r="0" b="0"/>
            <wp:docPr id="1706035645" name="Figure 12" descr="The Bank Rate path implied by the Bank of England’s OIS curve, and the move priced at each meeting."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029200" cy="3629025"/>
                    </a:xfrm>
                    <a:prstGeom prst="rect">
                      <a:avLst/>
                    </a:prstGeom>
                  </pic:spPr>
                </pic:pic>
              </a:graphicData>
            </a:graphic>
          </wp:inline>
        </w:drawing>
      </w:r>
    </w:p>
    <w:p w14:paraId="22881DEB" w14:textId="18C72327" w:rsidR="006A30CA" w:rsidRDefault="00000000">
      <w:pPr>
        <w:pStyle w:val="FigureCaption"/>
        <w:jc w:val="center"/>
      </w:pPr>
      <w:r>
        <w:rPr>
          <w:b/>
          <w:bCs/>
          <w:color w:val="1F3864"/>
        </w:rPr>
        <w:t xml:space="preserve">Figure </w:t>
      </w:r>
      <w:r>
        <w:rPr>
          <w:b/>
          <w:bCs/>
          <w:color w:val="1F3864"/>
        </w:rPr>
        <w:fldChar w:fldCharType="begin"/>
      </w:r>
      <w:r>
        <w:rPr>
          <w:b/>
          <w:bCs/>
          <w:color w:val="1F3864"/>
        </w:rPr>
        <w:instrText xml:space="preserve"> SEQ Figure \* ARABIC </w:instrText>
      </w:r>
      <w:r>
        <w:rPr>
          <w:b/>
          <w:bCs/>
          <w:color w:val="1F3864"/>
        </w:rPr>
        <w:fldChar w:fldCharType="separate"/>
      </w:r>
      <w:r w:rsidR="00E1205C">
        <w:rPr>
          <w:b/>
          <w:bCs/>
          <w:noProof/>
          <w:color w:val="1F3864"/>
        </w:rPr>
        <w:t>12</w:t>
      </w:r>
      <w:r>
        <w:rPr>
          <w:b/>
          <w:bCs/>
          <w:color w:val="1F3864"/>
        </w:rPr>
        <w:fldChar w:fldCharType="end"/>
      </w:r>
      <w:r>
        <w:rPr>
          <w:b/>
          <w:bCs/>
          <w:color w:val="1F3864"/>
        </w:rPr>
        <w:t xml:space="preserve">. </w:t>
      </w:r>
      <w:r>
        <w:t>The Bank Rate path implied by the Bank of England’s OIS curve, and the move priced at each meeting.</w:t>
      </w:r>
    </w:p>
    <w:p w14:paraId="5AF09616" w14:textId="77777777" w:rsidR="006A30CA" w:rsidRDefault="00000000">
      <w:r>
        <w:t xml:space="preserve">This is validated against the MPR (Monetary Policy Report) conditioning path. My GBP path is a step function that moves on each meeting’s effective date. The Bank of England averages its smooth instantaneous forward curve, which prices prior to the meeting. In a quarter where there is a hike priced, the Bank’s </w:t>
      </w:r>
      <w:r>
        <w:lastRenderedPageBreak/>
        <w:t>average ends higher and with a cut, lower. The differences correlate −0.59 with the move priced inside the quarter. Across 29 reports covering 87 quarters, there is a mean absolute difference of 1.00 bp, mean signed difference of −0.46 bp, and worst 7.2 bp. This leaves a known definitional difference, not an error.</w:t>
      </w:r>
    </w:p>
    <w:p w14:paraId="5ABAC267" w14:textId="77777777" w:rsidR="003554B3" w:rsidRDefault="00000000">
      <w:pPr>
        <w:pStyle w:val="Heading1"/>
        <w:pageBreakBefore/>
      </w:pPr>
      <w:r>
        <w:lastRenderedPageBreak/>
        <w:t>Appendix B: cost sensitivity by sleeve</w:t>
      </w:r>
    </w:p>
    <w:p w14:paraId="49C0BF49" w14:textId="77777777" w:rsidR="003554B3" w:rsidRDefault="00000000">
      <w:pPr>
        <w:keepNext/>
        <w:spacing w:before="120" w:after="60" w:line="240" w:lineRule="auto"/>
        <w:jc w:val="center"/>
      </w:pPr>
      <w:r>
        <w:rPr>
          <w:noProof/>
        </w:rPr>
        <w:drawing>
          <wp:inline distT="0" distB="0" distL="0" distR="0" wp14:anchorId="52261BBD" wp14:editId="1B03070A">
            <wp:extent cx="5762625" cy="3800475"/>
            <wp:effectExtent l="0" t="0" r="0" b="0"/>
            <wp:docPr id="1430236270" name="Figure 13" descr="Net Sharpe ratio against a uniform round-trip cost, by sleeve (the sum of the sleeves, not the book)."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62625" cy="3800475"/>
                    </a:xfrm>
                    <a:prstGeom prst="rect">
                      <a:avLst/>
                    </a:prstGeom>
                  </pic:spPr>
                </pic:pic>
              </a:graphicData>
            </a:graphic>
          </wp:inline>
        </w:drawing>
      </w:r>
    </w:p>
    <w:p w14:paraId="02773382" w14:textId="73A460AC" w:rsidR="003554B3" w:rsidRDefault="00000000">
      <w:pPr>
        <w:pStyle w:val="FigureCaption"/>
        <w:jc w:val="center"/>
      </w:pPr>
      <w:r>
        <w:rPr>
          <w:b/>
          <w:bCs/>
          <w:color w:val="1F3864"/>
        </w:rPr>
        <w:t xml:space="preserve">Figure </w:t>
      </w:r>
      <w:r>
        <w:rPr>
          <w:b/>
          <w:bCs/>
          <w:color w:val="1F3864"/>
        </w:rPr>
        <w:fldChar w:fldCharType="begin"/>
      </w:r>
      <w:r>
        <w:rPr>
          <w:b/>
          <w:bCs/>
          <w:color w:val="1F3864"/>
        </w:rPr>
        <w:instrText xml:space="preserve"> SEQ Figure \* ARABIC </w:instrText>
      </w:r>
      <w:r>
        <w:rPr>
          <w:b/>
          <w:bCs/>
          <w:color w:val="1F3864"/>
        </w:rPr>
        <w:fldChar w:fldCharType="separate"/>
      </w:r>
      <w:r w:rsidR="00E1205C">
        <w:rPr>
          <w:b/>
          <w:bCs/>
          <w:noProof/>
          <w:color w:val="1F3864"/>
        </w:rPr>
        <w:t>13</w:t>
      </w:r>
      <w:r>
        <w:rPr>
          <w:b/>
          <w:bCs/>
          <w:color w:val="1F3864"/>
        </w:rPr>
        <w:fldChar w:fldCharType="end"/>
      </w:r>
      <w:r>
        <w:rPr>
          <w:b/>
          <w:bCs/>
          <w:color w:val="1F3864"/>
        </w:rPr>
        <w:t xml:space="preserve">. </w:t>
      </w:r>
      <w:r>
        <w:t>Net Sharpe ratio against a uniform round-trip cost, by sleeve (the sum of the sleeves, not the book).</w:t>
      </w:r>
    </w:p>
    <w:p w14:paraId="31FFA97D" w14:textId="77777777" w:rsidR="003554B3" w:rsidRDefault="00000000">
      <w:pPr>
        <w:pStyle w:val="FigureCaption"/>
        <w:jc w:val="center"/>
      </w:pPr>
      <w:r>
        <w:rPr>
          <w:i/>
          <w:iCs/>
        </w:rPr>
        <w:t>Coverage: ZQ 99.68% of Fed business days. 0 solver failures in either currency.</w:t>
      </w:r>
    </w:p>
    <w:sectPr w:rsidR="003554B3">
      <w:headerReference w:type="default" r:id="rId21"/>
      <w:footerReference w:type="default" r:id="rId22"/>
      <w:headerReference w:type="first" r:id="rId23"/>
      <w:footerReference w:type="first" r:id="rId24"/>
      <w:pgSz w:w="12240" w:h="15840"/>
      <w:pgMar w:top="1300" w:right="1440" w:bottom="1200" w:left="1440" w:header="600" w:footer="6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25E4E5" w14:textId="77777777" w:rsidR="00A031E6" w:rsidRDefault="00A031E6">
      <w:pPr>
        <w:spacing w:after="0" w:line="240" w:lineRule="auto"/>
      </w:pPr>
      <w:r>
        <w:separator/>
      </w:r>
    </w:p>
  </w:endnote>
  <w:endnote w:type="continuationSeparator" w:id="0">
    <w:p w14:paraId="15C3E8D1" w14:textId="77777777" w:rsidR="00A031E6" w:rsidRDefault="00A031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02BA5" w14:textId="77777777" w:rsidR="003554B3" w:rsidRDefault="00000000">
    <w:pPr>
      <w:jc w:val="center"/>
    </w:pPr>
    <w:r>
      <w:rPr>
        <w:color w:val="595959"/>
        <w:sz w:val="16"/>
        <w:szCs w:val="16"/>
      </w:rPr>
      <w:fldChar w:fldCharType="begin"/>
    </w:r>
    <w:r>
      <w:rPr>
        <w:color w:val="595959"/>
        <w:sz w:val="16"/>
        <w:szCs w:val="16"/>
      </w:rPr>
      <w:instrText>PAGE</w:instrText>
    </w:r>
    <w:r>
      <w:rPr>
        <w:color w:val="595959"/>
        <w:sz w:val="16"/>
        <w:szCs w:val="16"/>
      </w:rPr>
      <w:fldChar w:fldCharType="separate"/>
    </w:r>
    <w:r w:rsidR="00AD549A">
      <w:rPr>
        <w:noProof/>
        <w:color w:val="595959"/>
        <w:sz w:val="16"/>
        <w:szCs w:val="16"/>
      </w:rPr>
      <w:t>2</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AD549A">
      <w:rPr>
        <w:noProof/>
        <w:color w:val="595959"/>
        <w:sz w:val="16"/>
        <w:szCs w:val="16"/>
      </w:rPr>
      <w:t>3</w:t>
    </w:r>
    <w:r>
      <w:rPr>
        <w:color w:val="595959"/>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6DF97" w14:textId="77777777" w:rsidR="003554B3" w:rsidRDefault="00000000">
    <w:pPr>
      <w:jc w:val="center"/>
    </w:pPr>
    <w:r>
      <w:rPr>
        <w:color w:val="595959"/>
        <w:sz w:val="16"/>
        <w:szCs w:val="16"/>
      </w:rPr>
      <w:fldChar w:fldCharType="begin"/>
    </w:r>
    <w:r>
      <w:rPr>
        <w:color w:val="595959"/>
        <w:sz w:val="16"/>
        <w:szCs w:val="16"/>
      </w:rPr>
      <w:instrText>PAGE</w:instrText>
    </w:r>
    <w:r>
      <w:rPr>
        <w:color w:val="595959"/>
        <w:sz w:val="16"/>
        <w:szCs w:val="16"/>
      </w:rPr>
      <w:fldChar w:fldCharType="separate"/>
    </w:r>
    <w:r w:rsidR="00AD549A">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51A28" w14:textId="77777777" w:rsidR="00A031E6" w:rsidRDefault="00A031E6">
      <w:pPr>
        <w:spacing w:after="0" w:line="240" w:lineRule="auto"/>
      </w:pPr>
      <w:r>
        <w:separator/>
      </w:r>
    </w:p>
  </w:footnote>
  <w:footnote w:type="continuationSeparator" w:id="0">
    <w:p w14:paraId="636ED940" w14:textId="77777777" w:rsidR="00A031E6" w:rsidRDefault="00A031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EE18F" w14:textId="77777777" w:rsidR="003554B3" w:rsidRDefault="00000000">
    <w:pPr>
      <w:pBdr>
        <w:bottom w:val="single" w:sz="4" w:space="4" w:color="BFC9D6"/>
      </w:pBdr>
      <w:tabs>
        <w:tab w:val="right" w:pos="9360"/>
      </w:tabs>
    </w:pPr>
    <w:r>
      <w:rPr>
        <w:color w:val="595959"/>
        <w:sz w:val="16"/>
        <w:szCs w:val="16"/>
      </w:rPr>
      <w:t>Does the market price the Fed’s own rule?</w:t>
    </w:r>
    <w:r>
      <w:rPr>
        <w:color w:val="595959"/>
        <w:sz w:val="16"/>
        <w:szCs w:val="16"/>
      </w:rPr>
      <w:tab/>
      <w:t>USD and GBP policy paths, 2014–2026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A3072" w14:textId="77777777" w:rsidR="003554B3" w:rsidRDefault="003554B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51FD6"/>
    <w:multiLevelType w:val="hybridMultilevel"/>
    <w:tmpl w:val="FFC85B3A"/>
    <w:lvl w:ilvl="0" w:tplc="21CC1352">
      <w:start w:val="1"/>
      <w:numFmt w:val="bullet"/>
      <w:lvlText w:val="•"/>
      <w:lvlJc w:val="left"/>
      <w:pPr>
        <w:ind w:left="360" w:hanging="260"/>
      </w:pPr>
      <w:rPr>
        <w:color w:val="2E75B6"/>
      </w:rPr>
    </w:lvl>
    <w:lvl w:ilvl="1" w:tplc="856A93CC">
      <w:numFmt w:val="decimal"/>
      <w:lvlText w:val=""/>
      <w:lvlJc w:val="left"/>
    </w:lvl>
    <w:lvl w:ilvl="2" w:tplc="9E722D16">
      <w:numFmt w:val="decimal"/>
      <w:lvlText w:val=""/>
      <w:lvlJc w:val="left"/>
    </w:lvl>
    <w:lvl w:ilvl="3" w:tplc="306268FA">
      <w:numFmt w:val="decimal"/>
      <w:lvlText w:val=""/>
      <w:lvlJc w:val="left"/>
    </w:lvl>
    <w:lvl w:ilvl="4" w:tplc="D3EA79C4">
      <w:numFmt w:val="decimal"/>
      <w:lvlText w:val=""/>
      <w:lvlJc w:val="left"/>
    </w:lvl>
    <w:lvl w:ilvl="5" w:tplc="B7E2CE20">
      <w:numFmt w:val="decimal"/>
      <w:lvlText w:val=""/>
      <w:lvlJc w:val="left"/>
    </w:lvl>
    <w:lvl w:ilvl="6" w:tplc="23BAFB9C">
      <w:numFmt w:val="decimal"/>
      <w:lvlText w:val=""/>
      <w:lvlJc w:val="left"/>
    </w:lvl>
    <w:lvl w:ilvl="7" w:tplc="1834E74C">
      <w:numFmt w:val="decimal"/>
      <w:lvlText w:val=""/>
      <w:lvlJc w:val="left"/>
    </w:lvl>
    <w:lvl w:ilvl="8" w:tplc="EBE09EC0">
      <w:numFmt w:val="decimal"/>
      <w:lvlText w:val=""/>
      <w:lvlJc w:val="left"/>
    </w:lvl>
  </w:abstractNum>
  <w:abstractNum w:abstractNumId="1" w15:restartNumberingAfterBreak="0">
    <w:nsid w:val="3BA73CA2"/>
    <w:multiLevelType w:val="hybridMultilevel"/>
    <w:tmpl w:val="0A34E9F4"/>
    <w:lvl w:ilvl="0" w:tplc="C1660360">
      <w:start w:val="1"/>
      <w:numFmt w:val="bullet"/>
      <w:lvlText w:val="●"/>
      <w:lvlJc w:val="left"/>
      <w:pPr>
        <w:ind w:left="720" w:hanging="360"/>
      </w:pPr>
    </w:lvl>
    <w:lvl w:ilvl="1" w:tplc="D4AEBB8C">
      <w:start w:val="1"/>
      <w:numFmt w:val="bullet"/>
      <w:lvlText w:val="○"/>
      <w:lvlJc w:val="left"/>
      <w:pPr>
        <w:ind w:left="1440" w:hanging="360"/>
      </w:pPr>
    </w:lvl>
    <w:lvl w:ilvl="2" w:tplc="957C605E">
      <w:start w:val="1"/>
      <w:numFmt w:val="bullet"/>
      <w:lvlText w:val="■"/>
      <w:lvlJc w:val="left"/>
      <w:pPr>
        <w:ind w:left="2160" w:hanging="360"/>
      </w:pPr>
    </w:lvl>
    <w:lvl w:ilvl="3" w:tplc="93E0A194">
      <w:start w:val="1"/>
      <w:numFmt w:val="bullet"/>
      <w:lvlText w:val="●"/>
      <w:lvlJc w:val="left"/>
      <w:pPr>
        <w:ind w:left="2880" w:hanging="360"/>
      </w:pPr>
    </w:lvl>
    <w:lvl w:ilvl="4" w:tplc="1466D588">
      <w:start w:val="1"/>
      <w:numFmt w:val="bullet"/>
      <w:lvlText w:val="○"/>
      <w:lvlJc w:val="left"/>
      <w:pPr>
        <w:ind w:left="3600" w:hanging="360"/>
      </w:pPr>
    </w:lvl>
    <w:lvl w:ilvl="5" w:tplc="6E369432">
      <w:start w:val="1"/>
      <w:numFmt w:val="bullet"/>
      <w:lvlText w:val="■"/>
      <w:lvlJc w:val="left"/>
      <w:pPr>
        <w:ind w:left="4320" w:hanging="360"/>
      </w:pPr>
    </w:lvl>
    <w:lvl w:ilvl="6" w:tplc="AE86DA1C">
      <w:start w:val="1"/>
      <w:numFmt w:val="bullet"/>
      <w:lvlText w:val="●"/>
      <w:lvlJc w:val="left"/>
      <w:pPr>
        <w:ind w:left="5040" w:hanging="360"/>
      </w:pPr>
    </w:lvl>
    <w:lvl w:ilvl="7" w:tplc="08D05102">
      <w:start w:val="1"/>
      <w:numFmt w:val="bullet"/>
      <w:lvlText w:val="●"/>
      <w:lvlJc w:val="left"/>
      <w:pPr>
        <w:ind w:left="5760" w:hanging="360"/>
      </w:pPr>
    </w:lvl>
    <w:lvl w:ilvl="8" w:tplc="39E46380">
      <w:start w:val="1"/>
      <w:numFmt w:val="bullet"/>
      <w:lvlText w:val="●"/>
      <w:lvlJc w:val="left"/>
      <w:pPr>
        <w:ind w:left="6480" w:hanging="360"/>
      </w:pPr>
    </w:lvl>
  </w:abstractNum>
  <w:abstractNum w:abstractNumId="2" w15:restartNumberingAfterBreak="0">
    <w:nsid w:val="4FB108D7"/>
    <w:multiLevelType w:val="hybridMultilevel"/>
    <w:tmpl w:val="B3FC7F56"/>
    <w:lvl w:ilvl="0" w:tplc="63264860">
      <w:start w:val="1"/>
      <w:numFmt w:val="bullet"/>
      <w:lvlText w:val="•"/>
      <w:lvlJc w:val="left"/>
      <w:pPr>
        <w:ind w:left="360" w:hanging="260"/>
      </w:pPr>
      <w:rPr>
        <w:color w:val="2E75B6"/>
      </w:rPr>
    </w:lvl>
    <w:lvl w:ilvl="1" w:tplc="F8520F44">
      <w:numFmt w:val="decimal"/>
      <w:lvlText w:val=""/>
      <w:lvlJc w:val="left"/>
    </w:lvl>
    <w:lvl w:ilvl="2" w:tplc="EB2E0AB0">
      <w:numFmt w:val="decimal"/>
      <w:lvlText w:val=""/>
      <w:lvlJc w:val="left"/>
    </w:lvl>
    <w:lvl w:ilvl="3" w:tplc="70D2B312">
      <w:numFmt w:val="decimal"/>
      <w:lvlText w:val=""/>
      <w:lvlJc w:val="left"/>
    </w:lvl>
    <w:lvl w:ilvl="4" w:tplc="700E3B7A">
      <w:numFmt w:val="decimal"/>
      <w:lvlText w:val=""/>
      <w:lvlJc w:val="left"/>
    </w:lvl>
    <w:lvl w:ilvl="5" w:tplc="06181D94">
      <w:numFmt w:val="decimal"/>
      <w:lvlText w:val=""/>
      <w:lvlJc w:val="left"/>
    </w:lvl>
    <w:lvl w:ilvl="6" w:tplc="FAE0256E">
      <w:numFmt w:val="decimal"/>
      <w:lvlText w:val=""/>
      <w:lvlJc w:val="left"/>
    </w:lvl>
    <w:lvl w:ilvl="7" w:tplc="50B0FAEE">
      <w:numFmt w:val="decimal"/>
      <w:lvlText w:val=""/>
      <w:lvlJc w:val="left"/>
    </w:lvl>
    <w:lvl w:ilvl="8" w:tplc="1D3CF088">
      <w:numFmt w:val="decimal"/>
      <w:lvlText w:val=""/>
      <w:lvlJc w:val="left"/>
    </w:lvl>
  </w:abstractNum>
  <w:abstractNum w:abstractNumId="3" w15:restartNumberingAfterBreak="0">
    <w:nsid w:val="54E34A18"/>
    <w:multiLevelType w:val="multilevel"/>
    <w:tmpl w:val="78B0638E"/>
    <w:lvl w:ilvl="0">
      <w:start w:val="1"/>
      <w:numFmt w:val="decimal"/>
      <w:lvlText w:val="%1"/>
      <w:lvlJc w:val="left"/>
      <w:pPr>
        <w:ind w:left="540" w:hanging="540"/>
      </w:pPr>
    </w:lvl>
    <w:lvl w:ilvl="1">
      <w:start w:val="1"/>
      <w:numFmt w:val="decimal"/>
      <w:lvlText w:val="%1.%2"/>
      <w:lvlJc w:val="left"/>
      <w:pPr>
        <w:ind w:left="720" w:hanging="7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695E1BBB"/>
    <w:multiLevelType w:val="hybridMultilevel"/>
    <w:tmpl w:val="F40C021A"/>
    <w:lvl w:ilvl="0" w:tplc="DEA021B4">
      <w:start w:val="1"/>
      <w:numFmt w:val="decimal"/>
      <w:lvlText w:val="%1."/>
      <w:lvlJc w:val="left"/>
      <w:pPr>
        <w:ind w:left="360" w:hanging="360"/>
      </w:pPr>
      <w:rPr>
        <w:b/>
        <w:bCs/>
        <w:color w:val="1F3864"/>
      </w:rPr>
    </w:lvl>
    <w:lvl w:ilvl="1" w:tplc="4426E1B6">
      <w:numFmt w:val="decimal"/>
      <w:lvlText w:val=""/>
      <w:lvlJc w:val="left"/>
    </w:lvl>
    <w:lvl w:ilvl="2" w:tplc="977A9A92">
      <w:numFmt w:val="decimal"/>
      <w:lvlText w:val=""/>
      <w:lvlJc w:val="left"/>
    </w:lvl>
    <w:lvl w:ilvl="3" w:tplc="6A1C3F28">
      <w:numFmt w:val="decimal"/>
      <w:lvlText w:val=""/>
      <w:lvlJc w:val="left"/>
    </w:lvl>
    <w:lvl w:ilvl="4" w:tplc="663A144C">
      <w:numFmt w:val="decimal"/>
      <w:lvlText w:val=""/>
      <w:lvlJc w:val="left"/>
    </w:lvl>
    <w:lvl w:ilvl="5" w:tplc="05F85E9A">
      <w:numFmt w:val="decimal"/>
      <w:lvlText w:val=""/>
      <w:lvlJc w:val="left"/>
    </w:lvl>
    <w:lvl w:ilvl="6" w:tplc="8FB0F5AE">
      <w:numFmt w:val="decimal"/>
      <w:lvlText w:val=""/>
      <w:lvlJc w:val="left"/>
    </w:lvl>
    <w:lvl w:ilvl="7" w:tplc="C542208C">
      <w:numFmt w:val="decimal"/>
      <w:lvlText w:val=""/>
      <w:lvlJc w:val="left"/>
    </w:lvl>
    <w:lvl w:ilvl="8" w:tplc="F5F44B50">
      <w:numFmt w:val="decimal"/>
      <w:lvlText w:val=""/>
      <w:lvlJc w:val="left"/>
    </w:lvl>
  </w:abstractNum>
  <w:num w:numId="1" w16cid:durableId="935165302">
    <w:abstractNumId w:val="1"/>
    <w:lvlOverride w:ilvl="0">
      <w:startOverride w:val="1"/>
    </w:lvlOverride>
  </w:num>
  <w:num w:numId="2" w16cid:durableId="863830282">
    <w:abstractNumId w:val="4"/>
    <w:lvlOverride w:ilvl="0">
      <w:startOverride w:val="1"/>
    </w:lvlOverride>
  </w:num>
  <w:num w:numId="3" w16cid:durableId="1995183869">
    <w:abstractNumId w:val="3"/>
    <w:lvlOverride w:ilvl="0">
      <w:startOverride w:val="1"/>
    </w:lvlOverride>
  </w:num>
  <w:num w:numId="4" w16cid:durableId="1933509298">
    <w:abstractNumId w:val="0"/>
    <w:lvlOverride w:ilvl="0">
      <w:startOverride w:val="1"/>
    </w:lvlOverride>
  </w:num>
  <w:num w:numId="5" w16cid:durableId="58433712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54B3"/>
    <w:rsid w:val="0000747B"/>
    <w:rsid w:val="00043673"/>
    <w:rsid w:val="00187D7A"/>
    <w:rsid w:val="0019231B"/>
    <w:rsid w:val="00212F34"/>
    <w:rsid w:val="00250859"/>
    <w:rsid w:val="00310A74"/>
    <w:rsid w:val="00314548"/>
    <w:rsid w:val="003554B3"/>
    <w:rsid w:val="003674CB"/>
    <w:rsid w:val="004B0B94"/>
    <w:rsid w:val="00514537"/>
    <w:rsid w:val="005A40DC"/>
    <w:rsid w:val="005E4E15"/>
    <w:rsid w:val="005F64EC"/>
    <w:rsid w:val="00635B2F"/>
    <w:rsid w:val="0064739B"/>
    <w:rsid w:val="00665963"/>
    <w:rsid w:val="00693576"/>
    <w:rsid w:val="006A30CA"/>
    <w:rsid w:val="006B2461"/>
    <w:rsid w:val="00707884"/>
    <w:rsid w:val="00866A01"/>
    <w:rsid w:val="00944D86"/>
    <w:rsid w:val="00A031E6"/>
    <w:rsid w:val="00A70B03"/>
    <w:rsid w:val="00AD549A"/>
    <w:rsid w:val="00AD5DA7"/>
    <w:rsid w:val="00B249BB"/>
    <w:rsid w:val="00BF7A5B"/>
    <w:rsid w:val="00C6356E"/>
    <w:rsid w:val="00CA7A72"/>
    <w:rsid w:val="00D82675"/>
    <w:rsid w:val="00E1205C"/>
    <w:rsid w:val="00EF29F6"/>
    <w:rsid w:val="00F3531E"/>
    <w:rsid w:val="00F51070"/>
    <w:rsid w:val="00F8125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95382"/>
  <w15:docId w15:val="{DC89E420-FB88-4B4D-84DA-02E1F4206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pPr>
        <w:spacing w:after="14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spacing w:before="400"/>
      <w:outlineLvl w:val="0"/>
    </w:pPr>
    <w:rPr>
      <w:b/>
      <w:bCs/>
      <w:color w:val="1F3864"/>
      <w:sz w:val="30"/>
      <w:szCs w:val="30"/>
    </w:rPr>
  </w:style>
  <w:style w:type="paragraph" w:styleId="Heading2">
    <w:name w:val="heading 2"/>
    <w:uiPriority w:val="9"/>
    <w:unhideWhenUsed/>
    <w:qFormat/>
    <w:pPr>
      <w:keepNext/>
      <w:keepLines/>
      <w:spacing w:before="260" w:after="100"/>
      <w:outlineLvl w:val="1"/>
    </w:pPr>
    <w:rPr>
      <w:b/>
      <w:bCs/>
      <w:color w:val="2E75B6"/>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igureCaption">
    <w:name w:val="Figure Caption"/>
    <w:qFormat/>
    <w:pPr>
      <w:spacing w:after="240" w:line="252" w:lineRule="auto"/>
    </w:pPr>
    <w:rPr>
      <w:color w:val="404040"/>
      <w:sz w:val="17"/>
      <w:szCs w:val="17"/>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E1205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6EB637-12E8-4997-9CEF-517666E105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3322</Words>
  <Characters>18941</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Does the market price the Fed’s own rule?</vt:lpstr>
    </vt:vector>
  </TitlesOfParts>
  <Company/>
  <LinksUpToDate>false</LinksUpToDate>
  <CharactersWithSpaces>22219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Does the market price the Fed’s own rule?</dc:title>
  <dc:creator>Defense</dc:creator>
  <dc:description>USD and GBP policy paths, 2014–2026</dc:description>
  <cp:lastModifiedBy>Eric Beechen</cp:lastModifiedBy>
  <cp:revision>2</cp:revision>
  <cp:lastPrinted>2026-10-14T14:45:00Z</cp:lastPrinted>
  <dcterms:created xsi:type="dcterms:W3CDTF">2026-10-14T14:45:00Z</dcterms:created>
  <dcterms:modified xsi:type="dcterms:W3CDTF">2026-10-14T14:45:00Z</dcterms:modified>
</cp:coreProperties>
</file>