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58605" w14:textId="77777777" w:rsidR="003554B3" w:rsidRDefault="00000000">
      <w:pPr>
        <w:spacing w:after="80"/>
      </w:pPr>
      <w:r>
        <w:rPr>
          <w:b/>
          <w:bCs/>
          <w:color w:val="1F3864"/>
          <w:sz w:val="44"/>
          <w:szCs w:val="44"/>
        </w:rPr>
        <w:t>Does the market price the Fed’s own rule?</w:t>
      </w:r>
    </w:p>
    <w:p w14:paraId="7BF36A7E" w14:textId="77777777" w:rsidR="003554B3" w:rsidRDefault="00000000">
      <w:pPr>
        <w:pBdr>
          <w:bottom w:val="single" w:sz="12" w:space="8" w:color="1F3864"/>
        </w:pBdr>
        <w:spacing w:after="120"/>
      </w:pPr>
      <w:r>
        <w:rPr>
          <w:color w:val="595959"/>
          <w:sz w:val="26"/>
          <w:szCs w:val="26"/>
        </w:rPr>
        <w:t>USD and GBP policy paths, 2014–2026</w:t>
      </w:r>
    </w:p>
    <w:p w14:paraId="44496D91" w14:textId="77777777" w:rsidR="003554B3" w:rsidRDefault="00000000">
      <w:pPr>
        <w:pStyle w:val="Heading1"/>
        <w:spacing w:before="240" w:after="120"/>
      </w:pPr>
      <w:r>
        <w:t>Summary</w:t>
      </w:r>
    </w:p>
    <w:p w14:paraId="4FFD2F03" w14:textId="125C2356" w:rsidR="003554B3" w:rsidRDefault="00000000">
      <w:r>
        <w:t xml:space="preserve">Is the market pricing the Fed’s own rule? The market persistently prices the policy path below the Fed’s own rule (applied to UK inputs for GBP), but even with this, the gap is not a tradable signal. Once that gap is standardized (z) it does not forecast rate changes in </w:t>
      </w:r>
      <w:proofErr w:type="gramStart"/>
      <w:r>
        <w:t>USD, and</w:t>
      </w:r>
      <w:proofErr w:type="gramEnd"/>
      <w:r>
        <w:t xml:space="preserve"> points the wrong way there. In GBP, the story is different, it does forecast them, but the gains are concentrated into a specific window (202</w:t>
      </w:r>
      <w:r w:rsidR="00AD549A">
        <w:t>2</w:t>
      </w:r>
      <w:r>
        <w:t>–2023). The book loses money before costs, and about half of that cost comes from rolls and re-strikes.</w:t>
      </w:r>
    </w:p>
    <w:p w14:paraId="3F01700A" w14:textId="78D53B37" w:rsidR="003554B3" w:rsidRDefault="00000000">
      <w:r>
        <w:t>Measurement for each currency was the implied path the market was pricing vs. what the rules said they would be. This difference was taken at the 4</w:t>
      </w:r>
      <w:r>
        <w:rPr>
          <w:vertAlign w:val="superscript"/>
        </w:rPr>
        <w:t>th</w:t>
      </w:r>
      <w:r>
        <w:t xml:space="preserve"> meeting for each central bank and used a z score on a trailing 2-year window. The gap’s z is scored by its rank IC against the policy-rate change over the next h sessions (5, </w:t>
      </w:r>
      <w:r w:rsidR="00250859">
        <w:t>4</w:t>
      </w:r>
      <w:r>
        <w:t>21, 63). The gap’s z needs a year of history first, and the IC is measured outside the ELB (Effective Lower Bound).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54B3" w14:paraId="4DFA27C5" w14:textId="77777777">
        <w:tblPrEx>
          <w:tblCellMar>
            <w:top w:w="0" w:type="dxa"/>
            <w:bottom w:w="0" w:type="dxa"/>
          </w:tblCellMar>
        </w:tblPrEx>
        <w:trPr>
          <w:cantSplit/>
        </w:trPr>
        <w:tc>
          <w:tcPr>
            <w:tcW w:w="9360" w:type="dxa"/>
            <w:tcBorders>
              <w:top w:val="none" w:sz="0" w:space="0" w:color="FFFFFF"/>
              <w:left w:val="single" w:sz="24" w:space="0" w:color="1F3864"/>
              <w:bottom w:val="none" w:sz="0" w:space="0" w:color="FFFFFF"/>
              <w:right w:val="none" w:sz="0" w:space="0" w:color="FFFFFF"/>
            </w:tcBorders>
            <w:shd w:val="clear" w:color="auto" w:fill="F7F9FC"/>
            <w:tcMar>
              <w:top w:w="140" w:type="dxa"/>
              <w:left w:w="220" w:type="dxa"/>
              <w:bottom w:w="80" w:type="dxa"/>
              <w:right w:w="220" w:type="dxa"/>
            </w:tcMar>
          </w:tcPr>
          <w:p w14:paraId="35340354" w14:textId="77777777" w:rsidR="003554B3" w:rsidRDefault="00000000">
            <w:pPr>
              <w:spacing w:after="100"/>
            </w:pPr>
            <w:r>
              <w:rPr>
                <w:b/>
                <w:bCs/>
                <w:color w:val="2E75B6"/>
                <w:spacing w:val="20"/>
                <w:sz w:val="18"/>
                <w:szCs w:val="18"/>
              </w:rPr>
              <w:t>FOUR FINDINGS</w:t>
            </w:r>
          </w:p>
          <w:p w14:paraId="2770833C" w14:textId="77777777" w:rsidR="003554B3" w:rsidRDefault="00000000">
            <w:pPr>
              <w:pStyle w:val="ListParagraph"/>
              <w:numPr>
                <w:ilvl w:val="0"/>
                <w:numId w:val="2"/>
              </w:numPr>
              <w:spacing w:after="80"/>
            </w:pPr>
            <w:r>
              <w:rPr>
                <w:b/>
                <w:bCs/>
                <w:color w:val="1F3864"/>
              </w:rPr>
              <w:t xml:space="preserve">The level. </w:t>
            </w:r>
            <w:r>
              <w:t>The market prices the policy path persistently below the Fed’s own published rule: in USD, in every one of the 13 years, by 25 to 86 bp at the 4</w:t>
            </w:r>
            <w:r>
              <w:rPr>
                <w:vertAlign w:val="superscript"/>
              </w:rPr>
              <w:t>th</w:t>
            </w:r>
            <w:r>
              <w:t xml:space="preserve"> meeting.</w:t>
            </w:r>
          </w:p>
          <w:p w14:paraId="226766D8" w14:textId="77777777" w:rsidR="003554B3" w:rsidRDefault="00000000">
            <w:pPr>
              <w:pStyle w:val="ListParagraph"/>
              <w:numPr>
                <w:ilvl w:val="0"/>
                <w:numId w:val="2"/>
              </w:numPr>
              <w:spacing w:after="80"/>
            </w:pPr>
            <w:r>
              <w:rPr>
                <w:b/>
                <w:bCs/>
                <w:color w:val="1F3864"/>
              </w:rPr>
              <w:t xml:space="preserve">The signal. </w:t>
            </w:r>
            <w:r>
              <w:t>The gap does not forecast at the book level and in USD it points the wrong way (IC (21) −0.12) because the Fed moves toward the market, not the reverse.</w:t>
            </w:r>
          </w:p>
          <w:p w14:paraId="73E14255" w14:textId="77777777" w:rsidR="003554B3" w:rsidRDefault="00000000">
            <w:pPr>
              <w:pStyle w:val="ListParagraph"/>
              <w:numPr>
                <w:ilvl w:val="0"/>
                <w:numId w:val="2"/>
              </w:numPr>
              <w:spacing w:after="80"/>
            </w:pPr>
            <w:r>
              <w:rPr>
                <w:b/>
                <w:bCs/>
                <w:color w:val="1F3864"/>
              </w:rPr>
              <w:t xml:space="preserve">The carry filter. </w:t>
            </w:r>
            <w:r>
              <w:t>A carry filter that skips entries whose expected quarter, carry and roll included, is below zero would improve the Sharpe ratio by 0.10 (paired SE 0.05); the book still loses (−0.51), and the filter is off in the headline.</w:t>
            </w:r>
          </w:p>
          <w:p w14:paraId="23BABD3A" w14:textId="77777777" w:rsidR="003554B3" w:rsidRDefault="00000000">
            <w:pPr>
              <w:pStyle w:val="ListParagraph"/>
              <w:numPr>
                <w:ilvl w:val="0"/>
                <w:numId w:val="2"/>
              </w:numPr>
              <w:spacing w:after="80"/>
            </w:pPr>
            <w:r>
              <w:rPr>
                <w:b/>
                <w:bCs/>
                <w:color w:val="1F3864"/>
              </w:rPr>
              <w:t xml:space="preserve">The costs. </w:t>
            </w:r>
            <w:r>
              <w:t>Maintenance (rolls and re-strikes) is 46% of the cost; rolls alone, which are forced by trading the 4</w:t>
            </w:r>
            <w:r>
              <w:rPr>
                <w:vertAlign w:val="superscript"/>
              </w:rPr>
              <w:t>th</w:t>
            </w:r>
            <w:r>
              <w:t xml:space="preserve"> meeting ahead, are 33%.</w:t>
            </w:r>
          </w:p>
        </w:tc>
      </w:tr>
    </w:tbl>
    <w:p w14:paraId="10D49845" w14:textId="77777777" w:rsidR="003554B3" w:rsidRDefault="00000000">
      <w:pPr>
        <w:keepNext/>
        <w:spacing w:before="240" w:after="100"/>
      </w:pPr>
      <w:r>
        <w:rPr>
          <w:b/>
          <w:bCs/>
          <w:color w:val="2E75B6"/>
          <w:spacing w:val="20"/>
          <w:sz w:val="18"/>
          <w:szCs w:val="18"/>
        </w:rPr>
        <w:t>THE HEADLINE NUMBERS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120"/>
        <w:gridCol w:w="3120"/>
        <w:gridCol w:w="3120"/>
      </w:tblGrid>
      <w:tr w:rsidR="003554B3" w14:paraId="5823B9A7" w14:textId="77777777">
        <w:tblPrEx>
          <w:tblCellMar>
            <w:top w:w="0" w:type="dxa"/>
            <w:bottom w:w="0" w:type="dxa"/>
          </w:tblCellMar>
        </w:tblPrEx>
        <w:trPr>
          <w:cantSplit/>
        </w:trPr>
        <w:tc>
          <w:tcPr>
            <w:tcW w:w="3120" w:type="dxa"/>
            <w:tcBorders>
              <w:top w:val="single" w:sz="24" w:space="0" w:color="FFFFFF"/>
              <w:left w:val="single" w:sz="24" w:space="0" w:color="2E75B6"/>
              <w:bottom w:val="single" w:sz="24" w:space="0" w:color="FFFFFF"/>
              <w:right w:val="single" w:sz="24" w:space="0" w:color="FFFFFF"/>
            </w:tcBorders>
            <w:shd w:val="clear" w:color="auto" w:fill="EEF3F9"/>
            <w:tcMar>
              <w:top w:w="120" w:type="dxa"/>
              <w:left w:w="160" w:type="dxa"/>
              <w:bottom w:w="120" w:type="dxa"/>
              <w:right w:w="120" w:type="dxa"/>
            </w:tcMar>
          </w:tcPr>
          <w:p w14:paraId="46E25187" w14:textId="77777777" w:rsidR="003554B3" w:rsidRDefault="00000000">
            <w:pPr>
              <w:spacing w:after="20" w:line="240" w:lineRule="auto"/>
            </w:pPr>
            <w:r>
              <w:rPr>
                <w:b/>
                <w:bCs/>
                <w:color w:val="1F3864"/>
                <w:sz w:val="32"/>
                <w:szCs w:val="32"/>
              </w:rPr>
              <w:t>−0.60</w:t>
            </w:r>
          </w:p>
          <w:p w14:paraId="735E864D" w14:textId="77777777" w:rsidR="003554B3" w:rsidRDefault="00000000">
            <w:pPr>
              <w:spacing w:after="0" w:line="240" w:lineRule="auto"/>
            </w:pPr>
            <w:r>
              <w:rPr>
                <w:b/>
                <w:bCs/>
                <w:color w:val="262626"/>
                <w:sz w:val="17"/>
                <w:szCs w:val="17"/>
              </w:rPr>
              <w:t>Net Sharpe ratio</w:t>
            </w:r>
          </w:p>
          <w:p w14:paraId="0C532526" w14:textId="77777777" w:rsidR="003554B3" w:rsidRDefault="00000000">
            <w:pPr>
              <w:spacing w:after="0" w:line="240" w:lineRule="auto"/>
            </w:pPr>
            <w:r>
              <w:rPr>
                <w:color w:val="595959"/>
                <w:sz w:val="16"/>
                <w:szCs w:val="16"/>
              </w:rPr>
              <w:t>SE 0.32; gross −0.14</w:t>
            </w:r>
          </w:p>
        </w:tc>
        <w:tc>
          <w:tcPr>
            <w:tcW w:w="3120" w:type="dxa"/>
            <w:tcBorders>
              <w:top w:val="single" w:sz="24" w:space="0" w:color="FFFFFF"/>
              <w:left w:val="single" w:sz="24" w:space="0" w:color="2E75B6"/>
              <w:bottom w:val="single" w:sz="24" w:space="0" w:color="FFFFFF"/>
              <w:right w:val="single" w:sz="24" w:space="0" w:color="FFFFFF"/>
            </w:tcBorders>
            <w:shd w:val="clear" w:color="auto" w:fill="EEF3F9"/>
            <w:tcMar>
              <w:top w:w="120" w:type="dxa"/>
              <w:left w:w="160" w:type="dxa"/>
              <w:bottom w:w="120" w:type="dxa"/>
              <w:right w:w="120" w:type="dxa"/>
            </w:tcMar>
          </w:tcPr>
          <w:p w14:paraId="6CC4C8F1" w14:textId="77777777" w:rsidR="003554B3" w:rsidRDefault="00000000">
            <w:pPr>
              <w:spacing w:after="20" w:line="240" w:lineRule="auto"/>
            </w:pPr>
            <w:r>
              <w:rPr>
                <w:b/>
                <w:bCs/>
                <w:color w:val="1F3864"/>
                <w:sz w:val="32"/>
                <w:szCs w:val="32"/>
              </w:rPr>
              <w:t>−3.19%</w:t>
            </w:r>
          </w:p>
          <w:p w14:paraId="545DB0D9" w14:textId="77777777" w:rsidR="003554B3" w:rsidRDefault="00000000">
            <w:pPr>
              <w:spacing w:after="0" w:line="240" w:lineRule="auto"/>
            </w:pPr>
            <w:r>
              <w:rPr>
                <w:b/>
                <w:bCs/>
                <w:color w:val="262626"/>
                <w:sz w:val="17"/>
                <w:szCs w:val="17"/>
              </w:rPr>
              <w:t>Net return</w:t>
            </w:r>
          </w:p>
          <w:p w14:paraId="295652DE" w14:textId="77777777" w:rsidR="003554B3" w:rsidRDefault="00000000">
            <w:pPr>
              <w:spacing w:after="0" w:line="240" w:lineRule="auto"/>
            </w:pPr>
            <w:r>
              <w:rPr>
                <w:color w:val="595959"/>
                <w:sz w:val="16"/>
                <w:szCs w:val="16"/>
              </w:rPr>
              <w:t>of capital per year</w:t>
            </w:r>
          </w:p>
        </w:tc>
        <w:tc>
          <w:tcPr>
            <w:tcW w:w="3120" w:type="dxa"/>
            <w:tcBorders>
              <w:top w:val="single" w:sz="24" w:space="0" w:color="FFFFFF"/>
              <w:left w:val="single" w:sz="24" w:space="0" w:color="2E75B6"/>
              <w:bottom w:val="single" w:sz="24" w:space="0" w:color="FFFFFF"/>
              <w:right w:val="single" w:sz="24" w:space="0" w:color="FFFFFF"/>
            </w:tcBorders>
            <w:shd w:val="clear" w:color="auto" w:fill="EEF3F9"/>
            <w:tcMar>
              <w:top w:w="120" w:type="dxa"/>
              <w:left w:w="160" w:type="dxa"/>
              <w:bottom w:w="120" w:type="dxa"/>
              <w:right w:w="120" w:type="dxa"/>
            </w:tcMar>
          </w:tcPr>
          <w:p w14:paraId="6FB5E6E9" w14:textId="77777777" w:rsidR="003554B3" w:rsidRDefault="00000000">
            <w:pPr>
              <w:spacing w:after="20" w:line="240" w:lineRule="auto"/>
            </w:pPr>
            <w:r>
              <w:rPr>
                <w:b/>
                <w:bCs/>
                <w:color w:val="1F3864"/>
                <w:sz w:val="32"/>
                <w:szCs w:val="32"/>
              </w:rPr>
              <w:t>57.5%</w:t>
            </w:r>
          </w:p>
          <w:p w14:paraId="306877CD" w14:textId="77777777" w:rsidR="003554B3" w:rsidRDefault="00000000">
            <w:pPr>
              <w:spacing w:after="0" w:line="240" w:lineRule="auto"/>
            </w:pPr>
            <w:r>
              <w:rPr>
                <w:b/>
                <w:bCs/>
                <w:color w:val="262626"/>
                <w:sz w:val="17"/>
                <w:szCs w:val="17"/>
              </w:rPr>
              <w:t>Worst drawdown</w:t>
            </w:r>
          </w:p>
          <w:p w14:paraId="32C8B064" w14:textId="77777777" w:rsidR="003554B3" w:rsidRDefault="00000000">
            <w:pPr>
              <w:spacing w:after="0" w:line="240" w:lineRule="auto"/>
            </w:pPr>
            <w:r>
              <w:rPr>
                <w:color w:val="595959"/>
                <w:sz w:val="16"/>
                <w:szCs w:val="16"/>
              </w:rPr>
              <w:t>April 2014 – September 2021</w:t>
            </w:r>
          </w:p>
        </w:tc>
      </w:tr>
      <w:tr w:rsidR="003554B3" w14:paraId="6292AD4B" w14:textId="77777777">
        <w:tblPrEx>
          <w:tblCellMar>
            <w:top w:w="0" w:type="dxa"/>
            <w:bottom w:w="0" w:type="dxa"/>
          </w:tblCellMar>
        </w:tblPrEx>
        <w:trPr>
          <w:cantSplit/>
        </w:trPr>
        <w:tc>
          <w:tcPr>
            <w:tcW w:w="3120" w:type="dxa"/>
            <w:tcBorders>
              <w:top w:val="single" w:sz="24" w:space="0" w:color="FFFFFF"/>
              <w:left w:val="single" w:sz="24" w:space="0" w:color="2E75B6"/>
              <w:bottom w:val="single" w:sz="24" w:space="0" w:color="FFFFFF"/>
              <w:right w:val="single" w:sz="24" w:space="0" w:color="FFFFFF"/>
            </w:tcBorders>
            <w:shd w:val="clear" w:color="auto" w:fill="EEF3F9"/>
            <w:tcMar>
              <w:top w:w="120" w:type="dxa"/>
              <w:left w:w="160" w:type="dxa"/>
              <w:bottom w:w="120" w:type="dxa"/>
              <w:right w:w="120" w:type="dxa"/>
            </w:tcMar>
          </w:tcPr>
          <w:p w14:paraId="6D9626E3" w14:textId="77777777" w:rsidR="003554B3" w:rsidRDefault="00000000">
            <w:pPr>
              <w:spacing w:after="20" w:line="240" w:lineRule="auto"/>
            </w:pPr>
            <w:r>
              <w:rPr>
                <w:b/>
                <w:bCs/>
                <w:color w:val="1F3864"/>
                <w:sz w:val="32"/>
                <w:szCs w:val="32"/>
              </w:rPr>
              <w:t>2.47%</w:t>
            </w:r>
          </w:p>
          <w:p w14:paraId="345ECFE5" w14:textId="77777777" w:rsidR="003554B3" w:rsidRDefault="00000000">
            <w:pPr>
              <w:spacing w:after="0" w:line="240" w:lineRule="auto"/>
            </w:pPr>
            <w:r>
              <w:rPr>
                <w:b/>
                <w:bCs/>
                <w:color w:val="262626"/>
                <w:sz w:val="17"/>
                <w:szCs w:val="17"/>
              </w:rPr>
              <w:t>Costs per year</w:t>
            </w:r>
          </w:p>
          <w:p w14:paraId="345A60BB" w14:textId="77777777" w:rsidR="003554B3" w:rsidRDefault="00000000">
            <w:pPr>
              <w:spacing w:after="0" w:line="240" w:lineRule="auto"/>
            </w:pPr>
            <w:r>
              <w:rPr>
                <w:color w:val="595959"/>
                <w:sz w:val="16"/>
                <w:szCs w:val="16"/>
              </w:rPr>
              <w:t xml:space="preserve">46% of </w:t>
            </w:r>
            <w:proofErr w:type="spellStart"/>
            <w:proofErr w:type="gramStart"/>
            <w:r>
              <w:rPr>
                <w:color w:val="595959"/>
                <w:sz w:val="16"/>
                <w:szCs w:val="16"/>
              </w:rPr>
              <w:t>it</w:t>
            </w:r>
            <w:proofErr w:type="spellEnd"/>
            <w:proofErr w:type="gramEnd"/>
            <w:r>
              <w:rPr>
                <w:color w:val="595959"/>
                <w:sz w:val="16"/>
                <w:szCs w:val="16"/>
              </w:rPr>
              <w:t xml:space="preserve"> maintenance</w:t>
            </w:r>
          </w:p>
        </w:tc>
        <w:tc>
          <w:tcPr>
            <w:tcW w:w="3120" w:type="dxa"/>
            <w:tcBorders>
              <w:top w:val="single" w:sz="24" w:space="0" w:color="FFFFFF"/>
              <w:left w:val="single" w:sz="24" w:space="0" w:color="2E75B6"/>
              <w:bottom w:val="single" w:sz="24" w:space="0" w:color="FFFFFF"/>
              <w:right w:val="single" w:sz="24" w:space="0" w:color="FFFFFF"/>
            </w:tcBorders>
            <w:shd w:val="clear" w:color="auto" w:fill="EEF3F9"/>
            <w:tcMar>
              <w:top w:w="120" w:type="dxa"/>
              <w:left w:w="160" w:type="dxa"/>
              <w:bottom w:w="120" w:type="dxa"/>
              <w:right w:w="120" w:type="dxa"/>
            </w:tcMar>
          </w:tcPr>
          <w:p w14:paraId="0A3DA5ED" w14:textId="77777777" w:rsidR="003554B3" w:rsidRDefault="00000000">
            <w:pPr>
              <w:spacing w:after="20" w:line="240" w:lineRule="auto"/>
            </w:pPr>
            <w:r>
              <w:rPr>
                <w:b/>
                <w:bCs/>
                <w:color w:val="1F3864"/>
                <w:sz w:val="32"/>
                <w:szCs w:val="32"/>
              </w:rPr>
              <w:t>+0.50</w:t>
            </w:r>
          </w:p>
          <w:p w14:paraId="7A132D37" w14:textId="77777777" w:rsidR="003554B3" w:rsidRDefault="00000000">
            <w:pPr>
              <w:spacing w:after="0" w:line="240" w:lineRule="auto"/>
            </w:pPr>
            <w:r>
              <w:rPr>
                <w:b/>
                <w:bCs/>
                <w:color w:val="262626"/>
                <w:sz w:val="17"/>
                <w:szCs w:val="17"/>
              </w:rPr>
              <w:t>GBP outright net Sharpe</w:t>
            </w:r>
          </w:p>
          <w:p w14:paraId="4CBA990E" w14:textId="77777777" w:rsidR="003554B3" w:rsidRDefault="00000000">
            <w:pPr>
              <w:spacing w:after="0" w:line="240" w:lineRule="auto"/>
            </w:pPr>
            <w:r>
              <w:rPr>
                <w:color w:val="595959"/>
                <w:sz w:val="16"/>
                <w:szCs w:val="16"/>
              </w:rPr>
              <w:t>+0.04 excluding 2022–2023</w:t>
            </w:r>
          </w:p>
        </w:tc>
        <w:tc>
          <w:tcPr>
            <w:tcW w:w="3120" w:type="dxa"/>
            <w:tcBorders>
              <w:top w:val="single" w:sz="24" w:space="0" w:color="FFFFFF"/>
              <w:left w:val="single" w:sz="24" w:space="0" w:color="2E75B6"/>
              <w:bottom w:val="single" w:sz="24" w:space="0" w:color="FFFFFF"/>
              <w:right w:val="single" w:sz="24" w:space="0" w:color="FFFFFF"/>
            </w:tcBorders>
            <w:shd w:val="clear" w:color="auto" w:fill="EEF3F9"/>
            <w:tcMar>
              <w:top w:w="120" w:type="dxa"/>
              <w:left w:w="160" w:type="dxa"/>
              <w:bottom w:w="120" w:type="dxa"/>
              <w:right w:w="120" w:type="dxa"/>
            </w:tcMar>
          </w:tcPr>
          <w:p w14:paraId="2D8E9484" w14:textId="77777777" w:rsidR="003554B3" w:rsidRDefault="00000000">
            <w:pPr>
              <w:spacing w:after="20" w:line="240" w:lineRule="auto"/>
            </w:pPr>
            <w:r>
              <w:rPr>
                <w:b/>
                <w:bCs/>
                <w:color w:val="1F3864"/>
                <w:sz w:val="32"/>
                <w:szCs w:val="32"/>
              </w:rPr>
              <w:t>2,978</w:t>
            </w:r>
          </w:p>
          <w:p w14:paraId="51E44B0B" w14:textId="77777777" w:rsidR="003554B3" w:rsidRDefault="00000000">
            <w:pPr>
              <w:spacing w:after="0" w:line="240" w:lineRule="auto"/>
            </w:pPr>
            <w:r>
              <w:rPr>
                <w:b/>
                <w:bCs/>
                <w:color w:val="262626"/>
                <w:sz w:val="17"/>
                <w:szCs w:val="17"/>
              </w:rPr>
              <w:t>Sessions, 104 trades</w:t>
            </w:r>
          </w:p>
          <w:p w14:paraId="3E1FBC96" w14:textId="77777777" w:rsidR="003554B3" w:rsidRDefault="00000000">
            <w:pPr>
              <w:spacing w:after="0" w:line="240" w:lineRule="auto"/>
            </w:pPr>
            <w:r>
              <w:rPr>
                <w:color w:val="595959"/>
                <w:sz w:val="16"/>
                <w:szCs w:val="16"/>
              </w:rPr>
              <w:t>13 Jan 2014 – 1 Oct 2026</w:t>
            </w:r>
          </w:p>
        </w:tc>
      </w:tr>
    </w:tbl>
    <w:p w14:paraId="300EF82E" w14:textId="77777777" w:rsidR="003554B3" w:rsidRDefault="00000000">
      <w:pPr>
        <w:pStyle w:val="Heading1"/>
        <w:pageBreakBefore/>
        <w:numPr>
          <w:ilvl w:val="0"/>
          <w:numId w:val="3"/>
        </w:numPr>
      </w:pPr>
      <w:r>
        <w:lastRenderedPageBreak/>
        <w:t>Why this question</w:t>
      </w:r>
    </w:p>
    <w:p w14:paraId="4953BFB2" w14:textId="0CD68651" w:rsidR="003554B3" w:rsidRDefault="00000000">
      <w:r>
        <w:t xml:space="preserve">The market’s implied path against </w:t>
      </w:r>
      <w:r w:rsidR="00AD549A">
        <w:t xml:space="preserve">a path created from </w:t>
      </w:r>
      <w:r>
        <w:t>one of the rules the Fed publishes in its Monetary Policy Report. The reference is the Fed’s own published rule, so there are no free parameters to tune and it’s auditable. The Bank of England publishes no such rule, and for GBP, the same rule was applied to UK inputs.</w:t>
      </w:r>
    </w:p>
    <w:p w14:paraId="2CEDF857" w14:textId="77777777" w:rsidR="003554B3" w:rsidRDefault="00000000">
      <w:r>
        <w:t>There is significant value in testing a rule of this nature. If the market ignored a rule the Fed itself publishes, that would say something about how much the rule guides policy. The answer runs the other way: the gap closes because the Fed moves toward the market.</w:t>
      </w:r>
    </w:p>
    <w:p w14:paraId="405CF1EE" w14:textId="77777777" w:rsidR="003554B3" w:rsidRDefault="00000000">
      <w:pPr>
        <w:pStyle w:val="Heading1"/>
        <w:numPr>
          <w:ilvl w:val="0"/>
          <w:numId w:val="3"/>
        </w:numPr>
      </w:pPr>
      <w:r>
        <w:t>Definitions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00"/>
        <w:gridCol w:w="7260"/>
      </w:tblGrid>
      <w:tr w:rsidR="003554B3" w14:paraId="30896B14" w14:textId="77777777">
        <w:tblPrEx>
          <w:tblCellMar>
            <w:top w:w="0" w:type="dxa"/>
            <w:bottom w:w="0" w:type="dxa"/>
          </w:tblCellMar>
        </w:tblPrEx>
        <w:trPr>
          <w:cantSplit/>
          <w:tblHeader/>
        </w:trPr>
        <w:tc>
          <w:tcPr>
            <w:tcW w:w="210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48BA0683" w14:textId="77777777" w:rsidR="003554B3" w:rsidRDefault="00000000">
            <w:pPr>
              <w:spacing w:after="0" w:line="240" w:lineRule="auto"/>
            </w:pPr>
            <w:r>
              <w:rPr>
                <w:b/>
                <w:bCs/>
                <w:color w:val="FFFFFF"/>
                <w:sz w:val="18"/>
                <w:szCs w:val="18"/>
              </w:rPr>
              <w:t>Term</w:t>
            </w:r>
          </w:p>
        </w:tc>
        <w:tc>
          <w:tcPr>
            <w:tcW w:w="726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23989B45" w14:textId="77777777" w:rsidR="003554B3" w:rsidRDefault="00000000">
            <w:pPr>
              <w:spacing w:after="0" w:line="240" w:lineRule="auto"/>
            </w:pPr>
            <w:r>
              <w:rPr>
                <w:b/>
                <w:bCs/>
                <w:color w:val="FFFFFF"/>
                <w:sz w:val="18"/>
                <w:szCs w:val="18"/>
              </w:rPr>
              <w:t>Definition</w:t>
            </w:r>
          </w:p>
        </w:tc>
      </w:tr>
      <w:tr w:rsidR="003554B3" w14:paraId="6C22E2C3" w14:textId="77777777">
        <w:tblPrEx>
          <w:tblCellMar>
            <w:top w:w="0" w:type="dxa"/>
            <w:bottom w:w="0" w:type="dxa"/>
          </w:tblCellMar>
        </w:tblPrEx>
        <w:trPr>
          <w:cantSplit/>
        </w:trPr>
        <w:tc>
          <w:tcPr>
            <w:tcW w:w="21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22DD9CE8" w14:textId="77777777" w:rsidR="003554B3" w:rsidRDefault="00000000">
            <w:pPr>
              <w:spacing w:after="0" w:line="240" w:lineRule="auto"/>
            </w:pPr>
            <w:r>
              <w:rPr>
                <w:b/>
                <w:bCs/>
                <w:color w:val="1F3864"/>
                <w:sz w:val="18"/>
                <w:szCs w:val="18"/>
              </w:rPr>
              <w:t>USD r*</w:t>
            </w:r>
          </w:p>
        </w:tc>
        <w:tc>
          <w:tcPr>
            <w:tcW w:w="72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2AD9446D" w14:textId="77777777" w:rsidR="003554B3" w:rsidRDefault="00000000">
            <w:pPr>
              <w:spacing w:after="0" w:line="240" w:lineRule="auto"/>
            </w:pPr>
            <w:r>
              <w:rPr>
                <w:sz w:val="18"/>
                <w:szCs w:val="18"/>
              </w:rPr>
              <w:t>SEP (Summary of Economic Projections) longer run median; Taylor’s 2% before the first SEP (226 Sessions)</w:t>
            </w:r>
          </w:p>
        </w:tc>
      </w:tr>
      <w:tr w:rsidR="003554B3" w14:paraId="4C2F3AD5" w14:textId="77777777">
        <w:tblPrEx>
          <w:tblCellMar>
            <w:top w:w="0" w:type="dxa"/>
            <w:bottom w:w="0" w:type="dxa"/>
          </w:tblCellMar>
        </w:tblPrEx>
        <w:trPr>
          <w:cantSplit/>
        </w:trPr>
        <w:tc>
          <w:tcPr>
            <w:tcW w:w="21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11623287" w14:textId="77777777" w:rsidR="003554B3" w:rsidRDefault="00000000">
            <w:pPr>
              <w:spacing w:after="0" w:line="240" w:lineRule="auto"/>
            </w:pPr>
            <w:r>
              <w:rPr>
                <w:b/>
                <w:bCs/>
                <w:color w:val="1F3864"/>
                <w:sz w:val="18"/>
                <w:szCs w:val="18"/>
              </w:rPr>
              <w:t>GBP r*</w:t>
            </w:r>
          </w:p>
        </w:tc>
        <w:tc>
          <w:tcPr>
            <w:tcW w:w="72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7F3916DE" w14:textId="77777777" w:rsidR="003554B3" w:rsidRDefault="00000000">
            <w:pPr>
              <w:spacing w:after="0" w:line="240" w:lineRule="auto"/>
            </w:pPr>
            <w:r>
              <w:rPr>
                <w:sz w:val="18"/>
                <w:szCs w:val="18"/>
              </w:rPr>
              <w:t>Constant −1.6% which is the average real Bank Rate from 2009–2026. A hindsight number. It moves the bp gap and mostly leaves z unchanged, except near the floor</w:t>
            </w:r>
          </w:p>
        </w:tc>
      </w:tr>
      <w:tr w:rsidR="003554B3" w14:paraId="301C542A" w14:textId="77777777">
        <w:tblPrEx>
          <w:tblCellMar>
            <w:top w:w="0" w:type="dxa"/>
            <w:bottom w:w="0" w:type="dxa"/>
          </w:tblCellMar>
        </w:tblPrEx>
        <w:trPr>
          <w:cantSplit/>
        </w:trPr>
        <w:tc>
          <w:tcPr>
            <w:tcW w:w="21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4AF0E4B4" w14:textId="77777777" w:rsidR="003554B3" w:rsidRDefault="00000000">
            <w:pPr>
              <w:spacing w:after="0" w:line="240" w:lineRule="auto"/>
            </w:pPr>
            <w:r>
              <w:rPr>
                <w:b/>
                <w:bCs/>
                <w:color w:val="1F3864"/>
                <w:sz w:val="18"/>
                <w:szCs w:val="18"/>
              </w:rPr>
              <w:t>z</w:t>
            </w:r>
          </w:p>
        </w:tc>
        <w:tc>
          <w:tcPr>
            <w:tcW w:w="72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1682B9BD" w14:textId="77777777" w:rsidR="003554B3" w:rsidRDefault="00000000">
            <w:pPr>
              <w:spacing w:after="0" w:line="240" w:lineRule="auto"/>
            </w:pPr>
            <w:r>
              <w:rPr>
                <w:sz w:val="18"/>
                <w:szCs w:val="18"/>
              </w:rPr>
              <w:t>The gap (market minus rule) at the 4th meeting ahead, standardized against its trailing 2-year window after 1 year of history</w:t>
            </w:r>
          </w:p>
        </w:tc>
      </w:tr>
      <w:tr w:rsidR="003554B3" w14:paraId="04575F03" w14:textId="77777777">
        <w:tblPrEx>
          <w:tblCellMar>
            <w:top w:w="0" w:type="dxa"/>
            <w:bottom w:w="0" w:type="dxa"/>
          </w:tblCellMar>
        </w:tblPrEx>
        <w:trPr>
          <w:cantSplit/>
        </w:trPr>
        <w:tc>
          <w:tcPr>
            <w:tcW w:w="21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49D59431" w14:textId="77777777" w:rsidR="003554B3" w:rsidRDefault="00000000">
            <w:pPr>
              <w:spacing w:after="0" w:line="240" w:lineRule="auto"/>
            </w:pPr>
            <w:r>
              <w:rPr>
                <w:b/>
                <w:bCs/>
                <w:color w:val="1F3864"/>
                <w:sz w:val="18"/>
                <w:szCs w:val="18"/>
              </w:rPr>
              <w:t>IC</w:t>
            </w:r>
          </w:p>
        </w:tc>
        <w:tc>
          <w:tcPr>
            <w:tcW w:w="72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21A2F9D7" w14:textId="77777777" w:rsidR="003554B3" w:rsidRDefault="00000000">
            <w:pPr>
              <w:spacing w:after="0" w:line="240" w:lineRule="auto"/>
            </w:pPr>
            <w:r>
              <w:rPr>
                <w:sz w:val="18"/>
                <w:szCs w:val="18"/>
              </w:rPr>
              <w:t>Rank correlation of z with the rate change over the next h sessions (5, 21, 63) outside the ELB State</w:t>
            </w:r>
          </w:p>
        </w:tc>
      </w:tr>
      <w:tr w:rsidR="003554B3" w14:paraId="00E2F242" w14:textId="77777777">
        <w:tblPrEx>
          <w:tblCellMar>
            <w:top w:w="0" w:type="dxa"/>
            <w:bottom w:w="0" w:type="dxa"/>
          </w:tblCellMar>
        </w:tblPrEx>
        <w:trPr>
          <w:cantSplit/>
        </w:trPr>
        <w:tc>
          <w:tcPr>
            <w:tcW w:w="21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26E4A885" w14:textId="77777777" w:rsidR="003554B3" w:rsidRDefault="00000000">
            <w:pPr>
              <w:spacing w:after="0" w:line="240" w:lineRule="auto"/>
            </w:pPr>
            <w:r>
              <w:rPr>
                <w:b/>
                <w:bCs/>
                <w:color w:val="1F3864"/>
                <w:sz w:val="18"/>
                <w:szCs w:val="18"/>
              </w:rPr>
              <w:t>ELB State</w:t>
            </w:r>
          </w:p>
        </w:tc>
        <w:tc>
          <w:tcPr>
            <w:tcW w:w="72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2D21B329" w14:textId="77777777" w:rsidR="003554B3" w:rsidRDefault="00000000">
            <w:pPr>
              <w:spacing w:after="0" w:line="240" w:lineRule="auto"/>
            </w:pPr>
            <w:r>
              <w:rPr>
                <w:sz w:val="18"/>
                <w:szCs w:val="18"/>
              </w:rPr>
              <w:t>Policy rate and rule both at the floor, book is flat there</w:t>
            </w:r>
          </w:p>
        </w:tc>
      </w:tr>
      <w:tr w:rsidR="003554B3" w14:paraId="6789CF0D" w14:textId="77777777">
        <w:tblPrEx>
          <w:tblCellMar>
            <w:top w:w="0" w:type="dxa"/>
            <w:bottom w:w="0" w:type="dxa"/>
          </w:tblCellMar>
        </w:tblPrEx>
        <w:trPr>
          <w:cantSplit/>
        </w:trPr>
        <w:tc>
          <w:tcPr>
            <w:tcW w:w="21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1D747099" w14:textId="77777777" w:rsidR="003554B3" w:rsidRDefault="00000000">
            <w:pPr>
              <w:spacing w:after="0" w:line="240" w:lineRule="auto"/>
            </w:pPr>
            <w:r>
              <w:rPr>
                <w:b/>
                <w:bCs/>
                <w:color w:val="1F3864"/>
                <w:sz w:val="18"/>
                <w:szCs w:val="18"/>
              </w:rPr>
              <w:t>Hysteresis Rule</w:t>
            </w:r>
          </w:p>
        </w:tc>
        <w:tc>
          <w:tcPr>
            <w:tcW w:w="72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17104DEA" w14:textId="77777777" w:rsidR="003554B3" w:rsidRDefault="00000000">
            <w:pPr>
              <w:spacing w:after="0" w:line="240" w:lineRule="auto"/>
            </w:pPr>
            <w:r>
              <w:rPr>
                <w:sz w:val="18"/>
                <w:szCs w:val="18"/>
              </w:rPr>
              <w:t>Enter at |z| ≥ 1, exit at 0; fixed before results</w:t>
            </w:r>
          </w:p>
        </w:tc>
      </w:tr>
      <w:tr w:rsidR="003554B3" w14:paraId="3A83B682" w14:textId="77777777">
        <w:tblPrEx>
          <w:tblCellMar>
            <w:top w:w="0" w:type="dxa"/>
            <w:bottom w:w="0" w:type="dxa"/>
          </w:tblCellMar>
        </w:tblPrEx>
        <w:trPr>
          <w:cantSplit/>
        </w:trPr>
        <w:tc>
          <w:tcPr>
            <w:tcW w:w="21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2CD92165" w14:textId="77777777" w:rsidR="003554B3" w:rsidRDefault="00000000">
            <w:pPr>
              <w:spacing w:after="0" w:line="240" w:lineRule="auto"/>
            </w:pPr>
            <w:r>
              <w:rPr>
                <w:b/>
                <w:bCs/>
                <w:color w:val="1F3864"/>
                <w:sz w:val="18"/>
                <w:szCs w:val="18"/>
              </w:rPr>
              <w:t>Book Construction</w:t>
            </w:r>
          </w:p>
        </w:tc>
        <w:tc>
          <w:tcPr>
            <w:tcW w:w="72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20E2DEA2" w14:textId="77777777" w:rsidR="003554B3" w:rsidRDefault="00000000">
            <w:pPr>
              <w:spacing w:after="0" w:line="240" w:lineRule="auto"/>
            </w:pPr>
            <w:r>
              <w:rPr>
                <w:sz w:val="18"/>
                <w:szCs w:val="18"/>
              </w:rPr>
              <w:t>Inverse-vol weights, shrunk covariance, 5% vol target on the whole book, no drawdown control</w:t>
            </w:r>
          </w:p>
        </w:tc>
      </w:tr>
      <w:tr w:rsidR="003554B3" w14:paraId="3579B943" w14:textId="77777777">
        <w:tblPrEx>
          <w:tblCellMar>
            <w:top w:w="0" w:type="dxa"/>
            <w:bottom w:w="0" w:type="dxa"/>
          </w:tblCellMar>
        </w:tblPrEx>
        <w:trPr>
          <w:cantSplit/>
        </w:trPr>
        <w:tc>
          <w:tcPr>
            <w:tcW w:w="21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69FD61E8" w14:textId="77777777" w:rsidR="003554B3" w:rsidRDefault="00000000">
            <w:pPr>
              <w:spacing w:after="0" w:line="240" w:lineRule="auto"/>
            </w:pPr>
            <w:r>
              <w:rPr>
                <w:b/>
                <w:bCs/>
                <w:color w:val="1F3864"/>
                <w:sz w:val="18"/>
                <w:szCs w:val="18"/>
              </w:rPr>
              <w:t>LFS</w:t>
            </w:r>
          </w:p>
        </w:tc>
        <w:tc>
          <w:tcPr>
            <w:tcW w:w="72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38A1E277" w14:textId="77777777" w:rsidR="003554B3" w:rsidRDefault="00000000">
            <w:pPr>
              <w:spacing w:after="0" w:line="240" w:lineRule="auto"/>
            </w:pPr>
            <w:proofErr w:type="spellStart"/>
            <w:r>
              <w:rPr>
                <w:sz w:val="18"/>
                <w:szCs w:val="18"/>
              </w:rPr>
              <w:t>Labour</w:t>
            </w:r>
            <w:proofErr w:type="spellEnd"/>
            <w:r>
              <w:rPr>
                <w:sz w:val="18"/>
                <w:szCs w:val="18"/>
              </w:rPr>
              <w:t xml:space="preserve"> Force Survey</w:t>
            </w:r>
          </w:p>
        </w:tc>
      </w:tr>
      <w:tr w:rsidR="003554B3" w14:paraId="60941E2B" w14:textId="77777777">
        <w:tblPrEx>
          <w:tblCellMar>
            <w:top w:w="0" w:type="dxa"/>
            <w:bottom w:w="0" w:type="dxa"/>
          </w:tblCellMar>
        </w:tblPrEx>
        <w:trPr>
          <w:cantSplit/>
        </w:trPr>
        <w:tc>
          <w:tcPr>
            <w:tcW w:w="21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19C50480" w14:textId="77777777" w:rsidR="003554B3" w:rsidRDefault="00000000">
            <w:pPr>
              <w:spacing w:after="0" w:line="240" w:lineRule="auto"/>
            </w:pPr>
            <w:r>
              <w:rPr>
                <w:b/>
                <w:bCs/>
                <w:color w:val="1F3864"/>
                <w:sz w:val="18"/>
                <w:szCs w:val="18"/>
              </w:rPr>
              <w:t>DV01</w:t>
            </w:r>
          </w:p>
        </w:tc>
        <w:tc>
          <w:tcPr>
            <w:tcW w:w="72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364A6F14" w14:textId="77777777" w:rsidR="003554B3" w:rsidRDefault="00000000">
            <w:pPr>
              <w:spacing w:after="0" w:line="240" w:lineRule="auto"/>
            </w:pPr>
            <w:r>
              <w:rPr>
                <w:sz w:val="18"/>
                <w:szCs w:val="18"/>
              </w:rPr>
              <w:t>Dollar Value of a 1 basis point move</w:t>
            </w:r>
          </w:p>
        </w:tc>
      </w:tr>
      <w:tr w:rsidR="003554B3" w14:paraId="3455EA6A" w14:textId="77777777">
        <w:tblPrEx>
          <w:tblCellMar>
            <w:top w:w="0" w:type="dxa"/>
            <w:bottom w:w="0" w:type="dxa"/>
          </w:tblCellMar>
        </w:tblPrEx>
        <w:trPr>
          <w:cantSplit/>
        </w:trPr>
        <w:tc>
          <w:tcPr>
            <w:tcW w:w="210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2D563189" w14:textId="77777777" w:rsidR="003554B3" w:rsidRDefault="00000000">
            <w:pPr>
              <w:spacing w:after="0" w:line="240" w:lineRule="auto"/>
            </w:pPr>
            <w:r>
              <w:rPr>
                <w:b/>
                <w:bCs/>
                <w:color w:val="1F3864"/>
                <w:sz w:val="18"/>
                <w:szCs w:val="18"/>
              </w:rPr>
              <w:t>Sleeve</w:t>
            </w:r>
          </w:p>
        </w:tc>
        <w:tc>
          <w:tcPr>
            <w:tcW w:w="726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5EB72D68" w14:textId="77777777" w:rsidR="003554B3" w:rsidRDefault="00000000">
            <w:pPr>
              <w:spacing w:after="0" w:line="240" w:lineRule="auto"/>
            </w:pPr>
            <w:r>
              <w:rPr>
                <w:sz w:val="18"/>
                <w:szCs w:val="18"/>
              </w:rPr>
              <w:t>One traded expression of the signal, e.g. USD outright</w:t>
            </w:r>
          </w:p>
        </w:tc>
      </w:tr>
    </w:tbl>
    <w:p w14:paraId="5F0EB31B" w14:textId="77777777" w:rsidR="003554B3" w:rsidRDefault="003554B3">
      <w:pPr>
        <w:spacing w:after="0"/>
      </w:pPr>
    </w:p>
    <w:p w14:paraId="51FA0167" w14:textId="77777777" w:rsidR="003554B3" w:rsidRDefault="00000000">
      <w:pPr>
        <w:pStyle w:val="Heading1"/>
        <w:numPr>
          <w:ilvl w:val="0"/>
          <w:numId w:val="3"/>
        </w:numPr>
      </w:pPr>
      <w:r>
        <w:t>Construction</w:t>
      </w:r>
    </w:p>
    <w:p w14:paraId="7F14AA26" w14:textId="77777777" w:rsidR="003554B3" w:rsidRDefault="00000000">
      <w:pPr>
        <w:pStyle w:val="Heading2"/>
        <w:numPr>
          <w:ilvl w:val="1"/>
          <w:numId w:val="3"/>
        </w:numPr>
      </w:pPr>
      <w:r>
        <w:t>USD: the path from Fed Funds Futures</w:t>
      </w:r>
    </w:p>
    <w:p w14:paraId="56D07CEC" w14:textId="3FAE6871" w:rsidR="003554B3" w:rsidRDefault="00000000">
      <w:r>
        <w:t>Each ZQ contract (CME 30-Day Fed Funds Futures) settles to the arithmetic average of every calendar day of its delivery month. Due to this, each contract month is one linear equation in the regime rates, each weighted by its share of the month’s days. These contracts are priced across months and regimes using joint least squares (Figure 1). A regime spans several contract months, and each month mixes several regimes. They must be solved together to ensure consistency. However, an issue arises in how information is captured by these contracts. Mid-month, part of the contract is already history. To reflect this, days whose EFFR (Effective Fed Funds Rate) is published enter this as known numbers. This process of substituting in known days creates an additional challenge. When the next meeting is days away, the rate from today until then lives in a few days of the front contract, and price noise in that contract is multiplied by days-in-month over days-left. To address this, contracts below a threshold are pinned to the last fixing</w:t>
      </w:r>
      <w:r w:rsidR="00B249BB">
        <w:t xml:space="preserve"> when it is shorter than 10 </w:t>
      </w:r>
      <w:r w:rsidR="00B249BB">
        <w:lastRenderedPageBreak/>
        <w:t>days</w:t>
      </w:r>
      <w:r>
        <w:t>. Measured against the actual decision on 46 announcement days since 2021, the error in the implied steps fell sharply, from 5.8 bp to 0.5 bp on average, and from 34 bp to 1.6 bp at worst.</w:t>
      </w:r>
    </w:p>
    <w:p w14:paraId="17555329" w14:textId="77777777" w:rsidR="003554B3" w:rsidRDefault="00000000">
      <w:pPr>
        <w:keepNext/>
        <w:spacing w:before="120" w:after="60" w:line="240" w:lineRule="auto"/>
        <w:jc w:val="center"/>
      </w:pPr>
      <w:r>
        <w:rPr>
          <w:noProof/>
        </w:rPr>
        <w:drawing>
          <wp:inline distT="0" distB="0" distL="0" distR="0" wp14:anchorId="47A02903" wp14:editId="665237C5">
            <wp:extent cx="5029200" cy="3600450"/>
            <wp:effectExtent l="0" t="0" r="0" b="0"/>
            <wp:docPr id="1" name="Figure 1" descr="The fed funds path implied by ZQ futures, and the move priced at each meeting."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29200" cy="3600450"/>
                    </a:xfrm>
                    <a:prstGeom prst="rect">
                      <a:avLst/>
                    </a:prstGeom>
                  </pic:spPr>
                </pic:pic>
              </a:graphicData>
            </a:graphic>
          </wp:inline>
        </w:drawing>
      </w:r>
    </w:p>
    <w:p w14:paraId="3F64152D" w14:textId="77777777" w:rsidR="003554B3" w:rsidRDefault="00000000">
      <w:pPr>
        <w:pStyle w:val="FigureCaption"/>
        <w:jc w:val="center"/>
      </w:pPr>
      <w:r>
        <w:rPr>
          <w:b/>
          <w:bCs/>
          <w:color w:val="1F3864"/>
        </w:rPr>
        <w:t xml:space="preserve">Figure </w:t>
      </w:r>
      <w:r>
        <w:rPr>
          <w:b/>
          <w:bCs/>
          <w:color w:val="1F3864"/>
        </w:rPr>
        <w:fldChar w:fldCharType="begin"/>
      </w:r>
      <w:r>
        <w:rPr>
          <w:b/>
          <w:bCs/>
          <w:color w:val="1F3864"/>
        </w:rPr>
        <w:instrText xml:space="preserve"> SEQ Figure \* ARABIC </w:instrText>
      </w:r>
      <w:r>
        <w:rPr>
          <w:b/>
          <w:bCs/>
          <w:color w:val="1F3864"/>
        </w:rPr>
        <w:fldChar w:fldCharType="separate"/>
      </w:r>
      <w:r>
        <w:rPr>
          <w:b/>
          <w:bCs/>
          <w:color w:val="1F3864"/>
        </w:rPr>
        <w:t>1</w:t>
      </w:r>
      <w:r>
        <w:rPr>
          <w:b/>
          <w:bCs/>
          <w:color w:val="1F3864"/>
        </w:rPr>
        <w:fldChar w:fldCharType="end"/>
      </w:r>
      <w:r>
        <w:rPr>
          <w:b/>
          <w:bCs/>
          <w:color w:val="1F3864"/>
        </w:rPr>
        <w:t xml:space="preserve">. </w:t>
      </w:r>
      <w:r>
        <w:t>The fed funds path implied by ZQ futures, and the move priced at each meeting.</w:t>
      </w:r>
    </w:p>
    <w:p w14:paraId="7D8D2B8C" w14:textId="77777777" w:rsidR="003554B3" w:rsidRDefault="00000000">
      <w:r>
        <w:t xml:space="preserve">To check the result, I compare it with SR1 (CME One-Month SOFR Futures). For each session I average the ZQ-implied EFFR path over each SR1 contract month and solve for the constant spread that reprices the SR1 settle: the SOFR – EFFR basis the two markets imply together. I then compare it with the basis later realized (Figure 2). Over 2,116 sessions it misses by +0.52 bp on average, 1.86 bp in absolute terms, and is within 3 bp on 80% of them. Two independent markets agree to </w:t>
      </w:r>
      <w:proofErr w:type="gramStart"/>
      <w:r>
        <w:t>within about</w:t>
      </w:r>
      <w:proofErr w:type="gramEnd"/>
      <w:r>
        <w:t xml:space="preserve"> 2 bp, so the ZQ path is not an artefact of the solver.</w:t>
      </w:r>
    </w:p>
    <w:p w14:paraId="2BCC8FA6" w14:textId="77777777" w:rsidR="003554B3" w:rsidRDefault="00000000">
      <w:pPr>
        <w:keepNext/>
        <w:spacing w:before="120" w:after="60" w:line="240" w:lineRule="auto"/>
        <w:jc w:val="center"/>
      </w:pPr>
      <w:r>
        <w:rPr>
          <w:noProof/>
        </w:rPr>
        <w:drawing>
          <wp:inline distT="0" distB="0" distL="0" distR="0" wp14:anchorId="7B327F0B" wp14:editId="5B40BA36">
            <wp:extent cx="5762625" cy="2600325"/>
            <wp:effectExtent l="0" t="0" r="0" b="0"/>
            <wp:docPr id="972812313" name="Figure 2" descr="The SOFR − EFFR basis implied jointly by SR1 and the ZQ path"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2600325"/>
                    </a:xfrm>
                    <a:prstGeom prst="rect">
                      <a:avLst/>
                    </a:prstGeom>
                  </pic:spPr>
                </pic:pic>
              </a:graphicData>
            </a:graphic>
          </wp:inline>
        </w:drawing>
      </w:r>
    </w:p>
    <w:p w14:paraId="61AF9B75" w14:textId="77777777" w:rsidR="003554B3" w:rsidRDefault="00000000">
      <w:pPr>
        <w:pStyle w:val="FigureCaption"/>
        <w:jc w:val="center"/>
      </w:pPr>
      <w:r>
        <w:rPr>
          <w:b/>
          <w:bCs/>
          <w:color w:val="1F3864"/>
        </w:rPr>
        <w:t xml:space="preserve">Figure </w:t>
      </w:r>
      <w:r>
        <w:rPr>
          <w:b/>
          <w:bCs/>
          <w:color w:val="1F3864"/>
        </w:rPr>
        <w:fldChar w:fldCharType="begin"/>
      </w:r>
      <w:r>
        <w:rPr>
          <w:b/>
          <w:bCs/>
          <w:color w:val="1F3864"/>
        </w:rPr>
        <w:instrText xml:space="preserve"> SEQ Figure \* ARABIC </w:instrText>
      </w:r>
      <w:r>
        <w:rPr>
          <w:b/>
          <w:bCs/>
          <w:color w:val="1F3864"/>
        </w:rPr>
        <w:fldChar w:fldCharType="separate"/>
      </w:r>
      <w:r>
        <w:rPr>
          <w:b/>
          <w:bCs/>
          <w:color w:val="1F3864"/>
        </w:rPr>
        <w:t>2</w:t>
      </w:r>
      <w:r>
        <w:rPr>
          <w:b/>
          <w:bCs/>
          <w:color w:val="1F3864"/>
        </w:rPr>
        <w:fldChar w:fldCharType="end"/>
      </w:r>
      <w:r>
        <w:rPr>
          <w:b/>
          <w:bCs/>
          <w:color w:val="1F3864"/>
        </w:rPr>
        <w:t xml:space="preserve">. </w:t>
      </w:r>
      <w:r>
        <w:t>The SOFR − EFFR basis implied jointly by SR1 and the ZQ path.</w:t>
      </w:r>
    </w:p>
    <w:p w14:paraId="28EBD4A3" w14:textId="77777777" w:rsidR="003554B3" w:rsidRDefault="00000000">
      <w:pPr>
        <w:pStyle w:val="Heading2"/>
        <w:numPr>
          <w:ilvl w:val="1"/>
          <w:numId w:val="3"/>
        </w:numPr>
      </w:pPr>
      <w:r>
        <w:lastRenderedPageBreak/>
        <w:t>GBP: the path from the Bank of England’s OIS curve</w:t>
      </w:r>
    </w:p>
    <w:p w14:paraId="7A4931BA" w14:textId="77777777" w:rsidR="003554B3" w:rsidRDefault="00000000">
      <w:r>
        <w:t xml:space="preserve">There is no ZQ outside the US. For GBP, the Bank of England publishes a fitted OIS (Overnight Index Swap) spot curve. I </w:t>
      </w:r>
      <w:proofErr w:type="gramStart"/>
      <w:r>
        <w:t>interpolate</w:t>
      </w:r>
      <w:proofErr w:type="gramEnd"/>
      <w:r>
        <w:t xml:space="preserve"> its log discount factors, and the expected rate between two meetings is the forward over that window (Figure 3).</w:t>
      </w:r>
    </w:p>
    <w:p w14:paraId="65059578" w14:textId="77777777" w:rsidR="003554B3" w:rsidRDefault="00000000">
      <w:pPr>
        <w:keepNext/>
        <w:spacing w:before="120" w:after="60" w:line="240" w:lineRule="auto"/>
        <w:jc w:val="center"/>
      </w:pPr>
      <w:r>
        <w:rPr>
          <w:noProof/>
        </w:rPr>
        <w:drawing>
          <wp:inline distT="0" distB="0" distL="0" distR="0" wp14:anchorId="5D349523" wp14:editId="454A52A8">
            <wp:extent cx="5029200" cy="3629025"/>
            <wp:effectExtent l="0" t="0" r="0" b="0"/>
            <wp:docPr id="895656980" name="Figure 3" descr="The Bank Rate path implied by the Bank of England’s OIS curve, and the move priced at each meeting."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29200" cy="3629025"/>
                    </a:xfrm>
                    <a:prstGeom prst="rect">
                      <a:avLst/>
                    </a:prstGeom>
                  </pic:spPr>
                </pic:pic>
              </a:graphicData>
            </a:graphic>
          </wp:inline>
        </w:drawing>
      </w:r>
    </w:p>
    <w:p w14:paraId="224401D3" w14:textId="77777777" w:rsidR="003554B3" w:rsidRDefault="00000000">
      <w:pPr>
        <w:pStyle w:val="FigureCaption"/>
        <w:jc w:val="center"/>
      </w:pPr>
      <w:r>
        <w:rPr>
          <w:b/>
          <w:bCs/>
          <w:color w:val="1F3864"/>
        </w:rPr>
        <w:t xml:space="preserve">Figure </w:t>
      </w:r>
      <w:r>
        <w:rPr>
          <w:b/>
          <w:bCs/>
          <w:color w:val="1F3864"/>
        </w:rPr>
        <w:fldChar w:fldCharType="begin"/>
      </w:r>
      <w:r>
        <w:rPr>
          <w:b/>
          <w:bCs/>
          <w:color w:val="1F3864"/>
        </w:rPr>
        <w:instrText xml:space="preserve"> SEQ Figure \* ARABIC </w:instrText>
      </w:r>
      <w:r>
        <w:rPr>
          <w:b/>
          <w:bCs/>
          <w:color w:val="1F3864"/>
        </w:rPr>
        <w:fldChar w:fldCharType="separate"/>
      </w:r>
      <w:r>
        <w:rPr>
          <w:b/>
          <w:bCs/>
          <w:color w:val="1F3864"/>
        </w:rPr>
        <w:t>3</w:t>
      </w:r>
      <w:r>
        <w:rPr>
          <w:b/>
          <w:bCs/>
          <w:color w:val="1F3864"/>
        </w:rPr>
        <w:fldChar w:fldCharType="end"/>
      </w:r>
      <w:r>
        <w:rPr>
          <w:b/>
          <w:bCs/>
          <w:color w:val="1F3864"/>
        </w:rPr>
        <w:t xml:space="preserve">. </w:t>
      </w:r>
      <w:r>
        <w:t>The Bank Rate path implied by the Bank of England’s OIS curve, and the move priced at each meeting.</w:t>
      </w:r>
    </w:p>
    <w:p w14:paraId="2606BE57" w14:textId="77777777" w:rsidR="003554B3" w:rsidRDefault="00000000">
      <w:r>
        <w:t>This is validated against the MPR (Monetary Policy Report) conditioning path. My GBP path is a step function that moves on each meeting’s effective date. The Bank of England averages its smooth instantaneous forward curve, which prices prior to the meeting. In a quarter where there is a hike priced, the Bank’s average ends higher and with a cut, lower. The differences correlate −0.59 with the move priced inside the quarter. Across 29 reports covering 87 quarters, there is a mean absolute difference of 1.00 bp, mean signed difference of −0.46 bp, and worst 7.2 bp. This leaves a known definitional difference, not an error.</w:t>
      </w:r>
    </w:p>
    <w:p w14:paraId="6BC0DC68" w14:textId="77777777" w:rsidR="003554B3" w:rsidRDefault="00000000">
      <w:pPr>
        <w:pStyle w:val="Heading1"/>
        <w:numPr>
          <w:ilvl w:val="0"/>
          <w:numId w:val="3"/>
        </w:numPr>
      </w:pPr>
      <w:r>
        <w:t>The rule and r*</w:t>
      </w:r>
    </w:p>
    <w:p w14:paraId="60D46296" w14:textId="77777777" w:rsidR="003554B3" w:rsidRDefault="00000000">
      <w:pPr>
        <w:keepNext/>
      </w:pPr>
      <w:r>
        <w:t>One of the rules that the Fed publishes in its Monetary Policy Report is the balanced approach rule. It is a variant of the Taylor Rule. It carries a 2 on the unemployment gap which is double the Taylor Rule and is symmetric.</w:t>
      </w:r>
    </w:p>
    <w:p w14:paraId="4ED70868" w14:textId="77777777" w:rsidR="003554B3" w:rsidRDefault="00000000">
      <w:pPr>
        <w:keepNext/>
        <w:tabs>
          <w:tab w:val="center" w:pos="4680"/>
          <w:tab w:val="right" w:pos="9360"/>
        </w:tabs>
        <w:spacing w:before="80" w:after="80"/>
      </w:pPr>
      <w:r>
        <w:tab/>
      </w:r>
      <m:oMath>
        <m:sSup>
          <m:sSupPr>
            <m:ctrlPr>
              <w:rPr>
                <w:rFonts w:ascii="Cambria Math" w:hAnsi="Cambria Math"/>
                <w:sz w:val="23"/>
              </w:rPr>
            </m:ctrlPr>
          </m:sSupPr>
          <m:e>
            <m:r>
              <w:rPr>
                <w:rFonts w:ascii="Cambria Math" w:hAnsi="Cambria Math"/>
                <w:sz w:val="23"/>
              </w:rPr>
              <m:t>R</m:t>
            </m:r>
          </m:e>
          <m:sup>
            <m:r>
              <w:rPr>
                <w:rFonts w:ascii="Cambria Math" w:hAnsi="Cambria Math"/>
                <w:sz w:val="23"/>
              </w:rPr>
              <m:t>*</m:t>
            </m:r>
          </m:sup>
        </m:sSup>
        <m:r>
          <w:rPr>
            <w:rFonts w:ascii="Cambria Math" w:hAnsi="Cambria Math"/>
            <w:sz w:val="23"/>
          </w:rPr>
          <m:t>=</m:t>
        </m:r>
        <m:sSup>
          <m:sSupPr>
            <m:ctrlPr>
              <w:rPr>
                <w:rFonts w:ascii="Cambria Math" w:hAnsi="Cambria Math"/>
                <w:sz w:val="23"/>
              </w:rPr>
            </m:ctrlPr>
          </m:sSupPr>
          <m:e>
            <m:r>
              <w:rPr>
                <w:rFonts w:ascii="Cambria Math" w:hAnsi="Cambria Math"/>
                <w:sz w:val="23"/>
              </w:rPr>
              <m:t>r</m:t>
            </m:r>
          </m:e>
          <m:sup>
            <m:r>
              <w:rPr>
                <w:rFonts w:ascii="Cambria Math" w:hAnsi="Cambria Math"/>
                <w:sz w:val="23"/>
              </w:rPr>
              <m:t>*</m:t>
            </m:r>
          </m:sup>
        </m:sSup>
        <m:r>
          <w:rPr>
            <w:rFonts w:ascii="Cambria Math" w:hAnsi="Cambria Math"/>
            <w:sz w:val="23"/>
          </w:rPr>
          <m:t>+π+0.5</m:t>
        </m:r>
        <m:d>
          <m:dPr>
            <m:ctrlPr>
              <w:rPr>
                <w:rFonts w:ascii="Cambria Math" w:hAnsi="Cambria Math"/>
                <w:sz w:val="23"/>
              </w:rPr>
            </m:ctrlPr>
          </m:dPr>
          <m:e>
            <m:r>
              <w:rPr>
                <w:rFonts w:ascii="Cambria Math" w:hAnsi="Cambria Math"/>
                <w:sz w:val="23"/>
              </w:rPr>
              <m:t>π-2</m:t>
            </m:r>
          </m:e>
        </m:d>
        <m:r>
          <w:rPr>
            <w:rFonts w:ascii="Cambria Math" w:hAnsi="Cambria Math"/>
            <w:sz w:val="23"/>
          </w:rPr>
          <m:t>+2</m:t>
        </m:r>
        <m:d>
          <m:dPr>
            <m:ctrlPr>
              <w:rPr>
                <w:rFonts w:ascii="Cambria Math" w:hAnsi="Cambria Math"/>
                <w:sz w:val="23"/>
              </w:rPr>
            </m:ctrlPr>
          </m:dPr>
          <m:e>
            <m:sSup>
              <m:sSupPr>
                <m:ctrlPr>
                  <w:rPr>
                    <w:rFonts w:ascii="Cambria Math" w:hAnsi="Cambria Math"/>
                    <w:sz w:val="23"/>
                  </w:rPr>
                </m:ctrlPr>
              </m:sSupPr>
              <m:e>
                <m:r>
                  <w:rPr>
                    <w:rFonts w:ascii="Cambria Math" w:hAnsi="Cambria Math"/>
                    <w:sz w:val="23"/>
                  </w:rPr>
                  <m:t>u</m:t>
                </m:r>
              </m:e>
              <m:sup>
                <m:r>
                  <w:rPr>
                    <w:rFonts w:ascii="Cambria Math" w:hAnsi="Cambria Math"/>
                    <w:sz w:val="23"/>
                  </w:rPr>
                  <m:t>*</m:t>
                </m:r>
              </m:sup>
            </m:sSup>
            <m:r>
              <w:rPr>
                <w:rFonts w:ascii="Cambria Math" w:hAnsi="Cambria Math"/>
                <w:sz w:val="23"/>
              </w:rPr>
              <m:t>-u</m:t>
            </m:r>
          </m:e>
        </m:d>
      </m:oMath>
      <w:r>
        <w:tab/>
        <w:t>(1)</w:t>
      </w:r>
    </w:p>
    <w:p w14:paraId="2A6A578C" w14:textId="77777777" w:rsidR="003554B3" w:rsidRDefault="00000000">
      <w:pPr>
        <w:keepNext/>
        <w:tabs>
          <w:tab w:val="center" w:pos="4680"/>
          <w:tab w:val="right" w:pos="9360"/>
        </w:tabs>
        <w:spacing w:before="80" w:after="80"/>
      </w:pPr>
      <w:r>
        <w:tab/>
      </w:r>
      <m:oMath>
        <m:sSub>
          <m:sSubPr>
            <m:ctrlPr>
              <w:rPr>
                <w:rFonts w:ascii="Cambria Math" w:hAnsi="Cambria Math"/>
                <w:sz w:val="23"/>
              </w:rPr>
            </m:ctrlPr>
          </m:sSubPr>
          <m:e>
            <m:r>
              <w:rPr>
                <w:rFonts w:ascii="Cambria Math" w:hAnsi="Cambria Math"/>
                <w:sz w:val="23"/>
              </w:rPr>
              <m:t>R</m:t>
            </m:r>
          </m:e>
          <m:sub>
            <m:r>
              <w:rPr>
                <w:rFonts w:ascii="Cambria Math" w:hAnsi="Cambria Math"/>
                <w:sz w:val="23"/>
              </w:rPr>
              <m:t>k</m:t>
            </m:r>
          </m:sub>
        </m:sSub>
        <m:r>
          <w:rPr>
            <w:rFonts w:ascii="Cambria Math" w:hAnsi="Cambria Math"/>
            <w:sz w:val="23"/>
          </w:rPr>
          <m:t>=0.922⋅</m:t>
        </m:r>
        <m:sSub>
          <m:sSubPr>
            <m:ctrlPr>
              <w:rPr>
                <w:rFonts w:ascii="Cambria Math" w:hAnsi="Cambria Math"/>
                <w:sz w:val="23"/>
              </w:rPr>
            </m:ctrlPr>
          </m:sSubPr>
          <m:e>
            <m:r>
              <w:rPr>
                <w:rFonts w:ascii="Cambria Math" w:hAnsi="Cambria Math"/>
                <w:sz w:val="23"/>
              </w:rPr>
              <m:t>R</m:t>
            </m:r>
          </m:e>
          <m:sub>
            <m:r>
              <w:rPr>
                <w:rFonts w:ascii="Cambria Math" w:hAnsi="Cambria Math"/>
                <w:sz w:val="23"/>
              </w:rPr>
              <m:t>k-1</m:t>
            </m:r>
          </m:sub>
        </m:sSub>
        <m:r>
          <w:rPr>
            <w:rFonts w:ascii="Cambria Math" w:hAnsi="Cambria Math"/>
            <w:sz w:val="23"/>
          </w:rPr>
          <m:t>+0.078⋅</m:t>
        </m:r>
        <m:func>
          <m:funcPr>
            <m:ctrlPr>
              <w:rPr>
                <w:rFonts w:ascii="Cambria Math" w:hAnsi="Cambria Math"/>
                <w:sz w:val="23"/>
              </w:rPr>
            </m:ctrlPr>
          </m:funcPr>
          <m:fName>
            <m:r>
              <m:rPr>
                <m:sty m:val="p"/>
              </m:rPr>
              <w:rPr>
                <w:rFonts w:ascii="Cambria Math" w:hAnsi="Cambria Math"/>
                <w:sz w:val="23"/>
              </w:rPr>
              <m:t>max</m:t>
            </m:r>
          </m:fName>
          <m:e>
            <m:d>
              <m:dPr>
                <m:ctrlPr>
                  <w:rPr>
                    <w:rFonts w:ascii="Cambria Math" w:hAnsi="Cambria Math"/>
                    <w:sz w:val="23"/>
                  </w:rPr>
                </m:ctrlPr>
              </m:dPr>
              <m:e>
                <m:r>
                  <m:rPr>
                    <m:sty m:val="p"/>
                  </m:rPr>
                  <w:rPr>
                    <w:rFonts w:ascii="Cambria Math" w:hAnsi="Cambria Math"/>
                    <w:sz w:val="23"/>
                  </w:rPr>
                  <m:t>ELB</m:t>
                </m:r>
                <m:r>
                  <w:rPr>
                    <w:rFonts w:ascii="Cambria Math" w:hAnsi="Cambria Math"/>
                    <w:sz w:val="23"/>
                  </w:rPr>
                  <m:t>,</m:t>
                </m:r>
                <m:sSup>
                  <m:sSupPr>
                    <m:ctrlPr>
                      <w:rPr>
                        <w:rFonts w:ascii="Cambria Math" w:hAnsi="Cambria Math"/>
                        <w:sz w:val="23"/>
                      </w:rPr>
                    </m:ctrlPr>
                  </m:sSupPr>
                  <m:e>
                    <m:r>
                      <w:rPr>
                        <w:rFonts w:ascii="Cambria Math" w:hAnsi="Cambria Math"/>
                        <w:sz w:val="23"/>
                      </w:rPr>
                      <m:t>R</m:t>
                    </m:r>
                  </m:e>
                  <m:sup>
                    <m:r>
                      <w:rPr>
                        <w:rFonts w:ascii="Cambria Math" w:hAnsi="Cambria Math"/>
                        <w:sz w:val="23"/>
                      </w:rPr>
                      <m:t>*</m:t>
                    </m:r>
                  </m:sup>
                </m:sSup>
              </m:e>
            </m:d>
          </m:e>
        </m:func>
      </m:oMath>
      <w:r>
        <w:tab/>
        <w:t>(2)</w:t>
      </w:r>
    </w:p>
    <w:p w14:paraId="4CAD6090" w14:textId="77777777" w:rsidR="003554B3" w:rsidRDefault="00000000">
      <w:r>
        <w:t xml:space="preserve">with </w:t>
      </w:r>
      <w:r>
        <w:rPr>
          <w:i/>
          <w:iCs/>
        </w:rPr>
        <w:t>R</w:t>
      </w:r>
      <w:r>
        <w:rPr>
          <w:vertAlign w:val="subscript"/>
        </w:rPr>
        <w:t>0</w:t>
      </w:r>
      <w:r>
        <w:t xml:space="preserve"> the rate in force.</w:t>
      </w:r>
    </w:p>
    <w:p w14:paraId="325E51D3" w14:textId="77777777" w:rsidR="003554B3" w:rsidRDefault="00000000">
      <w:r>
        <w:t>The MPR’s inertial rule uses 0.85 per quarter, which is the weight on the last period’s rate: 0.922 per meeting (sqrt (0.85)). I held today’s inputs as flat across the path and asked: where does the rule take policy?</w:t>
      </w:r>
    </w:p>
    <w:p w14:paraId="6775D980" w14:textId="77777777" w:rsidR="003554B3" w:rsidRDefault="00000000">
      <w:pPr>
        <w:pStyle w:val="Heading2"/>
        <w:numPr>
          <w:ilvl w:val="1"/>
          <w:numId w:val="3"/>
        </w:numPr>
      </w:pPr>
      <w:r>
        <w:lastRenderedPageBreak/>
        <w:t>Real-time inputs</w:t>
      </w:r>
    </w:p>
    <w:p w14:paraId="2F25F924" w14:textId="77777777" w:rsidR="003554B3" w:rsidRDefault="00000000">
      <w:r>
        <w:t xml:space="preserve">Each input is what was published on the day. Beginning with π, which is the 12-month core PCE, bridged from CPI for months PCE hasn’t printed yet. I tested the accuracy of this </w:t>
      </w:r>
      <w:proofErr w:type="gramStart"/>
      <w:r>
        <w:t>bridge</w:t>
      </w:r>
      <w:proofErr w:type="gramEnd"/>
      <w:r>
        <w:t xml:space="preserve"> and the test returned a RMSE of 0.075 pp against PCE’s first print over 185 months. u* is CBO’s estimate as vintaged on that day, from ALFRED (Figure 4). A test reruns the whole chain cut off on day D, then appends deliberately corrupted data after D and checks that nothing on or before D moves.</w:t>
      </w:r>
    </w:p>
    <w:p w14:paraId="5ED3944C" w14:textId="77777777" w:rsidR="003554B3" w:rsidRDefault="00000000">
      <w:r>
        <w:t>For GBP the inputs are headline CPI (12 month, the MPC’s target), LFS unemployment as first printed, and constants for u* (4.5%) and r* (−1.6%). Importantly, this is headline CPI and not core as this is what the MPC targets.</w:t>
      </w:r>
    </w:p>
    <w:p w14:paraId="75ED069E" w14:textId="77777777" w:rsidR="003554B3" w:rsidRDefault="00000000">
      <w:pPr>
        <w:keepNext/>
        <w:spacing w:before="120" w:after="60" w:line="240" w:lineRule="auto"/>
        <w:jc w:val="center"/>
      </w:pPr>
      <w:r>
        <w:rPr>
          <w:noProof/>
        </w:rPr>
        <w:drawing>
          <wp:inline distT="0" distB="0" distL="0" distR="0" wp14:anchorId="4F51C2EF" wp14:editId="0EB024BE">
            <wp:extent cx="5029200" cy="3419475"/>
            <wp:effectExtent l="0" t="0" r="0" b="0"/>
            <wp:docPr id="1634393084" name="Figure 4" descr="Real-time USD rule inputs: core PCE inflation as it could be read each day, and the unemployment gap."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29200" cy="3419475"/>
                    </a:xfrm>
                    <a:prstGeom prst="rect">
                      <a:avLst/>
                    </a:prstGeom>
                  </pic:spPr>
                </pic:pic>
              </a:graphicData>
            </a:graphic>
          </wp:inline>
        </w:drawing>
      </w:r>
    </w:p>
    <w:p w14:paraId="2123C187" w14:textId="77777777" w:rsidR="003554B3" w:rsidRDefault="00000000">
      <w:pPr>
        <w:pStyle w:val="FigureCaption"/>
        <w:jc w:val="center"/>
      </w:pPr>
      <w:r>
        <w:rPr>
          <w:b/>
          <w:bCs/>
          <w:color w:val="1F3864"/>
        </w:rPr>
        <w:t xml:space="preserve">Figure </w:t>
      </w:r>
      <w:r>
        <w:rPr>
          <w:b/>
          <w:bCs/>
          <w:color w:val="1F3864"/>
        </w:rPr>
        <w:fldChar w:fldCharType="begin"/>
      </w:r>
      <w:r>
        <w:rPr>
          <w:b/>
          <w:bCs/>
          <w:color w:val="1F3864"/>
        </w:rPr>
        <w:instrText xml:space="preserve"> SEQ Figure \* ARABIC </w:instrText>
      </w:r>
      <w:r>
        <w:rPr>
          <w:b/>
          <w:bCs/>
          <w:color w:val="1F3864"/>
        </w:rPr>
        <w:fldChar w:fldCharType="separate"/>
      </w:r>
      <w:r>
        <w:rPr>
          <w:b/>
          <w:bCs/>
          <w:color w:val="1F3864"/>
        </w:rPr>
        <w:t>4</w:t>
      </w:r>
      <w:r>
        <w:rPr>
          <w:b/>
          <w:bCs/>
          <w:color w:val="1F3864"/>
        </w:rPr>
        <w:fldChar w:fldCharType="end"/>
      </w:r>
      <w:r>
        <w:rPr>
          <w:b/>
          <w:bCs/>
          <w:color w:val="1F3864"/>
        </w:rPr>
        <w:t xml:space="preserve">. </w:t>
      </w:r>
      <w:r>
        <w:t>Real-time USD rule inputs: core PCE inflation as it could be read each day, and the unemployment gap.</w:t>
      </w:r>
    </w:p>
    <w:p w14:paraId="73C421B2" w14:textId="77777777" w:rsidR="003554B3" w:rsidRDefault="00000000">
      <w:pPr>
        <w:pStyle w:val="Heading2"/>
        <w:numPr>
          <w:ilvl w:val="1"/>
          <w:numId w:val="3"/>
        </w:numPr>
      </w:pPr>
      <w:r>
        <w:t>r* choices</w:t>
      </w:r>
    </w:p>
    <w:p w14:paraId="464D98B5" w14:textId="77777777" w:rsidR="003554B3" w:rsidRDefault="00000000">
      <w:r>
        <w:t>Each SEP is a dated document that is never revised, so it is real time without any vintage machinery. This isn’t the same for GBP, which uses a constant −1.6%, the average real Bank rate. Both values are tested later in Robustness using HLW (Holston-Laubach-Williams r*) in real time for USD (book net Sharpe ratio −0.52) and constants ±1 pp for GBP (−0.58 and −0.63).</w:t>
      </w:r>
    </w:p>
    <w:p w14:paraId="29E83916" w14:textId="77777777" w:rsidR="003554B3" w:rsidRDefault="00000000">
      <w:pPr>
        <w:pStyle w:val="Heading1"/>
        <w:numPr>
          <w:ilvl w:val="0"/>
          <w:numId w:val="3"/>
        </w:numPr>
      </w:pPr>
      <w:r>
        <w:t>The level</w:t>
      </w:r>
    </w:p>
    <w:p w14:paraId="4CE2D8F5" w14:textId="77777777" w:rsidR="003554B3" w:rsidRDefault="00000000">
      <w:r>
        <w:t>The market trades persistently below the rule. For the USD, that’s 13 out of 13 years outside the ELB, by −25 bp to −86 bp (Figure 5). By regime that is −37 bp hiking, −53 bp on hold, and −62 bp cutting. In effect, this matches the pattern of the market pricing below the FOMC’s dots.</w:t>
      </w:r>
    </w:p>
    <w:p w14:paraId="35AA1249" w14:textId="77777777" w:rsidR="003554B3" w:rsidRDefault="00000000">
      <w:pPr>
        <w:keepNext/>
        <w:spacing w:before="120" w:after="60" w:line="240" w:lineRule="auto"/>
        <w:jc w:val="center"/>
      </w:pPr>
      <w:r>
        <w:rPr>
          <w:noProof/>
        </w:rPr>
        <w:lastRenderedPageBreak/>
        <w:drawing>
          <wp:inline distT="0" distB="0" distL="0" distR="0" wp14:anchorId="167E3F4E" wp14:editId="044F423F">
            <wp:extent cx="5029200" cy="3657600"/>
            <wp:effectExtent l="0" t="0" r="0" b="0"/>
            <wp:docPr id="226569935" name="Figure 5" descr="USD: the market path against the balanced-approach rule, and the gap at the fourth meeting ahead."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29200" cy="3657600"/>
                    </a:xfrm>
                    <a:prstGeom prst="rect">
                      <a:avLst/>
                    </a:prstGeom>
                  </pic:spPr>
                </pic:pic>
              </a:graphicData>
            </a:graphic>
          </wp:inline>
        </w:drawing>
      </w:r>
    </w:p>
    <w:p w14:paraId="588C47D8" w14:textId="77777777" w:rsidR="003554B3" w:rsidRDefault="00000000">
      <w:pPr>
        <w:pStyle w:val="FigureCaption"/>
        <w:jc w:val="center"/>
      </w:pPr>
      <w:r>
        <w:rPr>
          <w:b/>
          <w:bCs/>
          <w:color w:val="1F3864"/>
        </w:rPr>
        <w:t xml:space="preserve">Figure </w:t>
      </w:r>
      <w:r>
        <w:rPr>
          <w:b/>
          <w:bCs/>
          <w:color w:val="1F3864"/>
        </w:rPr>
        <w:fldChar w:fldCharType="begin"/>
      </w:r>
      <w:r>
        <w:rPr>
          <w:b/>
          <w:bCs/>
          <w:color w:val="1F3864"/>
        </w:rPr>
        <w:instrText xml:space="preserve"> SEQ Figure \* ARABIC </w:instrText>
      </w:r>
      <w:r>
        <w:rPr>
          <w:b/>
          <w:bCs/>
          <w:color w:val="1F3864"/>
        </w:rPr>
        <w:fldChar w:fldCharType="separate"/>
      </w:r>
      <w:r>
        <w:rPr>
          <w:b/>
          <w:bCs/>
          <w:color w:val="1F3864"/>
        </w:rPr>
        <w:t>5</w:t>
      </w:r>
      <w:r>
        <w:rPr>
          <w:b/>
          <w:bCs/>
          <w:color w:val="1F3864"/>
        </w:rPr>
        <w:fldChar w:fldCharType="end"/>
      </w:r>
      <w:r>
        <w:rPr>
          <w:b/>
          <w:bCs/>
          <w:color w:val="1F3864"/>
        </w:rPr>
        <w:t xml:space="preserve">. </w:t>
      </w:r>
      <w:r>
        <w:t xml:space="preserve">USD: the market path against the </w:t>
      </w:r>
      <w:proofErr w:type="gramStart"/>
      <w:r>
        <w:t>balanced-approach</w:t>
      </w:r>
      <w:proofErr w:type="gramEnd"/>
      <w:r>
        <w:t xml:space="preserve"> rule, and the gap at the fourth meeting ahead.</w:t>
      </w:r>
    </w:p>
    <w:p w14:paraId="18AD14B2" w14:textId="77777777" w:rsidR="003554B3" w:rsidRDefault="00000000">
      <w:r>
        <w:t>The gaps are larger for GBP (−122 to +102 bp; Figure 6). It isn’t persistent; it depends on the regime: −81 bp while hiking, +28 bp while cutting. It sat below the rule in 8 of 11 years, then above from 2024 (+36, +19, +102 bp). With a fixed r*, the post 2024 flip is as consistent with r* being wrong as with the market repricing, and this measurement can’t separate them.</w:t>
      </w:r>
    </w:p>
    <w:p w14:paraId="42FFA15E" w14:textId="77777777" w:rsidR="003554B3" w:rsidRDefault="00000000">
      <w:pPr>
        <w:keepNext/>
        <w:spacing w:before="120" w:after="60" w:line="240" w:lineRule="auto"/>
        <w:jc w:val="center"/>
      </w:pPr>
      <w:r>
        <w:rPr>
          <w:noProof/>
        </w:rPr>
        <w:drawing>
          <wp:inline distT="0" distB="0" distL="0" distR="0" wp14:anchorId="6FAD131F" wp14:editId="5DC37ADB">
            <wp:extent cx="5029200" cy="3390900"/>
            <wp:effectExtent l="0" t="0" r="0" b="0"/>
            <wp:docPr id="677286365" name="Figure 6" descr="GBP: the market path against the balanced-approach rule, and the gap at the fourth meeting ahead."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29200" cy="3390900"/>
                    </a:xfrm>
                    <a:prstGeom prst="rect">
                      <a:avLst/>
                    </a:prstGeom>
                  </pic:spPr>
                </pic:pic>
              </a:graphicData>
            </a:graphic>
          </wp:inline>
        </w:drawing>
      </w:r>
    </w:p>
    <w:p w14:paraId="63DE6F88" w14:textId="77777777" w:rsidR="003554B3" w:rsidRDefault="00000000">
      <w:pPr>
        <w:pStyle w:val="FigureCaption"/>
        <w:jc w:val="center"/>
      </w:pPr>
      <w:r>
        <w:rPr>
          <w:b/>
          <w:bCs/>
          <w:color w:val="1F3864"/>
        </w:rPr>
        <w:t xml:space="preserve">Figure </w:t>
      </w:r>
      <w:r>
        <w:rPr>
          <w:b/>
          <w:bCs/>
          <w:color w:val="1F3864"/>
        </w:rPr>
        <w:fldChar w:fldCharType="begin"/>
      </w:r>
      <w:r>
        <w:rPr>
          <w:b/>
          <w:bCs/>
          <w:color w:val="1F3864"/>
        </w:rPr>
        <w:instrText xml:space="preserve"> SEQ Figure \* ARABIC </w:instrText>
      </w:r>
      <w:r>
        <w:rPr>
          <w:b/>
          <w:bCs/>
          <w:color w:val="1F3864"/>
        </w:rPr>
        <w:fldChar w:fldCharType="separate"/>
      </w:r>
      <w:r>
        <w:rPr>
          <w:b/>
          <w:bCs/>
          <w:color w:val="1F3864"/>
        </w:rPr>
        <w:t>6</w:t>
      </w:r>
      <w:r>
        <w:rPr>
          <w:b/>
          <w:bCs/>
          <w:color w:val="1F3864"/>
        </w:rPr>
        <w:fldChar w:fldCharType="end"/>
      </w:r>
      <w:r>
        <w:rPr>
          <w:b/>
          <w:bCs/>
          <w:color w:val="1F3864"/>
        </w:rPr>
        <w:t xml:space="preserve">. </w:t>
      </w:r>
      <w:r>
        <w:t>GBP: the market path against the balanced-approach rule, and the gap at the fourth meeting ahead.</w:t>
      </w:r>
    </w:p>
    <w:p w14:paraId="6769B32F" w14:textId="77777777" w:rsidR="003554B3" w:rsidRDefault="00000000">
      <w:pPr>
        <w:pStyle w:val="Heading1"/>
        <w:numPr>
          <w:ilvl w:val="0"/>
          <w:numId w:val="3"/>
        </w:numPr>
      </w:pPr>
      <w:r>
        <w:lastRenderedPageBreak/>
        <w:t>The signal and the null</w:t>
      </w:r>
    </w:p>
    <w:p w14:paraId="5D0BF8CD" w14:textId="77777777" w:rsidR="003554B3" w:rsidRDefault="00000000">
      <w:r>
        <w:t xml:space="preserve">The USD gap has no forecasting value and instead points the wrong way (Figure 7, Table 1). USD outright is not successful, with a −0.12 for IC (21) across 2,930 sessions. The results for GBP are strong, with GBP outright seeing +0.38 in IC (21). This result is across 2,273 sessions and carries a t-stat of 4.7. The three </w:t>
      </w:r>
      <w:proofErr w:type="gramStart"/>
      <w:r>
        <w:t>curve</w:t>
      </w:r>
      <w:proofErr w:type="gramEnd"/>
      <w:r>
        <w:t xml:space="preserve"> and cross sleeves are small (|t| ≤ 1.6). Outside GBP outright, nothing here rejects the null.</w:t>
      </w:r>
    </w:p>
    <w:p w14:paraId="2F54AB70" w14:textId="77777777" w:rsidR="003554B3" w:rsidRDefault="00000000">
      <w:pPr>
        <w:keepNext/>
        <w:spacing w:before="120" w:after="60" w:line="240" w:lineRule="auto"/>
        <w:jc w:val="center"/>
      </w:pPr>
      <w:r>
        <w:rPr>
          <w:noProof/>
        </w:rPr>
        <w:drawing>
          <wp:inline distT="0" distB="0" distL="0" distR="0" wp14:anchorId="2F4D014C" wp14:editId="38377D01">
            <wp:extent cx="3933825" cy="2543175"/>
            <wp:effectExtent l="0" t="0" r="0" b="0"/>
            <wp:docPr id="930192125" name="Figure 7" descr="IC of z against the next 5, 21 and 63 sessions’ rate change, outside the ELB."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933825" cy="2543175"/>
                    </a:xfrm>
                    <a:prstGeom prst="rect">
                      <a:avLst/>
                    </a:prstGeom>
                  </pic:spPr>
                </pic:pic>
              </a:graphicData>
            </a:graphic>
          </wp:inline>
        </w:drawing>
      </w:r>
    </w:p>
    <w:p w14:paraId="5E41AECB" w14:textId="77777777" w:rsidR="003554B3" w:rsidRDefault="00000000">
      <w:pPr>
        <w:pStyle w:val="FigureCaption"/>
        <w:jc w:val="center"/>
      </w:pPr>
      <w:r>
        <w:rPr>
          <w:b/>
          <w:bCs/>
          <w:color w:val="1F3864"/>
        </w:rPr>
        <w:t xml:space="preserve">Figure </w:t>
      </w:r>
      <w:r>
        <w:rPr>
          <w:b/>
          <w:bCs/>
          <w:color w:val="1F3864"/>
        </w:rPr>
        <w:fldChar w:fldCharType="begin"/>
      </w:r>
      <w:r>
        <w:rPr>
          <w:b/>
          <w:bCs/>
          <w:color w:val="1F3864"/>
        </w:rPr>
        <w:instrText xml:space="preserve"> SEQ Figure \* ARABIC </w:instrText>
      </w:r>
      <w:r>
        <w:rPr>
          <w:b/>
          <w:bCs/>
          <w:color w:val="1F3864"/>
        </w:rPr>
        <w:fldChar w:fldCharType="separate"/>
      </w:r>
      <w:r>
        <w:rPr>
          <w:b/>
          <w:bCs/>
          <w:color w:val="1F3864"/>
        </w:rPr>
        <w:t>7</w:t>
      </w:r>
      <w:r>
        <w:rPr>
          <w:b/>
          <w:bCs/>
          <w:color w:val="1F3864"/>
        </w:rPr>
        <w:fldChar w:fldCharType="end"/>
      </w:r>
      <w:r>
        <w:rPr>
          <w:b/>
          <w:bCs/>
          <w:color w:val="1F3864"/>
        </w:rPr>
        <w:t xml:space="preserve">. </w:t>
      </w:r>
      <w:r>
        <w:t>IC of z against the next 5, 21 and 63 sessions’ rate change, outside the ELB.</w:t>
      </w:r>
    </w:p>
    <w:p w14:paraId="18DB8A0D" w14:textId="77777777" w:rsidR="003554B3" w:rsidRDefault="00000000">
      <w:pPr>
        <w:pStyle w:val="FigureCaption"/>
        <w:keepNext/>
        <w:spacing w:before="200" w:after="80"/>
      </w:pPr>
      <w:r>
        <w:rPr>
          <w:b/>
          <w:bCs/>
          <w:color w:val="1F3864"/>
        </w:rPr>
        <w:t xml:space="preserve">Table </w:t>
      </w:r>
      <w:r>
        <w:rPr>
          <w:b/>
          <w:bCs/>
          <w:color w:val="1F3864"/>
        </w:rPr>
        <w:fldChar w:fldCharType="begin"/>
      </w:r>
      <w:r>
        <w:rPr>
          <w:b/>
          <w:bCs/>
          <w:color w:val="1F3864"/>
        </w:rPr>
        <w:instrText xml:space="preserve"> SEQ Table \* ARABIC </w:instrText>
      </w:r>
      <w:r>
        <w:rPr>
          <w:b/>
          <w:bCs/>
          <w:color w:val="1F3864"/>
        </w:rPr>
        <w:fldChar w:fldCharType="separate"/>
      </w:r>
      <w:r>
        <w:rPr>
          <w:b/>
          <w:bCs/>
          <w:color w:val="1F3864"/>
        </w:rPr>
        <w:t>1</w:t>
      </w:r>
      <w:r>
        <w:rPr>
          <w:b/>
          <w:bCs/>
          <w:color w:val="1F3864"/>
        </w:rPr>
        <w:fldChar w:fldCharType="end"/>
      </w:r>
      <w:r>
        <w:rPr>
          <w:b/>
          <w:bCs/>
          <w:color w:val="1F3864"/>
        </w:rPr>
        <w:t xml:space="preserve">. </w:t>
      </w:r>
      <w:r>
        <w:t>IC of z against the rate change over the next h sessions, outside the ELB.</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700"/>
        <w:gridCol w:w="1420"/>
        <w:gridCol w:w="1420"/>
        <w:gridCol w:w="1420"/>
        <w:gridCol w:w="1200"/>
        <w:gridCol w:w="2200"/>
      </w:tblGrid>
      <w:tr w:rsidR="003554B3" w14:paraId="06E5F8E0" w14:textId="77777777">
        <w:tblPrEx>
          <w:tblCellMar>
            <w:top w:w="0" w:type="dxa"/>
            <w:bottom w:w="0" w:type="dxa"/>
          </w:tblCellMar>
        </w:tblPrEx>
        <w:trPr>
          <w:cantSplit/>
          <w:tblHeader/>
        </w:trPr>
        <w:tc>
          <w:tcPr>
            <w:tcW w:w="170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394BC234" w14:textId="77777777" w:rsidR="003554B3" w:rsidRDefault="00000000">
            <w:pPr>
              <w:spacing w:after="0" w:line="240" w:lineRule="auto"/>
            </w:pPr>
            <w:r>
              <w:rPr>
                <w:b/>
                <w:bCs/>
                <w:color w:val="FFFFFF"/>
                <w:sz w:val="17"/>
                <w:szCs w:val="17"/>
              </w:rPr>
              <w:t>Sleeve</w:t>
            </w:r>
          </w:p>
        </w:tc>
        <w:tc>
          <w:tcPr>
            <w:tcW w:w="142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2A66288C" w14:textId="77777777" w:rsidR="003554B3" w:rsidRDefault="00000000">
            <w:pPr>
              <w:spacing w:after="0" w:line="240" w:lineRule="auto"/>
              <w:jc w:val="center"/>
            </w:pPr>
            <w:proofErr w:type="gramStart"/>
            <w:r>
              <w:rPr>
                <w:b/>
                <w:bCs/>
                <w:color w:val="FFFFFF"/>
                <w:sz w:val="17"/>
                <w:szCs w:val="17"/>
              </w:rPr>
              <w:t>IC(</w:t>
            </w:r>
            <w:proofErr w:type="gramEnd"/>
            <w:r>
              <w:rPr>
                <w:b/>
                <w:bCs/>
                <w:color w:val="FFFFFF"/>
                <w:sz w:val="17"/>
                <w:szCs w:val="17"/>
              </w:rPr>
              <w:t>5)</w:t>
            </w:r>
          </w:p>
        </w:tc>
        <w:tc>
          <w:tcPr>
            <w:tcW w:w="142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2C2E4CAA" w14:textId="77777777" w:rsidR="003554B3" w:rsidRDefault="00000000">
            <w:pPr>
              <w:spacing w:after="0" w:line="240" w:lineRule="auto"/>
              <w:jc w:val="center"/>
            </w:pPr>
            <w:proofErr w:type="gramStart"/>
            <w:r>
              <w:rPr>
                <w:b/>
                <w:bCs/>
                <w:color w:val="FFFFFF"/>
                <w:sz w:val="17"/>
                <w:szCs w:val="17"/>
              </w:rPr>
              <w:t>IC(</w:t>
            </w:r>
            <w:proofErr w:type="gramEnd"/>
            <w:r>
              <w:rPr>
                <w:b/>
                <w:bCs/>
                <w:color w:val="FFFFFF"/>
                <w:sz w:val="17"/>
                <w:szCs w:val="17"/>
              </w:rPr>
              <w:t>21)</w:t>
            </w:r>
          </w:p>
        </w:tc>
        <w:tc>
          <w:tcPr>
            <w:tcW w:w="142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073FEC61" w14:textId="77777777" w:rsidR="003554B3" w:rsidRDefault="00000000">
            <w:pPr>
              <w:spacing w:after="0" w:line="240" w:lineRule="auto"/>
              <w:jc w:val="center"/>
            </w:pPr>
            <w:proofErr w:type="gramStart"/>
            <w:r>
              <w:rPr>
                <w:b/>
                <w:bCs/>
                <w:color w:val="FFFFFF"/>
                <w:sz w:val="17"/>
                <w:szCs w:val="17"/>
              </w:rPr>
              <w:t>IC(</w:t>
            </w:r>
            <w:proofErr w:type="gramEnd"/>
            <w:r>
              <w:rPr>
                <w:b/>
                <w:bCs/>
                <w:color w:val="FFFFFF"/>
                <w:sz w:val="17"/>
                <w:szCs w:val="17"/>
              </w:rPr>
              <w:t>63)</w:t>
            </w:r>
          </w:p>
        </w:tc>
        <w:tc>
          <w:tcPr>
            <w:tcW w:w="120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3A5BF7D1" w14:textId="77777777" w:rsidR="003554B3" w:rsidRDefault="00000000">
            <w:pPr>
              <w:spacing w:after="0" w:line="240" w:lineRule="auto"/>
              <w:jc w:val="center"/>
            </w:pPr>
            <w:r>
              <w:rPr>
                <w:b/>
                <w:bCs/>
                <w:color w:val="FFFFFF"/>
                <w:sz w:val="17"/>
                <w:szCs w:val="17"/>
              </w:rPr>
              <w:t>Sessions (21)</w:t>
            </w:r>
          </w:p>
        </w:tc>
        <w:tc>
          <w:tcPr>
            <w:tcW w:w="220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753ED7B4" w14:textId="77777777" w:rsidR="003554B3" w:rsidRDefault="00000000">
            <w:pPr>
              <w:spacing w:after="0" w:line="240" w:lineRule="auto"/>
              <w:jc w:val="center"/>
            </w:pPr>
            <w:r>
              <w:rPr>
                <w:b/>
                <w:bCs/>
                <w:color w:val="FFFFFF"/>
                <w:sz w:val="17"/>
                <w:szCs w:val="17"/>
              </w:rPr>
              <w:t xml:space="preserve">Non-overlapping </w:t>
            </w:r>
            <w:proofErr w:type="gramStart"/>
            <w:r>
              <w:rPr>
                <w:b/>
                <w:bCs/>
                <w:color w:val="FFFFFF"/>
                <w:sz w:val="17"/>
                <w:szCs w:val="17"/>
              </w:rPr>
              <w:t>IC(</w:t>
            </w:r>
            <w:proofErr w:type="gramEnd"/>
            <w:r>
              <w:rPr>
                <w:b/>
                <w:bCs/>
                <w:color w:val="FFFFFF"/>
                <w:sz w:val="17"/>
                <w:szCs w:val="17"/>
              </w:rPr>
              <w:t>21)</w:t>
            </w:r>
          </w:p>
        </w:tc>
      </w:tr>
      <w:tr w:rsidR="003554B3" w14:paraId="6A246C43" w14:textId="77777777">
        <w:tblPrEx>
          <w:tblCellMar>
            <w:top w:w="0" w:type="dxa"/>
            <w:bottom w:w="0" w:type="dxa"/>
          </w:tblCellMar>
        </w:tblPrEx>
        <w:trPr>
          <w:cantSplit/>
        </w:trPr>
        <w:tc>
          <w:tcPr>
            <w:tcW w:w="17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3F894CD1" w14:textId="77777777" w:rsidR="003554B3" w:rsidRDefault="00000000">
            <w:pPr>
              <w:spacing w:after="0" w:line="240" w:lineRule="auto"/>
            </w:pPr>
            <w:r>
              <w:rPr>
                <w:sz w:val="17"/>
                <w:szCs w:val="17"/>
              </w:rPr>
              <w:t>USD outright</w:t>
            </w:r>
          </w:p>
        </w:tc>
        <w:tc>
          <w:tcPr>
            <w:tcW w:w="142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1154C48C" w14:textId="77777777" w:rsidR="003554B3" w:rsidRDefault="00000000">
            <w:pPr>
              <w:spacing w:after="0" w:line="240" w:lineRule="auto"/>
              <w:jc w:val="center"/>
            </w:pPr>
            <w:r>
              <w:rPr>
                <w:sz w:val="17"/>
                <w:szCs w:val="17"/>
              </w:rPr>
              <w:t>−0.059 (−1.7)</w:t>
            </w:r>
          </w:p>
        </w:tc>
        <w:tc>
          <w:tcPr>
            <w:tcW w:w="142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7C04E16F" w14:textId="77777777" w:rsidR="003554B3" w:rsidRDefault="00000000">
            <w:pPr>
              <w:spacing w:after="0" w:line="240" w:lineRule="auto"/>
              <w:jc w:val="center"/>
            </w:pPr>
            <w:r>
              <w:rPr>
                <w:sz w:val="17"/>
                <w:szCs w:val="17"/>
              </w:rPr>
              <w:t>−0.116 (−1.7)</w:t>
            </w:r>
          </w:p>
        </w:tc>
        <w:tc>
          <w:tcPr>
            <w:tcW w:w="142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62495077" w14:textId="77777777" w:rsidR="003554B3" w:rsidRDefault="00000000">
            <w:pPr>
              <w:spacing w:after="0" w:line="240" w:lineRule="auto"/>
              <w:jc w:val="center"/>
            </w:pPr>
            <w:r>
              <w:rPr>
                <w:sz w:val="17"/>
                <w:szCs w:val="17"/>
              </w:rPr>
              <w:t>−0.185 (−1.5)</w:t>
            </w:r>
          </w:p>
        </w:tc>
        <w:tc>
          <w:tcPr>
            <w:tcW w:w="12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31A0C9DC" w14:textId="77777777" w:rsidR="003554B3" w:rsidRDefault="00000000">
            <w:pPr>
              <w:spacing w:after="0" w:line="240" w:lineRule="auto"/>
              <w:jc w:val="center"/>
            </w:pPr>
            <w:r>
              <w:rPr>
                <w:sz w:val="17"/>
                <w:szCs w:val="17"/>
              </w:rPr>
              <w:t>2,930</w:t>
            </w:r>
          </w:p>
        </w:tc>
        <w:tc>
          <w:tcPr>
            <w:tcW w:w="22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006CD498" w14:textId="77777777" w:rsidR="003554B3" w:rsidRDefault="00000000">
            <w:pPr>
              <w:spacing w:after="0" w:line="240" w:lineRule="auto"/>
              <w:jc w:val="center"/>
            </w:pPr>
            <w:r>
              <w:rPr>
                <w:sz w:val="17"/>
                <w:szCs w:val="17"/>
              </w:rPr>
              <w:t>−0.115 [−0.18, −0.06]</w:t>
            </w:r>
          </w:p>
        </w:tc>
      </w:tr>
      <w:tr w:rsidR="003554B3" w14:paraId="5115519C" w14:textId="77777777">
        <w:tblPrEx>
          <w:tblCellMar>
            <w:top w:w="0" w:type="dxa"/>
            <w:bottom w:w="0" w:type="dxa"/>
          </w:tblCellMar>
        </w:tblPrEx>
        <w:trPr>
          <w:cantSplit/>
        </w:trPr>
        <w:tc>
          <w:tcPr>
            <w:tcW w:w="17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125A2428" w14:textId="77777777" w:rsidR="003554B3" w:rsidRDefault="00000000">
            <w:pPr>
              <w:spacing w:after="0" w:line="240" w:lineRule="auto"/>
            </w:pPr>
            <w:r>
              <w:rPr>
                <w:sz w:val="17"/>
                <w:szCs w:val="17"/>
              </w:rPr>
              <w:t>GBP outright</w:t>
            </w:r>
          </w:p>
        </w:tc>
        <w:tc>
          <w:tcPr>
            <w:tcW w:w="142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2729BAFF" w14:textId="77777777" w:rsidR="003554B3" w:rsidRDefault="00000000">
            <w:pPr>
              <w:spacing w:after="0" w:line="240" w:lineRule="auto"/>
              <w:jc w:val="center"/>
            </w:pPr>
            <w:r>
              <w:rPr>
                <w:sz w:val="17"/>
                <w:szCs w:val="17"/>
              </w:rPr>
              <w:t>+0.203 (+4.7)</w:t>
            </w:r>
          </w:p>
        </w:tc>
        <w:tc>
          <w:tcPr>
            <w:tcW w:w="142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06F77F6A" w14:textId="77777777" w:rsidR="003554B3" w:rsidRDefault="00000000">
            <w:pPr>
              <w:spacing w:after="0" w:line="240" w:lineRule="auto"/>
              <w:jc w:val="center"/>
            </w:pPr>
            <w:r>
              <w:rPr>
                <w:sz w:val="17"/>
                <w:szCs w:val="17"/>
              </w:rPr>
              <w:t>+0.380 (+4.7)</w:t>
            </w:r>
          </w:p>
        </w:tc>
        <w:tc>
          <w:tcPr>
            <w:tcW w:w="142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5FDFB084" w14:textId="77777777" w:rsidR="003554B3" w:rsidRDefault="00000000">
            <w:pPr>
              <w:spacing w:after="0" w:line="240" w:lineRule="auto"/>
              <w:jc w:val="center"/>
            </w:pPr>
            <w:r>
              <w:rPr>
                <w:sz w:val="17"/>
                <w:szCs w:val="17"/>
              </w:rPr>
              <w:t>+0.505 (+4.1)</w:t>
            </w:r>
          </w:p>
        </w:tc>
        <w:tc>
          <w:tcPr>
            <w:tcW w:w="12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23839BD6" w14:textId="77777777" w:rsidR="003554B3" w:rsidRDefault="00000000">
            <w:pPr>
              <w:spacing w:after="0" w:line="240" w:lineRule="auto"/>
              <w:jc w:val="center"/>
            </w:pPr>
            <w:r>
              <w:rPr>
                <w:sz w:val="17"/>
                <w:szCs w:val="17"/>
              </w:rPr>
              <w:t>2,273</w:t>
            </w:r>
          </w:p>
        </w:tc>
        <w:tc>
          <w:tcPr>
            <w:tcW w:w="22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0AFE1918" w14:textId="77777777" w:rsidR="003554B3" w:rsidRDefault="00000000">
            <w:pPr>
              <w:spacing w:after="0" w:line="240" w:lineRule="auto"/>
              <w:jc w:val="center"/>
            </w:pPr>
            <w:r>
              <w:rPr>
                <w:sz w:val="17"/>
                <w:szCs w:val="17"/>
              </w:rPr>
              <w:t>+0.378 [+0.32, +0.43]</w:t>
            </w:r>
          </w:p>
        </w:tc>
      </w:tr>
      <w:tr w:rsidR="003554B3" w14:paraId="37F8D43E" w14:textId="77777777">
        <w:tblPrEx>
          <w:tblCellMar>
            <w:top w:w="0" w:type="dxa"/>
            <w:bottom w:w="0" w:type="dxa"/>
          </w:tblCellMar>
        </w:tblPrEx>
        <w:trPr>
          <w:cantSplit/>
        </w:trPr>
        <w:tc>
          <w:tcPr>
            <w:tcW w:w="17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39E8A7BD" w14:textId="77777777" w:rsidR="003554B3" w:rsidRDefault="00000000">
            <w:pPr>
              <w:spacing w:after="0" w:line="240" w:lineRule="auto"/>
            </w:pPr>
            <w:r>
              <w:rPr>
                <w:sz w:val="17"/>
                <w:szCs w:val="17"/>
              </w:rPr>
              <w:t>USD 2s10s</w:t>
            </w:r>
          </w:p>
        </w:tc>
        <w:tc>
          <w:tcPr>
            <w:tcW w:w="142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2D77BDE0" w14:textId="77777777" w:rsidR="003554B3" w:rsidRDefault="00000000">
            <w:pPr>
              <w:spacing w:after="0" w:line="240" w:lineRule="auto"/>
              <w:jc w:val="center"/>
            </w:pPr>
            <w:r>
              <w:rPr>
                <w:sz w:val="17"/>
                <w:szCs w:val="17"/>
              </w:rPr>
              <w:t>+0.055 (+1.6)</w:t>
            </w:r>
          </w:p>
        </w:tc>
        <w:tc>
          <w:tcPr>
            <w:tcW w:w="142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65BC0766" w14:textId="77777777" w:rsidR="003554B3" w:rsidRDefault="00000000">
            <w:pPr>
              <w:spacing w:after="0" w:line="240" w:lineRule="auto"/>
              <w:jc w:val="center"/>
            </w:pPr>
            <w:r>
              <w:rPr>
                <w:sz w:val="17"/>
                <w:szCs w:val="17"/>
              </w:rPr>
              <w:t>+0.088 (+1.3)</w:t>
            </w:r>
          </w:p>
        </w:tc>
        <w:tc>
          <w:tcPr>
            <w:tcW w:w="142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7974C9C4" w14:textId="77777777" w:rsidR="003554B3" w:rsidRDefault="00000000">
            <w:pPr>
              <w:spacing w:after="0" w:line="240" w:lineRule="auto"/>
              <w:jc w:val="center"/>
            </w:pPr>
            <w:r>
              <w:rPr>
                <w:sz w:val="17"/>
                <w:szCs w:val="17"/>
              </w:rPr>
              <w:t>+0.167 (+1.4)</w:t>
            </w:r>
          </w:p>
        </w:tc>
        <w:tc>
          <w:tcPr>
            <w:tcW w:w="12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106D4BC2" w14:textId="77777777" w:rsidR="003554B3" w:rsidRDefault="00000000">
            <w:pPr>
              <w:spacing w:after="0" w:line="240" w:lineRule="auto"/>
              <w:jc w:val="center"/>
            </w:pPr>
            <w:r>
              <w:rPr>
                <w:sz w:val="17"/>
                <w:szCs w:val="17"/>
              </w:rPr>
              <w:t>2,930</w:t>
            </w:r>
          </w:p>
        </w:tc>
        <w:tc>
          <w:tcPr>
            <w:tcW w:w="22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4C000627" w14:textId="77777777" w:rsidR="003554B3" w:rsidRDefault="00000000">
            <w:pPr>
              <w:spacing w:after="0" w:line="240" w:lineRule="auto"/>
              <w:jc w:val="center"/>
            </w:pPr>
            <w:r>
              <w:rPr>
                <w:sz w:val="17"/>
                <w:szCs w:val="17"/>
              </w:rPr>
              <w:t>+0.088 [+0.02, +0.17]</w:t>
            </w:r>
          </w:p>
        </w:tc>
      </w:tr>
      <w:tr w:rsidR="003554B3" w14:paraId="08DE1EA5" w14:textId="77777777">
        <w:tblPrEx>
          <w:tblCellMar>
            <w:top w:w="0" w:type="dxa"/>
            <w:bottom w:w="0" w:type="dxa"/>
          </w:tblCellMar>
        </w:tblPrEx>
        <w:trPr>
          <w:cantSplit/>
        </w:trPr>
        <w:tc>
          <w:tcPr>
            <w:tcW w:w="17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5FF332B3" w14:textId="77777777" w:rsidR="003554B3" w:rsidRDefault="00000000">
            <w:pPr>
              <w:spacing w:after="0" w:line="240" w:lineRule="auto"/>
            </w:pPr>
            <w:r>
              <w:rPr>
                <w:sz w:val="17"/>
                <w:szCs w:val="17"/>
              </w:rPr>
              <w:t>GBP 2s10s</w:t>
            </w:r>
          </w:p>
        </w:tc>
        <w:tc>
          <w:tcPr>
            <w:tcW w:w="142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0FECF79D" w14:textId="77777777" w:rsidR="003554B3" w:rsidRDefault="00000000">
            <w:pPr>
              <w:spacing w:after="0" w:line="240" w:lineRule="auto"/>
              <w:jc w:val="center"/>
            </w:pPr>
            <w:r>
              <w:rPr>
                <w:sz w:val="17"/>
                <w:szCs w:val="17"/>
              </w:rPr>
              <w:t>−0.001 (−0.0)</w:t>
            </w:r>
          </w:p>
        </w:tc>
        <w:tc>
          <w:tcPr>
            <w:tcW w:w="142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10E3FBCF" w14:textId="77777777" w:rsidR="003554B3" w:rsidRDefault="00000000">
            <w:pPr>
              <w:spacing w:after="0" w:line="240" w:lineRule="auto"/>
              <w:jc w:val="center"/>
            </w:pPr>
            <w:r>
              <w:rPr>
                <w:sz w:val="17"/>
                <w:szCs w:val="17"/>
              </w:rPr>
              <w:t>+0.043 (+0.6)</w:t>
            </w:r>
          </w:p>
        </w:tc>
        <w:tc>
          <w:tcPr>
            <w:tcW w:w="142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153FE967" w14:textId="77777777" w:rsidR="003554B3" w:rsidRDefault="00000000">
            <w:pPr>
              <w:spacing w:after="0" w:line="240" w:lineRule="auto"/>
              <w:jc w:val="center"/>
            </w:pPr>
            <w:r>
              <w:rPr>
                <w:sz w:val="17"/>
                <w:szCs w:val="17"/>
              </w:rPr>
              <w:t>+0.029 (+0.3)</w:t>
            </w:r>
          </w:p>
        </w:tc>
        <w:tc>
          <w:tcPr>
            <w:tcW w:w="12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4FE9C68B" w14:textId="77777777" w:rsidR="003554B3" w:rsidRDefault="00000000">
            <w:pPr>
              <w:spacing w:after="0" w:line="240" w:lineRule="auto"/>
              <w:jc w:val="center"/>
            </w:pPr>
            <w:r>
              <w:rPr>
                <w:sz w:val="17"/>
                <w:szCs w:val="17"/>
              </w:rPr>
              <w:t>2,273</w:t>
            </w:r>
          </w:p>
        </w:tc>
        <w:tc>
          <w:tcPr>
            <w:tcW w:w="22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5672B031" w14:textId="77777777" w:rsidR="003554B3" w:rsidRDefault="00000000">
            <w:pPr>
              <w:spacing w:after="0" w:line="240" w:lineRule="auto"/>
              <w:jc w:val="center"/>
            </w:pPr>
            <w:r>
              <w:rPr>
                <w:sz w:val="17"/>
                <w:szCs w:val="17"/>
              </w:rPr>
              <w:t>+0.043 [−0.05, +0.13]</w:t>
            </w:r>
          </w:p>
        </w:tc>
      </w:tr>
      <w:tr w:rsidR="003554B3" w14:paraId="6A5DF0D3" w14:textId="77777777">
        <w:tblPrEx>
          <w:tblCellMar>
            <w:top w:w="0" w:type="dxa"/>
            <w:bottom w:w="0" w:type="dxa"/>
          </w:tblCellMar>
        </w:tblPrEx>
        <w:trPr>
          <w:cantSplit/>
        </w:trPr>
        <w:tc>
          <w:tcPr>
            <w:tcW w:w="170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4C4A676C" w14:textId="77777777" w:rsidR="003554B3" w:rsidRDefault="00000000">
            <w:pPr>
              <w:spacing w:after="0" w:line="240" w:lineRule="auto"/>
            </w:pPr>
            <w:r>
              <w:rPr>
                <w:sz w:val="17"/>
                <w:szCs w:val="17"/>
              </w:rPr>
              <w:t>GBP − USD 2y</w:t>
            </w:r>
          </w:p>
        </w:tc>
        <w:tc>
          <w:tcPr>
            <w:tcW w:w="142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5D6E7F03" w14:textId="77777777" w:rsidR="003554B3" w:rsidRDefault="00000000">
            <w:pPr>
              <w:spacing w:after="0" w:line="240" w:lineRule="auto"/>
              <w:jc w:val="center"/>
            </w:pPr>
            <w:r>
              <w:rPr>
                <w:sz w:val="17"/>
                <w:szCs w:val="17"/>
              </w:rPr>
              <w:t>−0.015 (−0.4)</w:t>
            </w:r>
          </w:p>
        </w:tc>
        <w:tc>
          <w:tcPr>
            <w:tcW w:w="142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730B7BB1" w14:textId="77777777" w:rsidR="003554B3" w:rsidRDefault="00000000">
            <w:pPr>
              <w:spacing w:after="0" w:line="240" w:lineRule="auto"/>
              <w:jc w:val="center"/>
            </w:pPr>
            <w:r>
              <w:rPr>
                <w:sz w:val="17"/>
                <w:szCs w:val="17"/>
              </w:rPr>
              <w:t>−0.035 (−0.4)</w:t>
            </w:r>
          </w:p>
        </w:tc>
        <w:tc>
          <w:tcPr>
            <w:tcW w:w="142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1A951AD5" w14:textId="77777777" w:rsidR="003554B3" w:rsidRDefault="00000000">
            <w:pPr>
              <w:spacing w:after="0" w:line="240" w:lineRule="auto"/>
              <w:jc w:val="center"/>
            </w:pPr>
            <w:r>
              <w:rPr>
                <w:sz w:val="17"/>
                <w:szCs w:val="17"/>
              </w:rPr>
              <w:t>−0.036 (−0.3)</w:t>
            </w:r>
          </w:p>
        </w:tc>
        <w:tc>
          <w:tcPr>
            <w:tcW w:w="120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653315A6" w14:textId="77777777" w:rsidR="003554B3" w:rsidRDefault="00000000">
            <w:pPr>
              <w:spacing w:after="0" w:line="240" w:lineRule="auto"/>
              <w:jc w:val="center"/>
            </w:pPr>
            <w:r>
              <w:rPr>
                <w:sz w:val="17"/>
                <w:szCs w:val="17"/>
              </w:rPr>
              <w:t>2,195</w:t>
            </w:r>
          </w:p>
        </w:tc>
        <w:tc>
          <w:tcPr>
            <w:tcW w:w="220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73D26AF3" w14:textId="77777777" w:rsidR="003554B3" w:rsidRDefault="00000000">
            <w:pPr>
              <w:spacing w:after="0" w:line="240" w:lineRule="auto"/>
              <w:jc w:val="center"/>
            </w:pPr>
            <w:r>
              <w:rPr>
                <w:sz w:val="17"/>
                <w:szCs w:val="17"/>
              </w:rPr>
              <w:t>−0.033 [−0.11, +0.01]</w:t>
            </w:r>
          </w:p>
        </w:tc>
      </w:tr>
    </w:tbl>
    <w:p w14:paraId="30ECB4EE" w14:textId="77777777" w:rsidR="003554B3" w:rsidRDefault="00000000">
      <w:pPr>
        <w:pStyle w:val="FigureCaption"/>
        <w:spacing w:before="60" w:after="200"/>
      </w:pPr>
      <w:r>
        <w:rPr>
          <w:i/>
          <w:iCs/>
        </w:rPr>
        <w:t>Newey-West t in parentheses; the non-overlapping range in brackets.</w:t>
      </w:r>
    </w:p>
    <w:p w14:paraId="03E5E5FB" w14:textId="77777777" w:rsidR="003554B3" w:rsidRDefault="00000000">
      <w:r>
        <w:t>The t is Newey-West to lag h, but z is persistent, and so the products of z and the rate change stay autocorrelated past h. That results in t overstating the precision. The non-overlapping check gives GBP +0.32 to +0.43, clear of zero, and USD −0.18 to −0.06.</w:t>
      </w:r>
    </w:p>
    <w:p w14:paraId="25B487A8" w14:textId="77777777" w:rsidR="003554B3" w:rsidRDefault="00000000">
      <w:r>
        <w:t xml:space="preserve">The interpretation </w:t>
      </w:r>
      <w:proofErr w:type="gramStart"/>
      <w:r>
        <w:t>from</w:t>
      </w:r>
      <w:proofErr w:type="gramEnd"/>
      <w:r>
        <w:t xml:space="preserve"> these results is that the market leads the Fed. A negative IC means that when the market sits below the rule, the rule falls towards the market over the following weeks, because the Fed’s rate moves; the market doesn’t rise toward the rule. The dots move towards the market (+0.68 per bp of gap over 63 sessions (t +4.7) against +0.09 (t +0.5) the other way). The gap carries no usable information at the book level; GBP outright is the one exception. As shown later, I do not claim this as a tradable signal.</w:t>
      </w:r>
    </w:p>
    <w:p w14:paraId="19C4F7B9" w14:textId="77777777" w:rsidR="003554B3" w:rsidRDefault="00000000">
      <w:pPr>
        <w:pStyle w:val="Heading2"/>
        <w:numPr>
          <w:ilvl w:val="1"/>
          <w:numId w:val="3"/>
        </w:numPr>
      </w:pPr>
      <w:r>
        <w:t>Performance</w:t>
      </w:r>
    </w:p>
    <w:p w14:paraId="346036D2" w14:textId="77777777" w:rsidR="003554B3" w:rsidRDefault="00000000">
      <w:r>
        <w:t xml:space="preserve">The book’s Sharpe ratio is −0.14 gross and −0.60 net (SE 0.32; Table 2): −3.19% of capital per year. The worst drawdown was more reflective of a grind than of a break, 57.5%: April 2014 to September 2021. The worst 21 </w:t>
      </w:r>
      <w:r>
        <w:lastRenderedPageBreak/>
        <w:t>session loss is only 10.8%. The losses in the book are concentrated in the USD outright, which accounts for −25.9% cumulative (Figure 8).</w:t>
      </w:r>
    </w:p>
    <w:p w14:paraId="6A23DC1F" w14:textId="77777777" w:rsidR="003554B3" w:rsidRDefault="00000000">
      <w:pPr>
        <w:pStyle w:val="FigureCaption"/>
        <w:keepNext/>
        <w:spacing w:before="200" w:after="80"/>
      </w:pPr>
      <w:r>
        <w:rPr>
          <w:b/>
          <w:bCs/>
          <w:color w:val="1F3864"/>
        </w:rPr>
        <w:t xml:space="preserve">Table </w:t>
      </w:r>
      <w:r>
        <w:rPr>
          <w:b/>
          <w:bCs/>
          <w:color w:val="1F3864"/>
        </w:rPr>
        <w:fldChar w:fldCharType="begin"/>
      </w:r>
      <w:r>
        <w:rPr>
          <w:b/>
          <w:bCs/>
          <w:color w:val="1F3864"/>
        </w:rPr>
        <w:instrText xml:space="preserve"> SEQ Table \* ARABIC </w:instrText>
      </w:r>
      <w:r>
        <w:rPr>
          <w:b/>
          <w:bCs/>
          <w:color w:val="1F3864"/>
        </w:rPr>
        <w:fldChar w:fldCharType="separate"/>
      </w:r>
      <w:r>
        <w:rPr>
          <w:b/>
          <w:bCs/>
          <w:color w:val="1F3864"/>
        </w:rPr>
        <w:t>2</w:t>
      </w:r>
      <w:r>
        <w:rPr>
          <w:b/>
          <w:bCs/>
          <w:color w:val="1F3864"/>
        </w:rPr>
        <w:fldChar w:fldCharType="end"/>
      </w:r>
      <w:r>
        <w:rPr>
          <w:b/>
          <w:bCs/>
          <w:color w:val="1F3864"/>
        </w:rPr>
        <w:t xml:space="preserve">. </w:t>
      </w:r>
      <w:r>
        <w:t>Sharpe ratios (SE), gross and net of costs, and net with 2022 and 2022–23 left out.</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60"/>
        <w:gridCol w:w="1500"/>
        <w:gridCol w:w="1500"/>
        <w:gridCol w:w="1200"/>
        <w:gridCol w:w="1650"/>
        <w:gridCol w:w="1650"/>
      </w:tblGrid>
      <w:tr w:rsidR="003554B3" w14:paraId="4A23F555" w14:textId="77777777">
        <w:tblPrEx>
          <w:tblCellMar>
            <w:top w:w="0" w:type="dxa"/>
            <w:bottom w:w="0" w:type="dxa"/>
          </w:tblCellMar>
        </w:tblPrEx>
        <w:trPr>
          <w:cantSplit/>
          <w:tblHeader/>
        </w:trPr>
        <w:tc>
          <w:tcPr>
            <w:tcW w:w="186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7CC07630" w14:textId="77777777" w:rsidR="003554B3" w:rsidRDefault="00000000">
            <w:pPr>
              <w:spacing w:after="0" w:line="240" w:lineRule="auto"/>
            </w:pPr>
            <w:r>
              <w:rPr>
                <w:b/>
                <w:bCs/>
                <w:color w:val="FFFFFF"/>
                <w:sz w:val="17"/>
                <w:szCs w:val="17"/>
              </w:rPr>
              <w:t>Sleeve</w:t>
            </w:r>
          </w:p>
        </w:tc>
        <w:tc>
          <w:tcPr>
            <w:tcW w:w="150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7E8302F9" w14:textId="77777777" w:rsidR="003554B3" w:rsidRDefault="00000000">
            <w:pPr>
              <w:spacing w:after="0" w:line="240" w:lineRule="auto"/>
              <w:jc w:val="center"/>
            </w:pPr>
            <w:r>
              <w:rPr>
                <w:b/>
                <w:bCs/>
                <w:color w:val="FFFFFF"/>
                <w:sz w:val="17"/>
                <w:szCs w:val="17"/>
              </w:rPr>
              <w:t>Gross SR</w:t>
            </w:r>
          </w:p>
        </w:tc>
        <w:tc>
          <w:tcPr>
            <w:tcW w:w="150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03160E43" w14:textId="77777777" w:rsidR="003554B3" w:rsidRDefault="00000000">
            <w:pPr>
              <w:spacing w:after="0" w:line="240" w:lineRule="auto"/>
              <w:jc w:val="center"/>
            </w:pPr>
            <w:r>
              <w:rPr>
                <w:b/>
                <w:bCs/>
                <w:color w:val="FFFFFF"/>
                <w:sz w:val="17"/>
                <w:szCs w:val="17"/>
              </w:rPr>
              <w:t>Net SR</w:t>
            </w:r>
          </w:p>
        </w:tc>
        <w:tc>
          <w:tcPr>
            <w:tcW w:w="120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002DC0F0" w14:textId="77777777" w:rsidR="003554B3" w:rsidRDefault="00000000">
            <w:pPr>
              <w:spacing w:after="0" w:line="240" w:lineRule="auto"/>
              <w:jc w:val="center"/>
            </w:pPr>
            <w:r>
              <w:rPr>
                <w:b/>
                <w:bCs/>
                <w:color w:val="FFFFFF"/>
                <w:sz w:val="17"/>
                <w:szCs w:val="17"/>
              </w:rPr>
              <w:t>Net a year</w:t>
            </w:r>
          </w:p>
        </w:tc>
        <w:tc>
          <w:tcPr>
            <w:tcW w:w="165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764F6B30" w14:textId="77777777" w:rsidR="003554B3" w:rsidRDefault="00000000">
            <w:pPr>
              <w:spacing w:after="0" w:line="240" w:lineRule="auto"/>
              <w:jc w:val="center"/>
            </w:pPr>
            <w:r>
              <w:rPr>
                <w:b/>
                <w:bCs/>
                <w:color w:val="FFFFFF"/>
                <w:sz w:val="17"/>
                <w:szCs w:val="17"/>
              </w:rPr>
              <w:t>Ex-2022</w:t>
            </w:r>
          </w:p>
        </w:tc>
        <w:tc>
          <w:tcPr>
            <w:tcW w:w="165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5FD00385" w14:textId="77777777" w:rsidR="003554B3" w:rsidRDefault="00000000">
            <w:pPr>
              <w:spacing w:after="0" w:line="240" w:lineRule="auto"/>
              <w:jc w:val="center"/>
            </w:pPr>
            <w:r>
              <w:rPr>
                <w:b/>
                <w:bCs/>
                <w:color w:val="FFFFFF"/>
                <w:sz w:val="17"/>
                <w:szCs w:val="17"/>
              </w:rPr>
              <w:t>Ex-2022–23</w:t>
            </w:r>
          </w:p>
        </w:tc>
      </w:tr>
      <w:tr w:rsidR="003554B3" w14:paraId="35280EB0" w14:textId="77777777">
        <w:tblPrEx>
          <w:tblCellMar>
            <w:top w:w="0" w:type="dxa"/>
            <w:bottom w:w="0" w:type="dxa"/>
          </w:tblCellMar>
        </w:tblPrEx>
        <w:trPr>
          <w:cantSplit/>
        </w:trPr>
        <w:tc>
          <w:tcPr>
            <w:tcW w:w="1860" w:type="dxa"/>
            <w:tcBorders>
              <w:top w:val="none" w:sz="0" w:space="0" w:color="FFFFFF"/>
              <w:left w:val="none" w:sz="0" w:space="0" w:color="FFFFFF"/>
              <w:bottom w:val="single" w:sz="2" w:space="0" w:color="BFC9D6"/>
              <w:right w:val="none" w:sz="0" w:space="0" w:color="FFFFFF"/>
            </w:tcBorders>
            <w:shd w:val="clear" w:color="auto" w:fill="EEF3F9"/>
            <w:tcMar>
              <w:top w:w="70" w:type="dxa"/>
              <w:left w:w="110" w:type="dxa"/>
              <w:bottom w:w="70" w:type="dxa"/>
              <w:right w:w="110" w:type="dxa"/>
            </w:tcMar>
            <w:vAlign w:val="center"/>
          </w:tcPr>
          <w:p w14:paraId="6087ACEC" w14:textId="77777777" w:rsidR="003554B3" w:rsidRDefault="00000000">
            <w:pPr>
              <w:spacing w:after="0" w:line="240" w:lineRule="auto"/>
            </w:pPr>
            <w:r>
              <w:rPr>
                <w:b/>
                <w:bCs/>
                <w:sz w:val="17"/>
                <w:szCs w:val="17"/>
              </w:rPr>
              <w:t>Book</w:t>
            </w:r>
          </w:p>
        </w:tc>
        <w:tc>
          <w:tcPr>
            <w:tcW w:w="1500" w:type="dxa"/>
            <w:tcBorders>
              <w:top w:val="none" w:sz="0" w:space="0" w:color="FFFFFF"/>
              <w:left w:val="none" w:sz="0" w:space="0" w:color="FFFFFF"/>
              <w:bottom w:val="single" w:sz="2" w:space="0" w:color="BFC9D6"/>
              <w:right w:val="none" w:sz="0" w:space="0" w:color="FFFFFF"/>
            </w:tcBorders>
            <w:shd w:val="clear" w:color="auto" w:fill="EEF3F9"/>
            <w:tcMar>
              <w:top w:w="70" w:type="dxa"/>
              <w:left w:w="110" w:type="dxa"/>
              <w:bottom w:w="70" w:type="dxa"/>
              <w:right w:w="110" w:type="dxa"/>
            </w:tcMar>
            <w:vAlign w:val="center"/>
          </w:tcPr>
          <w:p w14:paraId="5001BAEA" w14:textId="77777777" w:rsidR="003554B3" w:rsidRDefault="00000000">
            <w:pPr>
              <w:spacing w:after="0" w:line="240" w:lineRule="auto"/>
              <w:jc w:val="center"/>
            </w:pPr>
            <w:r>
              <w:rPr>
                <w:b/>
                <w:bCs/>
                <w:sz w:val="17"/>
                <w:szCs w:val="17"/>
              </w:rPr>
              <w:t>−0.14 (0.29)</w:t>
            </w:r>
          </w:p>
        </w:tc>
        <w:tc>
          <w:tcPr>
            <w:tcW w:w="1500" w:type="dxa"/>
            <w:tcBorders>
              <w:top w:val="none" w:sz="0" w:space="0" w:color="FFFFFF"/>
              <w:left w:val="none" w:sz="0" w:space="0" w:color="FFFFFF"/>
              <w:bottom w:val="single" w:sz="2" w:space="0" w:color="BFC9D6"/>
              <w:right w:val="none" w:sz="0" w:space="0" w:color="FFFFFF"/>
            </w:tcBorders>
            <w:shd w:val="clear" w:color="auto" w:fill="EEF3F9"/>
            <w:tcMar>
              <w:top w:w="70" w:type="dxa"/>
              <w:left w:w="110" w:type="dxa"/>
              <w:bottom w:w="70" w:type="dxa"/>
              <w:right w:w="110" w:type="dxa"/>
            </w:tcMar>
            <w:vAlign w:val="center"/>
          </w:tcPr>
          <w:p w14:paraId="6D6C9366" w14:textId="77777777" w:rsidR="003554B3" w:rsidRDefault="00000000">
            <w:pPr>
              <w:spacing w:after="0" w:line="240" w:lineRule="auto"/>
              <w:jc w:val="center"/>
            </w:pPr>
            <w:r>
              <w:rPr>
                <w:b/>
                <w:bCs/>
                <w:sz w:val="17"/>
                <w:szCs w:val="17"/>
              </w:rPr>
              <w:t>−0.60 (0.32)</w:t>
            </w:r>
          </w:p>
        </w:tc>
        <w:tc>
          <w:tcPr>
            <w:tcW w:w="1200" w:type="dxa"/>
            <w:tcBorders>
              <w:top w:val="none" w:sz="0" w:space="0" w:color="FFFFFF"/>
              <w:left w:val="none" w:sz="0" w:space="0" w:color="FFFFFF"/>
              <w:bottom w:val="single" w:sz="2" w:space="0" w:color="BFC9D6"/>
              <w:right w:val="none" w:sz="0" w:space="0" w:color="FFFFFF"/>
            </w:tcBorders>
            <w:shd w:val="clear" w:color="auto" w:fill="EEF3F9"/>
            <w:tcMar>
              <w:top w:w="70" w:type="dxa"/>
              <w:left w:w="110" w:type="dxa"/>
              <w:bottom w:w="70" w:type="dxa"/>
              <w:right w:w="110" w:type="dxa"/>
            </w:tcMar>
            <w:vAlign w:val="center"/>
          </w:tcPr>
          <w:p w14:paraId="795F9B93" w14:textId="77777777" w:rsidR="003554B3" w:rsidRDefault="00000000">
            <w:pPr>
              <w:spacing w:after="0" w:line="240" w:lineRule="auto"/>
              <w:jc w:val="center"/>
            </w:pPr>
            <w:r>
              <w:rPr>
                <w:b/>
                <w:bCs/>
                <w:sz w:val="17"/>
                <w:szCs w:val="17"/>
              </w:rPr>
              <w:t>−3.19%</w:t>
            </w:r>
          </w:p>
        </w:tc>
        <w:tc>
          <w:tcPr>
            <w:tcW w:w="1650" w:type="dxa"/>
            <w:tcBorders>
              <w:top w:val="none" w:sz="0" w:space="0" w:color="FFFFFF"/>
              <w:left w:val="none" w:sz="0" w:space="0" w:color="FFFFFF"/>
              <w:bottom w:val="single" w:sz="2" w:space="0" w:color="BFC9D6"/>
              <w:right w:val="none" w:sz="0" w:space="0" w:color="FFFFFF"/>
            </w:tcBorders>
            <w:shd w:val="clear" w:color="auto" w:fill="EEF3F9"/>
            <w:tcMar>
              <w:top w:w="70" w:type="dxa"/>
              <w:left w:w="110" w:type="dxa"/>
              <w:bottom w:w="70" w:type="dxa"/>
              <w:right w:w="110" w:type="dxa"/>
            </w:tcMar>
            <w:vAlign w:val="center"/>
          </w:tcPr>
          <w:p w14:paraId="63E0496A" w14:textId="77777777" w:rsidR="003554B3" w:rsidRDefault="00000000">
            <w:pPr>
              <w:spacing w:after="0" w:line="240" w:lineRule="auto"/>
              <w:jc w:val="center"/>
            </w:pPr>
            <w:r>
              <w:rPr>
                <w:b/>
                <w:bCs/>
                <w:sz w:val="17"/>
                <w:szCs w:val="17"/>
              </w:rPr>
              <w:t>−0.98 (0.37)</w:t>
            </w:r>
          </w:p>
        </w:tc>
        <w:tc>
          <w:tcPr>
            <w:tcW w:w="1650" w:type="dxa"/>
            <w:tcBorders>
              <w:top w:val="none" w:sz="0" w:space="0" w:color="FFFFFF"/>
              <w:left w:val="none" w:sz="0" w:space="0" w:color="FFFFFF"/>
              <w:bottom w:val="single" w:sz="2" w:space="0" w:color="BFC9D6"/>
              <w:right w:val="none" w:sz="0" w:space="0" w:color="FFFFFF"/>
            </w:tcBorders>
            <w:shd w:val="clear" w:color="auto" w:fill="EEF3F9"/>
            <w:tcMar>
              <w:top w:w="70" w:type="dxa"/>
              <w:left w:w="110" w:type="dxa"/>
              <w:bottom w:w="70" w:type="dxa"/>
              <w:right w:w="110" w:type="dxa"/>
            </w:tcMar>
            <w:vAlign w:val="center"/>
          </w:tcPr>
          <w:p w14:paraId="2E6D60D1" w14:textId="77777777" w:rsidR="003554B3" w:rsidRDefault="00000000">
            <w:pPr>
              <w:spacing w:after="0" w:line="240" w:lineRule="auto"/>
              <w:jc w:val="center"/>
            </w:pPr>
            <w:r>
              <w:rPr>
                <w:b/>
                <w:bCs/>
                <w:sz w:val="17"/>
                <w:szCs w:val="17"/>
              </w:rPr>
              <w:t>−1.11 (0.40)</w:t>
            </w:r>
          </w:p>
        </w:tc>
      </w:tr>
      <w:tr w:rsidR="003554B3" w14:paraId="473DF87C" w14:textId="77777777">
        <w:tblPrEx>
          <w:tblCellMar>
            <w:top w:w="0" w:type="dxa"/>
            <w:bottom w:w="0" w:type="dxa"/>
          </w:tblCellMar>
        </w:tblPrEx>
        <w:trPr>
          <w:cantSplit/>
        </w:trPr>
        <w:tc>
          <w:tcPr>
            <w:tcW w:w="18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5CC84AD4" w14:textId="77777777" w:rsidR="003554B3" w:rsidRDefault="00000000">
            <w:pPr>
              <w:spacing w:after="0" w:line="240" w:lineRule="auto"/>
            </w:pPr>
            <w:r>
              <w:rPr>
                <w:sz w:val="17"/>
                <w:szCs w:val="17"/>
              </w:rPr>
              <w:t>USD outright</w:t>
            </w:r>
          </w:p>
        </w:tc>
        <w:tc>
          <w:tcPr>
            <w:tcW w:w="15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0AEB9F81" w14:textId="77777777" w:rsidR="003554B3" w:rsidRDefault="00000000">
            <w:pPr>
              <w:spacing w:after="0" w:line="240" w:lineRule="auto"/>
              <w:jc w:val="center"/>
            </w:pPr>
            <w:r>
              <w:rPr>
                <w:sz w:val="17"/>
                <w:szCs w:val="17"/>
              </w:rPr>
              <w:t>−0.50 (0.31)</w:t>
            </w:r>
          </w:p>
        </w:tc>
        <w:tc>
          <w:tcPr>
            <w:tcW w:w="15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0C52CE57" w14:textId="77777777" w:rsidR="003554B3" w:rsidRDefault="00000000">
            <w:pPr>
              <w:spacing w:after="0" w:line="240" w:lineRule="auto"/>
              <w:jc w:val="center"/>
            </w:pPr>
            <w:r>
              <w:rPr>
                <w:sz w:val="17"/>
                <w:szCs w:val="17"/>
              </w:rPr>
              <w:t>−0.88 (0.34)</w:t>
            </w:r>
          </w:p>
        </w:tc>
        <w:tc>
          <w:tcPr>
            <w:tcW w:w="12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5FC2951A" w14:textId="77777777" w:rsidR="003554B3" w:rsidRDefault="00000000">
            <w:pPr>
              <w:spacing w:after="0" w:line="240" w:lineRule="auto"/>
              <w:jc w:val="center"/>
            </w:pPr>
            <w:r>
              <w:rPr>
                <w:sz w:val="17"/>
                <w:szCs w:val="17"/>
              </w:rPr>
              <w:t>−2.19%</w:t>
            </w:r>
          </w:p>
        </w:tc>
        <w:tc>
          <w:tcPr>
            <w:tcW w:w="165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46DEFACF" w14:textId="77777777" w:rsidR="003554B3" w:rsidRDefault="00000000">
            <w:pPr>
              <w:spacing w:after="0" w:line="240" w:lineRule="auto"/>
              <w:jc w:val="center"/>
            </w:pPr>
            <w:r>
              <w:rPr>
                <w:sz w:val="17"/>
                <w:szCs w:val="17"/>
              </w:rPr>
              <w:t>−1.09 (0.38)</w:t>
            </w:r>
          </w:p>
        </w:tc>
        <w:tc>
          <w:tcPr>
            <w:tcW w:w="165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7348B468" w14:textId="77777777" w:rsidR="003554B3" w:rsidRDefault="00000000">
            <w:pPr>
              <w:spacing w:after="0" w:line="240" w:lineRule="auto"/>
              <w:jc w:val="center"/>
            </w:pPr>
            <w:r>
              <w:rPr>
                <w:sz w:val="17"/>
                <w:szCs w:val="17"/>
              </w:rPr>
              <w:t>−1.23 (0.42)</w:t>
            </w:r>
          </w:p>
        </w:tc>
      </w:tr>
      <w:tr w:rsidR="003554B3" w14:paraId="4A05B0C5" w14:textId="77777777">
        <w:tblPrEx>
          <w:tblCellMar>
            <w:top w:w="0" w:type="dxa"/>
            <w:bottom w:w="0" w:type="dxa"/>
          </w:tblCellMar>
        </w:tblPrEx>
        <w:trPr>
          <w:cantSplit/>
        </w:trPr>
        <w:tc>
          <w:tcPr>
            <w:tcW w:w="18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2F728CE2" w14:textId="77777777" w:rsidR="003554B3" w:rsidRDefault="00000000">
            <w:pPr>
              <w:spacing w:after="0" w:line="240" w:lineRule="auto"/>
            </w:pPr>
            <w:r>
              <w:rPr>
                <w:sz w:val="17"/>
                <w:szCs w:val="17"/>
              </w:rPr>
              <w:t>GBP outright</w:t>
            </w:r>
          </w:p>
        </w:tc>
        <w:tc>
          <w:tcPr>
            <w:tcW w:w="15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589379CA" w14:textId="77777777" w:rsidR="003554B3" w:rsidRDefault="00000000">
            <w:pPr>
              <w:spacing w:after="0" w:line="240" w:lineRule="auto"/>
              <w:jc w:val="center"/>
            </w:pPr>
            <w:r>
              <w:rPr>
                <w:sz w:val="17"/>
                <w:szCs w:val="17"/>
              </w:rPr>
              <w:t>+0.73 (0.33)</w:t>
            </w:r>
          </w:p>
        </w:tc>
        <w:tc>
          <w:tcPr>
            <w:tcW w:w="15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2CB4235C" w14:textId="77777777" w:rsidR="003554B3" w:rsidRDefault="00000000">
            <w:pPr>
              <w:spacing w:after="0" w:line="240" w:lineRule="auto"/>
              <w:jc w:val="center"/>
            </w:pPr>
            <w:r>
              <w:rPr>
                <w:sz w:val="17"/>
                <w:szCs w:val="17"/>
              </w:rPr>
              <w:t>+0.50 (0.31)</w:t>
            </w:r>
          </w:p>
        </w:tc>
        <w:tc>
          <w:tcPr>
            <w:tcW w:w="12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15BD4642" w14:textId="77777777" w:rsidR="003554B3" w:rsidRDefault="00000000">
            <w:pPr>
              <w:spacing w:after="0" w:line="240" w:lineRule="auto"/>
              <w:jc w:val="center"/>
            </w:pPr>
            <w:r>
              <w:rPr>
                <w:sz w:val="17"/>
                <w:szCs w:val="17"/>
              </w:rPr>
              <w:t>+0.99%</w:t>
            </w:r>
          </w:p>
        </w:tc>
        <w:tc>
          <w:tcPr>
            <w:tcW w:w="165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193D108B" w14:textId="77777777" w:rsidR="003554B3" w:rsidRDefault="00000000">
            <w:pPr>
              <w:spacing w:after="0" w:line="240" w:lineRule="auto"/>
              <w:jc w:val="center"/>
            </w:pPr>
            <w:r>
              <w:rPr>
                <w:sz w:val="17"/>
                <w:szCs w:val="17"/>
              </w:rPr>
              <w:t>+0.15 (0.31)</w:t>
            </w:r>
          </w:p>
        </w:tc>
        <w:tc>
          <w:tcPr>
            <w:tcW w:w="165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56B071AC" w14:textId="77777777" w:rsidR="003554B3" w:rsidRDefault="00000000">
            <w:pPr>
              <w:spacing w:after="0" w:line="240" w:lineRule="auto"/>
              <w:jc w:val="center"/>
            </w:pPr>
            <w:r>
              <w:rPr>
                <w:sz w:val="17"/>
                <w:szCs w:val="17"/>
              </w:rPr>
              <w:t>+0.04 (0.32)</w:t>
            </w:r>
          </w:p>
        </w:tc>
      </w:tr>
      <w:tr w:rsidR="003554B3" w14:paraId="1E3514C1" w14:textId="77777777">
        <w:tblPrEx>
          <w:tblCellMar>
            <w:top w:w="0" w:type="dxa"/>
            <w:bottom w:w="0" w:type="dxa"/>
          </w:tblCellMar>
        </w:tblPrEx>
        <w:trPr>
          <w:cantSplit/>
        </w:trPr>
        <w:tc>
          <w:tcPr>
            <w:tcW w:w="18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575B54E0" w14:textId="77777777" w:rsidR="003554B3" w:rsidRDefault="00000000">
            <w:pPr>
              <w:spacing w:after="0" w:line="240" w:lineRule="auto"/>
            </w:pPr>
            <w:r>
              <w:rPr>
                <w:sz w:val="17"/>
                <w:szCs w:val="17"/>
              </w:rPr>
              <w:t>USD 2s10s</w:t>
            </w:r>
          </w:p>
        </w:tc>
        <w:tc>
          <w:tcPr>
            <w:tcW w:w="15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65D3F103" w14:textId="77777777" w:rsidR="003554B3" w:rsidRDefault="00000000">
            <w:pPr>
              <w:spacing w:after="0" w:line="240" w:lineRule="auto"/>
              <w:jc w:val="center"/>
            </w:pPr>
            <w:r>
              <w:rPr>
                <w:sz w:val="17"/>
                <w:szCs w:val="17"/>
              </w:rPr>
              <w:t>+0.01 (0.29)</w:t>
            </w:r>
          </w:p>
        </w:tc>
        <w:tc>
          <w:tcPr>
            <w:tcW w:w="15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0ED1DF8D" w14:textId="77777777" w:rsidR="003554B3" w:rsidRDefault="00000000">
            <w:pPr>
              <w:spacing w:after="0" w:line="240" w:lineRule="auto"/>
              <w:jc w:val="center"/>
            </w:pPr>
            <w:r>
              <w:rPr>
                <w:sz w:val="17"/>
                <w:szCs w:val="17"/>
              </w:rPr>
              <w:t>−0.12 (0.29)</w:t>
            </w:r>
          </w:p>
        </w:tc>
        <w:tc>
          <w:tcPr>
            <w:tcW w:w="12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2479E76F" w14:textId="77777777" w:rsidR="003554B3" w:rsidRDefault="00000000">
            <w:pPr>
              <w:spacing w:after="0" w:line="240" w:lineRule="auto"/>
              <w:jc w:val="center"/>
            </w:pPr>
            <w:r>
              <w:rPr>
                <w:sz w:val="17"/>
                <w:szCs w:val="17"/>
              </w:rPr>
              <w:t>−0.29%</w:t>
            </w:r>
          </w:p>
        </w:tc>
        <w:tc>
          <w:tcPr>
            <w:tcW w:w="165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73B0648A" w14:textId="77777777" w:rsidR="003554B3" w:rsidRDefault="00000000">
            <w:pPr>
              <w:spacing w:after="0" w:line="240" w:lineRule="auto"/>
              <w:jc w:val="center"/>
            </w:pPr>
            <w:r>
              <w:rPr>
                <w:sz w:val="17"/>
                <w:szCs w:val="17"/>
              </w:rPr>
              <w:t>−0.15 (0.31)</w:t>
            </w:r>
          </w:p>
        </w:tc>
        <w:tc>
          <w:tcPr>
            <w:tcW w:w="165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510DEC75" w14:textId="77777777" w:rsidR="003554B3" w:rsidRDefault="00000000">
            <w:pPr>
              <w:spacing w:after="0" w:line="240" w:lineRule="auto"/>
              <w:jc w:val="center"/>
            </w:pPr>
            <w:r>
              <w:rPr>
                <w:sz w:val="17"/>
                <w:szCs w:val="17"/>
              </w:rPr>
              <w:t>−0.19 (0.32)</w:t>
            </w:r>
          </w:p>
        </w:tc>
      </w:tr>
      <w:tr w:rsidR="003554B3" w14:paraId="7EBF8409" w14:textId="77777777">
        <w:tblPrEx>
          <w:tblCellMar>
            <w:top w:w="0" w:type="dxa"/>
            <w:bottom w:w="0" w:type="dxa"/>
          </w:tblCellMar>
        </w:tblPrEx>
        <w:trPr>
          <w:cantSplit/>
        </w:trPr>
        <w:tc>
          <w:tcPr>
            <w:tcW w:w="18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7569F831" w14:textId="77777777" w:rsidR="003554B3" w:rsidRDefault="00000000">
            <w:pPr>
              <w:spacing w:after="0" w:line="240" w:lineRule="auto"/>
            </w:pPr>
            <w:r>
              <w:rPr>
                <w:sz w:val="17"/>
                <w:szCs w:val="17"/>
              </w:rPr>
              <w:t>GBP 2s10s</w:t>
            </w:r>
          </w:p>
        </w:tc>
        <w:tc>
          <w:tcPr>
            <w:tcW w:w="15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7D6365F6" w14:textId="77777777" w:rsidR="003554B3" w:rsidRDefault="00000000">
            <w:pPr>
              <w:spacing w:after="0" w:line="240" w:lineRule="auto"/>
              <w:jc w:val="center"/>
            </w:pPr>
            <w:r>
              <w:rPr>
                <w:sz w:val="17"/>
                <w:szCs w:val="17"/>
              </w:rPr>
              <w:t>−0.36 (0.30)</w:t>
            </w:r>
          </w:p>
        </w:tc>
        <w:tc>
          <w:tcPr>
            <w:tcW w:w="15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694B7970" w14:textId="77777777" w:rsidR="003554B3" w:rsidRDefault="00000000">
            <w:pPr>
              <w:spacing w:after="0" w:line="240" w:lineRule="auto"/>
              <w:jc w:val="center"/>
            </w:pPr>
            <w:r>
              <w:rPr>
                <w:sz w:val="17"/>
                <w:szCs w:val="17"/>
              </w:rPr>
              <w:t>−0.62 (0.32)</w:t>
            </w:r>
          </w:p>
        </w:tc>
        <w:tc>
          <w:tcPr>
            <w:tcW w:w="12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0F7EAD42" w14:textId="77777777" w:rsidR="003554B3" w:rsidRDefault="00000000">
            <w:pPr>
              <w:spacing w:after="0" w:line="240" w:lineRule="auto"/>
              <w:jc w:val="center"/>
            </w:pPr>
            <w:r>
              <w:rPr>
                <w:sz w:val="17"/>
                <w:szCs w:val="17"/>
              </w:rPr>
              <w:t>−1.15%</w:t>
            </w:r>
          </w:p>
        </w:tc>
        <w:tc>
          <w:tcPr>
            <w:tcW w:w="165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09C98237" w14:textId="77777777" w:rsidR="003554B3" w:rsidRDefault="00000000">
            <w:pPr>
              <w:spacing w:after="0" w:line="240" w:lineRule="auto"/>
              <w:jc w:val="center"/>
            </w:pPr>
            <w:r>
              <w:rPr>
                <w:sz w:val="17"/>
                <w:szCs w:val="17"/>
              </w:rPr>
              <w:t>−0.73 (0.34)</w:t>
            </w:r>
          </w:p>
        </w:tc>
        <w:tc>
          <w:tcPr>
            <w:tcW w:w="165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1295252A" w14:textId="77777777" w:rsidR="003554B3" w:rsidRDefault="00000000">
            <w:pPr>
              <w:spacing w:after="0" w:line="240" w:lineRule="auto"/>
              <w:jc w:val="center"/>
            </w:pPr>
            <w:r>
              <w:rPr>
                <w:sz w:val="17"/>
                <w:szCs w:val="17"/>
              </w:rPr>
              <w:t>−0.58 (0.34)</w:t>
            </w:r>
          </w:p>
        </w:tc>
      </w:tr>
      <w:tr w:rsidR="003554B3" w14:paraId="0B1DACE6" w14:textId="77777777">
        <w:tblPrEx>
          <w:tblCellMar>
            <w:top w:w="0" w:type="dxa"/>
            <w:bottom w:w="0" w:type="dxa"/>
          </w:tblCellMar>
        </w:tblPrEx>
        <w:trPr>
          <w:cantSplit/>
        </w:trPr>
        <w:tc>
          <w:tcPr>
            <w:tcW w:w="186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14394DED" w14:textId="77777777" w:rsidR="003554B3" w:rsidRDefault="00000000">
            <w:pPr>
              <w:spacing w:after="0" w:line="240" w:lineRule="auto"/>
            </w:pPr>
            <w:r>
              <w:rPr>
                <w:sz w:val="17"/>
                <w:szCs w:val="17"/>
              </w:rPr>
              <w:t>GBP − USD 2y</w:t>
            </w:r>
          </w:p>
        </w:tc>
        <w:tc>
          <w:tcPr>
            <w:tcW w:w="150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756F2BED" w14:textId="77777777" w:rsidR="003554B3" w:rsidRDefault="00000000">
            <w:pPr>
              <w:spacing w:after="0" w:line="240" w:lineRule="auto"/>
              <w:jc w:val="center"/>
            </w:pPr>
            <w:r>
              <w:rPr>
                <w:sz w:val="17"/>
                <w:szCs w:val="17"/>
              </w:rPr>
              <w:t>−0.15 (0.29)</w:t>
            </w:r>
          </w:p>
        </w:tc>
        <w:tc>
          <w:tcPr>
            <w:tcW w:w="150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44F51118" w14:textId="77777777" w:rsidR="003554B3" w:rsidRDefault="00000000">
            <w:pPr>
              <w:spacing w:after="0" w:line="240" w:lineRule="auto"/>
              <w:jc w:val="center"/>
            </w:pPr>
            <w:r>
              <w:rPr>
                <w:sz w:val="17"/>
                <w:szCs w:val="17"/>
              </w:rPr>
              <w:t>−0.27 (0.30)</w:t>
            </w:r>
          </w:p>
        </w:tc>
        <w:tc>
          <w:tcPr>
            <w:tcW w:w="120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089D9213" w14:textId="77777777" w:rsidR="003554B3" w:rsidRDefault="00000000">
            <w:pPr>
              <w:spacing w:after="0" w:line="240" w:lineRule="auto"/>
              <w:jc w:val="center"/>
            </w:pPr>
            <w:r>
              <w:rPr>
                <w:sz w:val="17"/>
                <w:szCs w:val="17"/>
              </w:rPr>
              <w:t>−0.54%</w:t>
            </w:r>
          </w:p>
        </w:tc>
        <w:tc>
          <w:tcPr>
            <w:tcW w:w="165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1FF999E7" w14:textId="77777777" w:rsidR="003554B3" w:rsidRDefault="00000000">
            <w:pPr>
              <w:spacing w:after="0" w:line="240" w:lineRule="auto"/>
              <w:jc w:val="center"/>
            </w:pPr>
            <w:r>
              <w:rPr>
                <w:sz w:val="17"/>
                <w:szCs w:val="17"/>
              </w:rPr>
              <w:t>−0.48 (0.32)</w:t>
            </w:r>
          </w:p>
        </w:tc>
        <w:tc>
          <w:tcPr>
            <w:tcW w:w="165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4591F2D5" w14:textId="77777777" w:rsidR="003554B3" w:rsidRDefault="00000000">
            <w:pPr>
              <w:spacing w:after="0" w:line="240" w:lineRule="auto"/>
              <w:jc w:val="center"/>
            </w:pPr>
            <w:r>
              <w:rPr>
                <w:sz w:val="17"/>
                <w:szCs w:val="17"/>
              </w:rPr>
              <w:t>−0.62 (0.34)</w:t>
            </w:r>
          </w:p>
        </w:tc>
      </w:tr>
    </w:tbl>
    <w:p w14:paraId="0C7EAD07" w14:textId="77777777" w:rsidR="003554B3" w:rsidRDefault="003554B3">
      <w:pPr>
        <w:spacing w:after="80"/>
      </w:pPr>
    </w:p>
    <w:p w14:paraId="72C0A53B" w14:textId="77777777" w:rsidR="003554B3" w:rsidRDefault="00000000">
      <w:pPr>
        <w:keepNext/>
        <w:spacing w:before="120" w:after="60" w:line="240" w:lineRule="auto"/>
        <w:jc w:val="center"/>
      </w:pPr>
      <w:r>
        <w:rPr>
          <w:noProof/>
        </w:rPr>
        <w:drawing>
          <wp:inline distT="0" distB="0" distL="0" distR="0" wp14:anchorId="43C35246" wp14:editId="37382923">
            <wp:extent cx="5762625" cy="2533650"/>
            <wp:effectExtent l="0" t="0" r="0" b="0"/>
            <wp:docPr id="1479240916" name="Figure 8" descr="Net equity of the book by construction, and the headline book’s net P&amp;L by sleev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2533650"/>
                    </a:xfrm>
                    <a:prstGeom prst="rect">
                      <a:avLst/>
                    </a:prstGeom>
                  </pic:spPr>
                </pic:pic>
              </a:graphicData>
            </a:graphic>
          </wp:inline>
        </w:drawing>
      </w:r>
    </w:p>
    <w:p w14:paraId="638FB168" w14:textId="77777777" w:rsidR="003554B3" w:rsidRDefault="00000000">
      <w:pPr>
        <w:pStyle w:val="FigureCaption"/>
        <w:jc w:val="center"/>
      </w:pPr>
      <w:r>
        <w:rPr>
          <w:b/>
          <w:bCs/>
          <w:color w:val="1F3864"/>
        </w:rPr>
        <w:t xml:space="preserve">Figure </w:t>
      </w:r>
      <w:r>
        <w:rPr>
          <w:b/>
          <w:bCs/>
          <w:color w:val="1F3864"/>
        </w:rPr>
        <w:fldChar w:fldCharType="begin"/>
      </w:r>
      <w:r>
        <w:rPr>
          <w:b/>
          <w:bCs/>
          <w:color w:val="1F3864"/>
        </w:rPr>
        <w:instrText xml:space="preserve"> SEQ Figure \* ARABIC </w:instrText>
      </w:r>
      <w:r>
        <w:rPr>
          <w:b/>
          <w:bCs/>
          <w:color w:val="1F3864"/>
        </w:rPr>
        <w:fldChar w:fldCharType="separate"/>
      </w:r>
      <w:r>
        <w:rPr>
          <w:b/>
          <w:bCs/>
          <w:color w:val="1F3864"/>
        </w:rPr>
        <w:t>8</w:t>
      </w:r>
      <w:r>
        <w:rPr>
          <w:b/>
          <w:bCs/>
          <w:color w:val="1F3864"/>
        </w:rPr>
        <w:fldChar w:fldCharType="end"/>
      </w:r>
      <w:r>
        <w:rPr>
          <w:b/>
          <w:bCs/>
          <w:color w:val="1F3864"/>
        </w:rPr>
        <w:t xml:space="preserve">. </w:t>
      </w:r>
      <w:r>
        <w:t>Net equity of the book by construction, and the headline book’s net P&amp;L by sleeve.</w:t>
      </w:r>
    </w:p>
    <w:p w14:paraId="1A95CF0E" w14:textId="77777777" w:rsidR="003554B3" w:rsidRDefault="00000000">
      <w:r>
        <w:t xml:space="preserve">GBP outright is the only sleeve that earns, and it earns in one window: net Sharpe ratio +1.76 (SE 0.87) while hiking, on 4 trades; excluding this winning period (2022–2023) it nets +0.04. GBP </w:t>
      </w:r>
      <w:proofErr w:type="spellStart"/>
      <w:r>
        <w:t>outright’s</w:t>
      </w:r>
      <w:proofErr w:type="spellEnd"/>
      <w:r>
        <w:t xml:space="preserve"> success depends on this window, a hindsight r* constant, and is sensitive to the coefficients (+0.67 → +0.13).</w:t>
      </w:r>
    </w:p>
    <w:p w14:paraId="003511A0" w14:textId="77777777" w:rsidR="003554B3" w:rsidRDefault="00000000">
      <w:r>
        <w:t xml:space="preserve">63% of the variance of the daily gross P&amp;L is the exposure to the front-end, so the book is closer to a duration timer than it is to a relative value trade. In fact, for the gross P&amp;L, the level exposure earned 0.05% of capital per year, where the rest lost 0.77%. The level sleeves earn +0.22% per year gross and −1.20% net; costs (1.43%) alone turn the level negative (Figure 9). The risk is the level’s; the loss is the </w:t>
      </w:r>
      <w:proofErr w:type="gramStart"/>
      <w:r>
        <w:t>rest’s</w:t>
      </w:r>
      <w:proofErr w:type="gramEnd"/>
      <w:r>
        <w:t>.</w:t>
      </w:r>
    </w:p>
    <w:p w14:paraId="0EF1C9D2" w14:textId="77777777" w:rsidR="003554B3" w:rsidRDefault="00000000">
      <w:pPr>
        <w:keepNext/>
        <w:spacing w:before="120" w:after="60" w:line="240" w:lineRule="auto"/>
        <w:jc w:val="center"/>
      </w:pPr>
      <w:r>
        <w:rPr>
          <w:noProof/>
        </w:rPr>
        <w:lastRenderedPageBreak/>
        <w:drawing>
          <wp:inline distT="0" distB="0" distL="0" distR="0" wp14:anchorId="008EF82A" wp14:editId="07D30B93">
            <wp:extent cx="3933825" cy="2619375"/>
            <wp:effectExtent l="0" t="0" r="0" b="0"/>
            <wp:docPr id="355916275" name="Figure 9" descr="Net equity by component: level, slope and cross-country, with the book gross and net."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933825" cy="2619375"/>
                    </a:xfrm>
                    <a:prstGeom prst="rect">
                      <a:avLst/>
                    </a:prstGeom>
                  </pic:spPr>
                </pic:pic>
              </a:graphicData>
            </a:graphic>
          </wp:inline>
        </w:drawing>
      </w:r>
    </w:p>
    <w:p w14:paraId="6CD83496" w14:textId="77777777" w:rsidR="003554B3" w:rsidRDefault="00000000">
      <w:pPr>
        <w:pStyle w:val="FigureCaption"/>
        <w:jc w:val="center"/>
      </w:pPr>
      <w:r>
        <w:rPr>
          <w:b/>
          <w:bCs/>
          <w:color w:val="1F3864"/>
        </w:rPr>
        <w:t xml:space="preserve">Figure </w:t>
      </w:r>
      <w:r>
        <w:rPr>
          <w:b/>
          <w:bCs/>
          <w:color w:val="1F3864"/>
        </w:rPr>
        <w:fldChar w:fldCharType="begin"/>
      </w:r>
      <w:r>
        <w:rPr>
          <w:b/>
          <w:bCs/>
          <w:color w:val="1F3864"/>
        </w:rPr>
        <w:instrText xml:space="preserve"> SEQ Figure \* ARABIC </w:instrText>
      </w:r>
      <w:r>
        <w:rPr>
          <w:b/>
          <w:bCs/>
          <w:color w:val="1F3864"/>
        </w:rPr>
        <w:fldChar w:fldCharType="separate"/>
      </w:r>
      <w:r>
        <w:rPr>
          <w:b/>
          <w:bCs/>
          <w:color w:val="1F3864"/>
        </w:rPr>
        <w:t>9</w:t>
      </w:r>
      <w:r>
        <w:rPr>
          <w:b/>
          <w:bCs/>
          <w:color w:val="1F3864"/>
        </w:rPr>
        <w:fldChar w:fldCharType="end"/>
      </w:r>
      <w:r>
        <w:rPr>
          <w:b/>
          <w:bCs/>
          <w:color w:val="1F3864"/>
        </w:rPr>
        <w:t xml:space="preserve">. </w:t>
      </w:r>
      <w:r>
        <w:t>Net equity by component: level, slope and cross-country, with the book gross and net.</w:t>
      </w:r>
    </w:p>
    <w:p w14:paraId="3D6648A6" w14:textId="77777777" w:rsidR="003554B3" w:rsidRDefault="00000000">
      <w:pPr>
        <w:pStyle w:val="Heading2"/>
        <w:numPr>
          <w:ilvl w:val="1"/>
          <w:numId w:val="3"/>
        </w:numPr>
      </w:pPr>
      <w:r>
        <w:t>Reaction</w:t>
      </w:r>
    </w:p>
    <w:p w14:paraId="17FDD269" w14:textId="77777777" w:rsidR="003554B3" w:rsidRDefault="00000000">
      <w:r>
        <w:t>Nothing was re-tuned in response. The hysteresis pair was set in config before the grid ran. Similarly, the ELB treatment and construction were fixed before the results.</w:t>
      </w:r>
    </w:p>
    <w:p w14:paraId="7F7DD245" w14:textId="77777777" w:rsidR="003554B3" w:rsidRDefault="00000000">
      <w:pPr>
        <w:pStyle w:val="Heading1"/>
        <w:numPr>
          <w:ilvl w:val="0"/>
          <w:numId w:val="3"/>
        </w:numPr>
      </w:pPr>
      <w:r>
        <w:t>Costs, rolls and breakeven</w:t>
      </w:r>
    </w:p>
    <w:p w14:paraId="18F88FE3" w14:textId="77777777" w:rsidR="003554B3" w:rsidRDefault="00000000">
      <w:pPr>
        <w:pStyle w:val="Heading2"/>
        <w:numPr>
          <w:ilvl w:val="1"/>
          <w:numId w:val="3"/>
        </w:numPr>
      </w:pPr>
      <w:r>
        <w:t>Costs and the roll</w:t>
      </w:r>
    </w:p>
    <w:p w14:paraId="12B4C3D2" w14:textId="77777777" w:rsidR="003554B3" w:rsidRDefault="00000000">
      <w:r>
        <w:t>Turnover explains the costs exactly: 19.8 turns a year × 284k per bp of mean gross DV01 × 0.44 bp one way = 2.47% of capital a year, the cost charged.</w:t>
      </w:r>
    </w:p>
    <w:p w14:paraId="3BC90649" w14:textId="77777777" w:rsidR="003554B3" w:rsidRDefault="00000000">
      <w:r>
        <w:t>Maintenance is 46% of the cost. Rolls alone are 33%, and they are forced: each outright trades the 4</w:t>
      </w:r>
      <w:r>
        <w:rPr>
          <w:vertAlign w:val="superscript"/>
        </w:rPr>
        <w:t>th</w:t>
      </w:r>
      <w:r>
        <w:t xml:space="preserve"> meeting ahead, so every time a meeting passes the position moves to a new contract. The par legs are also re-</w:t>
      </w:r>
      <w:proofErr w:type="gramStart"/>
      <w:r>
        <w:t>struck</w:t>
      </w:r>
      <w:proofErr w:type="gramEnd"/>
      <w:r>
        <w:t xml:space="preserve"> every quarter (13%).</w:t>
      </w:r>
    </w:p>
    <w:p w14:paraId="2A0304CC" w14:textId="77777777" w:rsidR="003554B3" w:rsidRDefault="00000000">
      <w:r>
        <w:t>Gross is already −0.72% per year. No cost treatment makes the book pay (Figure 10).</w:t>
      </w:r>
    </w:p>
    <w:p w14:paraId="50DBDDA0" w14:textId="77777777" w:rsidR="003554B3" w:rsidRDefault="00000000">
      <w:pPr>
        <w:keepNext/>
        <w:spacing w:before="120" w:after="60" w:line="240" w:lineRule="auto"/>
        <w:jc w:val="center"/>
      </w:pPr>
      <w:r>
        <w:rPr>
          <w:noProof/>
        </w:rPr>
        <w:lastRenderedPageBreak/>
        <w:drawing>
          <wp:inline distT="0" distB="0" distL="0" distR="0" wp14:anchorId="466FAF3D" wp14:editId="45A29C47">
            <wp:extent cx="3933825" cy="2657475"/>
            <wp:effectExtent l="0" t="0" r="0" b="0"/>
            <wp:docPr id="788836092" name="Figure 10" descr="The book’s net Sharpe ratio against the round-trip cost assumed."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933825" cy="2657475"/>
                    </a:xfrm>
                    <a:prstGeom prst="rect">
                      <a:avLst/>
                    </a:prstGeom>
                  </pic:spPr>
                </pic:pic>
              </a:graphicData>
            </a:graphic>
          </wp:inline>
        </w:drawing>
      </w:r>
    </w:p>
    <w:p w14:paraId="1DD222F6" w14:textId="77777777" w:rsidR="003554B3" w:rsidRDefault="00000000">
      <w:pPr>
        <w:pStyle w:val="FigureCaption"/>
        <w:jc w:val="center"/>
      </w:pPr>
      <w:r>
        <w:rPr>
          <w:b/>
          <w:bCs/>
          <w:color w:val="1F3864"/>
        </w:rPr>
        <w:t xml:space="preserve">Figure </w:t>
      </w:r>
      <w:r>
        <w:rPr>
          <w:b/>
          <w:bCs/>
          <w:color w:val="1F3864"/>
        </w:rPr>
        <w:fldChar w:fldCharType="begin"/>
      </w:r>
      <w:r>
        <w:rPr>
          <w:b/>
          <w:bCs/>
          <w:color w:val="1F3864"/>
        </w:rPr>
        <w:instrText xml:space="preserve"> SEQ Figure \* ARABIC </w:instrText>
      </w:r>
      <w:r>
        <w:rPr>
          <w:b/>
          <w:bCs/>
          <w:color w:val="1F3864"/>
        </w:rPr>
        <w:fldChar w:fldCharType="separate"/>
      </w:r>
      <w:r>
        <w:rPr>
          <w:b/>
          <w:bCs/>
          <w:color w:val="1F3864"/>
        </w:rPr>
        <w:t>10</w:t>
      </w:r>
      <w:r>
        <w:rPr>
          <w:b/>
          <w:bCs/>
          <w:color w:val="1F3864"/>
        </w:rPr>
        <w:fldChar w:fldCharType="end"/>
      </w:r>
      <w:r>
        <w:rPr>
          <w:b/>
          <w:bCs/>
          <w:color w:val="1F3864"/>
        </w:rPr>
        <w:t xml:space="preserve">. </w:t>
      </w:r>
      <w:r>
        <w:t>The book’s net Sharpe ratio against the round-trip cost assumed.</w:t>
      </w:r>
    </w:p>
    <w:p w14:paraId="2193F70F" w14:textId="77777777" w:rsidR="003554B3" w:rsidRDefault="00000000">
      <w:r>
        <w:t>Even charging rolls at half price, which saves 0.40% (−3.19% → −2.78%), does not change the outcome. There is no breakeven for the portfolio.</w:t>
      </w:r>
    </w:p>
    <w:p w14:paraId="4479BD0F" w14:textId="77777777" w:rsidR="003554B3" w:rsidRDefault="00000000">
      <w:pPr>
        <w:pStyle w:val="Heading2"/>
        <w:numPr>
          <w:ilvl w:val="1"/>
          <w:numId w:val="3"/>
        </w:numPr>
      </w:pPr>
      <w:r>
        <w:t>Breakeven</w:t>
      </w:r>
    </w:p>
    <w:p w14:paraId="0D56D4A6" w14:textId="77777777" w:rsidR="003554B3" w:rsidRDefault="00000000">
      <w:pPr>
        <w:keepNext/>
        <w:spacing w:before="120" w:after="60" w:line="240" w:lineRule="auto"/>
        <w:jc w:val="center"/>
      </w:pPr>
      <w:r>
        <w:rPr>
          <w:noProof/>
        </w:rPr>
        <w:drawing>
          <wp:inline distT="0" distB="0" distL="0" distR="0" wp14:anchorId="0A521B2D" wp14:editId="0AE9367D">
            <wp:extent cx="5762625" cy="2809875"/>
            <wp:effectExtent l="0" t="0" r="0" b="0"/>
            <wp:docPr id="1706035542" name="Figure 11" descr="Carry and roll against the side held, by sleeve, and what those signals earned."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2809875"/>
                    </a:xfrm>
                    <a:prstGeom prst="rect">
                      <a:avLst/>
                    </a:prstGeom>
                  </pic:spPr>
                </pic:pic>
              </a:graphicData>
            </a:graphic>
          </wp:inline>
        </w:drawing>
      </w:r>
    </w:p>
    <w:p w14:paraId="5728A2DE" w14:textId="77777777" w:rsidR="003554B3" w:rsidRDefault="00000000">
      <w:pPr>
        <w:pStyle w:val="FigureCaption"/>
        <w:jc w:val="center"/>
      </w:pPr>
      <w:r>
        <w:rPr>
          <w:b/>
          <w:bCs/>
          <w:color w:val="1F3864"/>
        </w:rPr>
        <w:t xml:space="preserve">Figure </w:t>
      </w:r>
      <w:r>
        <w:rPr>
          <w:b/>
          <w:bCs/>
          <w:color w:val="1F3864"/>
        </w:rPr>
        <w:fldChar w:fldCharType="begin"/>
      </w:r>
      <w:r>
        <w:rPr>
          <w:b/>
          <w:bCs/>
          <w:color w:val="1F3864"/>
        </w:rPr>
        <w:instrText xml:space="preserve"> SEQ Figure \* ARABIC </w:instrText>
      </w:r>
      <w:r>
        <w:rPr>
          <w:b/>
          <w:bCs/>
          <w:color w:val="1F3864"/>
        </w:rPr>
        <w:fldChar w:fldCharType="separate"/>
      </w:r>
      <w:r>
        <w:rPr>
          <w:b/>
          <w:bCs/>
          <w:color w:val="1F3864"/>
        </w:rPr>
        <w:t>11</w:t>
      </w:r>
      <w:r>
        <w:rPr>
          <w:b/>
          <w:bCs/>
          <w:color w:val="1F3864"/>
        </w:rPr>
        <w:fldChar w:fldCharType="end"/>
      </w:r>
      <w:r>
        <w:rPr>
          <w:b/>
          <w:bCs/>
          <w:color w:val="1F3864"/>
        </w:rPr>
        <w:t xml:space="preserve">. </w:t>
      </w:r>
      <w:r>
        <w:t>Carry and roll against the side held, by sleeve, and what those signals earned.</w:t>
      </w:r>
    </w:p>
    <w:p w14:paraId="4CFD1230" w14:textId="77777777" w:rsidR="003554B3" w:rsidRDefault="00000000">
      <w:r>
        <w:t xml:space="preserve">Figure 11 shows that carry and roll ran against 53% of the signals, and those signals didn’t earn less. The right but bleeding moniker best applies to GBP </w:t>
      </w:r>
      <w:proofErr w:type="spellStart"/>
      <w:r>
        <w:t>outrights</w:t>
      </w:r>
      <w:proofErr w:type="spellEnd"/>
      <w:r>
        <w:t xml:space="preserve"> and USD 2s10s. For others, such as USD outright and GBP 2s10s, they are wrong and bleeding. GBP – USD 2y collected carry but was wrong on the rate.</w:t>
      </w:r>
    </w:p>
    <w:p w14:paraId="23AF98BA" w14:textId="77777777" w:rsidR="003554B3" w:rsidRDefault="00000000">
      <w:r>
        <w:t xml:space="preserve">To </w:t>
      </w:r>
      <w:proofErr w:type="gramStart"/>
      <w:r>
        <w:t>net</w:t>
      </w:r>
      <w:proofErr w:type="gramEnd"/>
      <w:r>
        <w:t xml:space="preserve"> zero, the rate calls must pay the costs less carry and roll. They earned +1.36% a year against +4.55% needed: 3.3 times short.</w:t>
      </w:r>
    </w:p>
    <w:p w14:paraId="2282D085" w14:textId="77777777" w:rsidR="003554B3" w:rsidRDefault="00000000">
      <w:r>
        <w:t>Only GBP outright clears. Its position has a correlation of +0.036 with the daily rate move, against a needed +0.022.</w:t>
      </w:r>
    </w:p>
    <w:p w14:paraId="0F863398" w14:textId="77777777" w:rsidR="003554B3" w:rsidRDefault="00000000">
      <w:pPr>
        <w:pStyle w:val="Heading1"/>
        <w:numPr>
          <w:ilvl w:val="0"/>
          <w:numId w:val="3"/>
        </w:numPr>
      </w:pPr>
      <w:r>
        <w:lastRenderedPageBreak/>
        <w:t>Carry filter</w:t>
      </w:r>
    </w:p>
    <w:p w14:paraId="2A760751" w14:textId="77777777" w:rsidR="003554B3" w:rsidRDefault="00000000">
      <w:r>
        <w:t>The carry filter was specified in advance as a diagnostic. At each entry it asks whether the expected quarter (the share of the gap that has historically closed, plus carry and roll on the rest) is below zero and skips the entry if so. It skips 16 of 104 entries (15%). That lifts the book’s net Sharpe ratio from −0.61 to −0.51 on the common sample, +0.10 with a paired SE of 0.05. The effect is statistically real, about two paired SEs, and economically irrelevant. The book still loses, and the filter stays off in the headline.</w:t>
      </w:r>
    </w:p>
    <w:p w14:paraId="0D0371A4" w14:textId="77777777" w:rsidR="003554B3" w:rsidRDefault="00000000">
      <w:pPr>
        <w:pStyle w:val="Heading1"/>
        <w:numPr>
          <w:ilvl w:val="0"/>
          <w:numId w:val="3"/>
        </w:numPr>
      </w:pPr>
      <w:r>
        <w:t>Robustness</w:t>
      </w:r>
    </w:p>
    <w:p w14:paraId="582B516E" w14:textId="77777777" w:rsidR="003554B3" w:rsidRDefault="00000000">
      <w:r>
        <w:t xml:space="preserve">No single choice turns the loss into a gain: across 13 rows the net Sharpe ratio runs from −0.70 to −0.29 (Figure 12). The aggregate hides the sleeve: GBP outright, the one sleeve that earns in every row, falls from +0.67 to +0.13–0.15 </w:t>
      </w:r>
      <w:proofErr w:type="gramStart"/>
      <w:r>
        <w:t>under estimated</w:t>
      </w:r>
      <w:proofErr w:type="gramEnd"/>
      <w:r>
        <w:t xml:space="preserve"> coefficients.</w:t>
      </w:r>
    </w:p>
    <w:p w14:paraId="10DFD34A" w14:textId="77777777" w:rsidR="003554B3" w:rsidRDefault="00000000">
      <w:pPr>
        <w:keepNext/>
        <w:spacing w:before="120" w:after="60" w:line="240" w:lineRule="auto"/>
        <w:jc w:val="center"/>
      </w:pPr>
      <w:r>
        <w:rPr>
          <w:noProof/>
        </w:rPr>
        <w:drawing>
          <wp:inline distT="0" distB="0" distL="0" distR="0" wp14:anchorId="2FDC022C" wp14:editId="264C24A2">
            <wp:extent cx="5029200" cy="3590925"/>
            <wp:effectExtent l="0" t="0" r="0" b="0"/>
            <wp:docPr id="1547758537" name="Figure 12" descr="The headline book’s net Sharpe ratio with one choice at a time moved off the chosen specification."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29200" cy="3590925"/>
                    </a:xfrm>
                    <a:prstGeom prst="rect">
                      <a:avLst/>
                    </a:prstGeom>
                  </pic:spPr>
                </pic:pic>
              </a:graphicData>
            </a:graphic>
          </wp:inline>
        </w:drawing>
      </w:r>
    </w:p>
    <w:p w14:paraId="75B967B1" w14:textId="77777777" w:rsidR="003554B3" w:rsidRDefault="00000000">
      <w:pPr>
        <w:pStyle w:val="FigureCaption"/>
        <w:jc w:val="center"/>
      </w:pPr>
      <w:r>
        <w:rPr>
          <w:b/>
          <w:bCs/>
          <w:color w:val="1F3864"/>
        </w:rPr>
        <w:t xml:space="preserve">Figure </w:t>
      </w:r>
      <w:r>
        <w:rPr>
          <w:b/>
          <w:bCs/>
          <w:color w:val="1F3864"/>
        </w:rPr>
        <w:fldChar w:fldCharType="begin"/>
      </w:r>
      <w:r>
        <w:rPr>
          <w:b/>
          <w:bCs/>
          <w:color w:val="1F3864"/>
        </w:rPr>
        <w:instrText xml:space="preserve"> SEQ Figure \* ARABIC </w:instrText>
      </w:r>
      <w:r>
        <w:rPr>
          <w:b/>
          <w:bCs/>
          <w:color w:val="1F3864"/>
        </w:rPr>
        <w:fldChar w:fldCharType="separate"/>
      </w:r>
      <w:r>
        <w:rPr>
          <w:b/>
          <w:bCs/>
          <w:color w:val="1F3864"/>
        </w:rPr>
        <w:t>12</w:t>
      </w:r>
      <w:r>
        <w:rPr>
          <w:b/>
          <w:bCs/>
          <w:color w:val="1F3864"/>
        </w:rPr>
        <w:fldChar w:fldCharType="end"/>
      </w:r>
      <w:r>
        <w:rPr>
          <w:b/>
          <w:bCs/>
          <w:color w:val="1F3864"/>
        </w:rPr>
        <w:t xml:space="preserve">. </w:t>
      </w:r>
      <w:r>
        <w:t>The headline book’s net Sharpe ratio with one choice at a time moved off the chosen specification.</w:t>
      </w:r>
    </w:p>
    <w:p w14:paraId="64CBD8C6" w14:textId="77777777" w:rsidR="003554B3" w:rsidRDefault="00000000">
      <w:pPr>
        <w:pStyle w:val="Heading1"/>
        <w:numPr>
          <w:ilvl w:val="0"/>
          <w:numId w:val="3"/>
        </w:numPr>
      </w:pPr>
      <w:r>
        <w:t>Conclusion</w:t>
      </w:r>
    </w:p>
    <w:p w14:paraId="7B481E49" w14:textId="4B98EC84" w:rsidR="003554B3" w:rsidRDefault="00000000">
      <w:r>
        <w:t>The market prices the policy path below the Fed’s published rule, in USD in every year from 2014 to 2026. Standardized, the gap doesn’t forecast rate changes. In USD it points the wrong way, consistent with the Fed moving toward the market rather than the reverse. GBP outright forecasts, but its gain is concentrated in 202</w:t>
      </w:r>
      <w:r w:rsidR="00AD549A">
        <w:t>2</w:t>
      </w:r>
      <w:r>
        <w:t>–23 and depends on a hindsight r* and the coefficients, so it isn’t claimed. The book loses before costs. Costs, half of them maintenance the construction forces, make it worse. No single choice in the robustness grid, and not the carry filter, turns it positive. What would change this is mostly about GBP outright and a sign-flipped USD trade, which leads straight into the list that follows.</w:t>
      </w:r>
    </w:p>
    <w:p w14:paraId="18BEC81D" w14:textId="77777777" w:rsidR="003554B3" w:rsidRDefault="00000000">
      <w:pPr>
        <w:pStyle w:val="Heading1"/>
        <w:numPr>
          <w:ilvl w:val="0"/>
          <w:numId w:val="3"/>
        </w:numPr>
      </w:pPr>
      <w:r>
        <w:lastRenderedPageBreak/>
        <w:t>What would change my view</w:t>
      </w:r>
    </w:p>
    <w:p w14:paraId="6A0FC218" w14:textId="77777777" w:rsidR="003554B3" w:rsidRDefault="00000000">
      <w:pPr>
        <w:keepNext/>
      </w:pPr>
      <w:r>
        <w:t>Any of these would change my view:</w:t>
      </w:r>
    </w:p>
    <w:p w14:paraId="79961072" w14:textId="2E1ED472" w:rsidR="003554B3" w:rsidRDefault="00000000">
      <w:pPr>
        <w:pStyle w:val="ListParagraph"/>
        <w:numPr>
          <w:ilvl w:val="0"/>
          <w:numId w:val="4"/>
        </w:numPr>
        <w:spacing w:after="60"/>
      </w:pPr>
      <w:r>
        <w:t>GBP outright holding up outside 202</w:t>
      </w:r>
      <w:r w:rsidR="00944D86">
        <w:t>2</w:t>
      </w:r>
      <w:r>
        <w:t>–2023</w:t>
      </w:r>
    </w:p>
    <w:p w14:paraId="0D01DDAD" w14:textId="77777777" w:rsidR="003554B3" w:rsidRDefault="00000000">
      <w:pPr>
        <w:pStyle w:val="ListParagraph"/>
        <w:numPr>
          <w:ilvl w:val="0"/>
          <w:numId w:val="4"/>
        </w:numPr>
        <w:spacing w:after="60"/>
      </w:pPr>
      <w:r>
        <w:t>Quote-based ZQ costs, or calendar-spread roll pricing, that turn GBP net clearly positive (Figure 13)</w:t>
      </w:r>
    </w:p>
    <w:p w14:paraId="1BA1FDDB" w14:textId="77777777" w:rsidR="003554B3" w:rsidRDefault="00000000">
      <w:pPr>
        <w:pStyle w:val="ListParagraph"/>
        <w:numPr>
          <w:ilvl w:val="0"/>
          <w:numId w:val="4"/>
        </w:numPr>
        <w:spacing w:after="60"/>
      </w:pPr>
      <w:r>
        <w:t>A sign-flipped USD trade, betting that the market leads the Fed, that earns out of sample, registered before it is judged</w:t>
      </w:r>
    </w:p>
    <w:p w14:paraId="30948364" w14:textId="77777777" w:rsidR="003554B3" w:rsidRDefault="00000000">
      <w:pPr>
        <w:pStyle w:val="ListParagraph"/>
        <w:numPr>
          <w:ilvl w:val="0"/>
          <w:numId w:val="4"/>
        </w:numPr>
        <w:spacing w:after="60"/>
      </w:pPr>
      <w:r>
        <w:t>A more harmonized r* across currencies</w:t>
      </w:r>
    </w:p>
    <w:p w14:paraId="4C815C15" w14:textId="77777777" w:rsidR="003554B3" w:rsidRDefault="00000000">
      <w:pPr>
        <w:pStyle w:val="ListParagraph"/>
        <w:numPr>
          <w:ilvl w:val="0"/>
          <w:numId w:val="4"/>
        </w:numPr>
        <w:spacing w:after="60"/>
      </w:pPr>
      <w:r>
        <w:t>Calendar-anchored signal which would remove the forced roll</w:t>
      </w:r>
    </w:p>
    <w:p w14:paraId="19B679C8" w14:textId="77777777" w:rsidR="003554B3" w:rsidRDefault="00000000">
      <w:pPr>
        <w:pStyle w:val="ListParagraph"/>
        <w:numPr>
          <w:ilvl w:val="0"/>
          <w:numId w:val="4"/>
        </w:numPr>
        <w:spacing w:after="60"/>
      </w:pPr>
      <w:r>
        <w:t>More currencies such as EUR or AUD</w:t>
      </w:r>
    </w:p>
    <w:p w14:paraId="086AB391" w14:textId="77777777" w:rsidR="003554B3" w:rsidRDefault="00000000">
      <w:pPr>
        <w:pStyle w:val="Heading1"/>
        <w:numPr>
          <w:ilvl w:val="0"/>
          <w:numId w:val="3"/>
        </w:numPr>
      </w:pPr>
      <w:r>
        <w:t>Limitations</w:t>
      </w:r>
    </w:p>
    <w:p w14:paraId="00778737" w14:textId="77777777" w:rsidR="003554B3" w:rsidRDefault="00000000">
      <w:pPr>
        <w:pStyle w:val="ListParagraph"/>
        <w:numPr>
          <w:ilvl w:val="0"/>
          <w:numId w:val="5"/>
        </w:numPr>
        <w:spacing w:after="60"/>
      </w:pPr>
      <w:r>
        <w:t>GBP r* is a hindsight constant (−1.6%, the 2009–26 average real Bank Rate)</w:t>
      </w:r>
    </w:p>
    <w:p w14:paraId="048AEBAD" w14:textId="77777777" w:rsidR="003554B3" w:rsidRDefault="00000000">
      <w:pPr>
        <w:pStyle w:val="ListParagraph"/>
        <w:numPr>
          <w:ilvl w:val="0"/>
          <w:numId w:val="5"/>
        </w:numPr>
        <w:spacing w:after="60"/>
      </w:pPr>
      <w:r>
        <w:t>GBP u* is a constant 4.5%, not a real-time estimate</w:t>
      </w:r>
    </w:p>
    <w:p w14:paraId="60800325" w14:textId="77777777" w:rsidR="003554B3" w:rsidRDefault="00000000">
      <w:pPr>
        <w:pStyle w:val="ListParagraph"/>
        <w:numPr>
          <w:ilvl w:val="0"/>
          <w:numId w:val="5"/>
        </w:numPr>
        <w:spacing w:after="60"/>
      </w:pPr>
      <w:r>
        <w:t>UK labor data: LFS was suspended from October 2023 to January 2024</w:t>
      </w:r>
    </w:p>
    <w:p w14:paraId="2A0589BA" w14:textId="77777777" w:rsidR="003554B3" w:rsidRDefault="00000000">
      <w:pPr>
        <w:pStyle w:val="ListParagraph"/>
        <w:numPr>
          <w:ilvl w:val="0"/>
          <w:numId w:val="5"/>
        </w:numPr>
        <w:spacing w:after="60"/>
      </w:pPr>
      <w:r>
        <w:t>First z’s after lift-off are standardized against a window that is mostly ELB sessions</w:t>
      </w:r>
    </w:p>
    <w:p w14:paraId="318172A6" w14:textId="77777777" w:rsidR="003554B3" w:rsidRDefault="00000000">
      <w:pPr>
        <w:pStyle w:val="ListParagraph"/>
        <w:numPr>
          <w:ilvl w:val="0"/>
          <w:numId w:val="5"/>
        </w:numPr>
        <w:spacing w:after="60"/>
      </w:pPr>
      <w:r>
        <w:t>There is no bid-offer data, ZQ’s cost is its tick</w:t>
      </w:r>
    </w:p>
    <w:p w14:paraId="4E18081F" w14:textId="77777777" w:rsidR="003554B3" w:rsidRDefault="00000000">
      <w:pPr>
        <w:pStyle w:val="ListParagraph"/>
        <w:numPr>
          <w:ilvl w:val="0"/>
          <w:numId w:val="5"/>
        </w:numPr>
        <w:spacing w:after="60"/>
      </w:pPr>
      <w:r>
        <w:t>Settlements may be preliminary</w:t>
      </w:r>
    </w:p>
    <w:p w14:paraId="0AFC617C" w14:textId="77777777" w:rsidR="003554B3" w:rsidRDefault="00000000">
      <w:pPr>
        <w:pStyle w:val="ListParagraph"/>
        <w:numPr>
          <w:ilvl w:val="0"/>
          <w:numId w:val="5"/>
        </w:numPr>
        <w:spacing w:after="60"/>
      </w:pPr>
      <w:r>
        <w:t>Only 2 currencies currently and 2 hiking cycles</w:t>
      </w:r>
    </w:p>
    <w:p w14:paraId="0F348BD2" w14:textId="77777777" w:rsidR="003554B3" w:rsidRDefault="00000000">
      <w:pPr>
        <w:pStyle w:val="ListParagraph"/>
        <w:numPr>
          <w:ilvl w:val="0"/>
          <w:numId w:val="5"/>
        </w:numPr>
        <w:spacing w:after="60"/>
      </w:pPr>
      <w:r>
        <w:t>Overlapping windows inflate t-stats</w:t>
      </w:r>
    </w:p>
    <w:p w14:paraId="6DE4AC7C" w14:textId="77777777" w:rsidR="003554B3" w:rsidRDefault="00000000">
      <w:pPr>
        <w:pStyle w:val="Heading1"/>
      </w:pPr>
      <w:r>
        <w:t>References</w:t>
      </w:r>
    </w:p>
    <w:p w14:paraId="78BA0FE6" w14:textId="77777777" w:rsidR="003554B3" w:rsidRDefault="00000000">
      <w:pPr>
        <w:spacing w:after="100"/>
        <w:ind w:left="360" w:hanging="360"/>
      </w:pPr>
      <w:r>
        <w:rPr>
          <w:sz w:val="19"/>
          <w:szCs w:val="19"/>
        </w:rPr>
        <w:t xml:space="preserve">Bank of England. Yield curve data: OIS spot curve. And </w:t>
      </w:r>
      <w:r>
        <w:rPr>
          <w:i/>
          <w:iCs/>
          <w:sz w:val="19"/>
          <w:szCs w:val="19"/>
        </w:rPr>
        <w:t>Monetary Policy Report</w:t>
      </w:r>
      <w:r>
        <w:rPr>
          <w:sz w:val="19"/>
          <w:szCs w:val="19"/>
        </w:rPr>
        <w:t>, market-implied conditioning paths</w:t>
      </w:r>
      <w:r>
        <w:t>.</w:t>
      </w:r>
    </w:p>
    <w:p w14:paraId="1500D854" w14:textId="77777777" w:rsidR="003554B3" w:rsidRDefault="00000000">
      <w:pPr>
        <w:spacing w:after="100"/>
        <w:ind w:left="360" w:hanging="360"/>
      </w:pPr>
      <w:r>
        <w:rPr>
          <w:sz w:val="19"/>
          <w:szCs w:val="19"/>
        </w:rPr>
        <w:t xml:space="preserve">Board of Governors of the Federal Reserve System. </w:t>
      </w:r>
      <w:r>
        <w:rPr>
          <w:i/>
          <w:iCs/>
          <w:sz w:val="19"/>
          <w:szCs w:val="19"/>
        </w:rPr>
        <w:t>Monetary Policy Report</w:t>
      </w:r>
      <w:r>
        <w:rPr>
          <w:sz w:val="19"/>
          <w:szCs w:val="19"/>
        </w:rPr>
        <w:t xml:space="preserve">, the section on monetary policy rules (the </w:t>
      </w:r>
      <w:proofErr w:type="gramStart"/>
      <w:r>
        <w:rPr>
          <w:sz w:val="19"/>
          <w:szCs w:val="19"/>
        </w:rPr>
        <w:t>balanced-approach</w:t>
      </w:r>
      <w:proofErr w:type="gramEnd"/>
      <w:r>
        <w:rPr>
          <w:sz w:val="19"/>
          <w:szCs w:val="19"/>
        </w:rPr>
        <w:t xml:space="preserve"> and inertial rules)</w:t>
      </w:r>
      <w:r>
        <w:t>.</w:t>
      </w:r>
    </w:p>
    <w:p w14:paraId="5C77C609" w14:textId="77777777" w:rsidR="003554B3" w:rsidRDefault="00000000">
      <w:pPr>
        <w:spacing w:after="100"/>
        <w:ind w:left="360" w:hanging="360"/>
      </w:pPr>
      <w:r>
        <w:rPr>
          <w:sz w:val="19"/>
          <w:szCs w:val="19"/>
        </w:rPr>
        <w:t xml:space="preserve">Board of Governors of the Federal Reserve System. </w:t>
      </w:r>
      <w:r>
        <w:rPr>
          <w:i/>
          <w:iCs/>
          <w:sz w:val="19"/>
          <w:szCs w:val="19"/>
        </w:rPr>
        <w:t>Summary of Economic Projections</w:t>
      </w:r>
      <w:r>
        <w:rPr>
          <w:sz w:val="19"/>
          <w:szCs w:val="19"/>
        </w:rPr>
        <w:t>, longer-run federal funds rate median, 2012–2026</w:t>
      </w:r>
      <w:r>
        <w:t>.</w:t>
      </w:r>
    </w:p>
    <w:p w14:paraId="79F537F5" w14:textId="77777777" w:rsidR="003554B3" w:rsidRDefault="00000000">
      <w:pPr>
        <w:spacing w:after="100"/>
        <w:ind w:left="360" w:hanging="360"/>
      </w:pPr>
      <w:r>
        <w:rPr>
          <w:sz w:val="19"/>
          <w:szCs w:val="19"/>
        </w:rPr>
        <w:t>CME Group. Contract specifications: 30-Day Federal Funds futures (ZQ) and One-Month SOFR futures (SR1)</w:t>
      </w:r>
      <w:r>
        <w:t>.</w:t>
      </w:r>
    </w:p>
    <w:p w14:paraId="4F70B966" w14:textId="77777777" w:rsidR="003554B3" w:rsidRDefault="00000000">
      <w:pPr>
        <w:spacing w:after="100"/>
        <w:ind w:left="360" w:hanging="360"/>
      </w:pPr>
      <w:r>
        <w:rPr>
          <w:sz w:val="19"/>
          <w:szCs w:val="19"/>
        </w:rPr>
        <w:t>Congressional Budget Office. Noncyclical rate of unemployment (FRED series NROU), real-time vintages via ALFRED, Federal Reserve Bank of St. Louis</w:t>
      </w:r>
      <w:r>
        <w:t>.</w:t>
      </w:r>
    </w:p>
    <w:p w14:paraId="32856096" w14:textId="77777777" w:rsidR="003554B3" w:rsidRDefault="00000000">
      <w:pPr>
        <w:spacing w:after="100"/>
        <w:ind w:left="360" w:hanging="360"/>
      </w:pPr>
      <w:r>
        <w:rPr>
          <w:sz w:val="19"/>
          <w:szCs w:val="19"/>
        </w:rPr>
        <w:t xml:space="preserve">Holston, K., Laubach, T., and Williams, J. C. (2017). “Measuring the natural rate of interest: International trends and determinants.” </w:t>
      </w:r>
      <w:r>
        <w:rPr>
          <w:i/>
          <w:iCs/>
          <w:sz w:val="19"/>
          <w:szCs w:val="19"/>
        </w:rPr>
        <w:t>Journal of International Economics</w:t>
      </w:r>
      <w:r>
        <w:rPr>
          <w:sz w:val="19"/>
          <w:szCs w:val="19"/>
        </w:rPr>
        <w:t xml:space="preserve"> 108: S59–S75. Real-time estimates from the Federal Reserve Bank of New York</w:t>
      </w:r>
      <w:r>
        <w:t>.</w:t>
      </w:r>
    </w:p>
    <w:p w14:paraId="41D72EDD" w14:textId="77777777" w:rsidR="003554B3" w:rsidRDefault="00000000">
      <w:pPr>
        <w:spacing w:after="100"/>
        <w:ind w:left="360" w:hanging="360"/>
      </w:pPr>
      <w:r>
        <w:rPr>
          <w:sz w:val="19"/>
          <w:szCs w:val="19"/>
        </w:rPr>
        <w:t>Office for National Statistics. CPI 12-month rate (D7G7) and LFS unemployment rate (MGSX)</w:t>
      </w:r>
      <w:r>
        <w:t>.</w:t>
      </w:r>
    </w:p>
    <w:p w14:paraId="772D9BFD" w14:textId="77777777" w:rsidR="003554B3" w:rsidRDefault="00000000">
      <w:pPr>
        <w:spacing w:after="100"/>
        <w:ind w:left="360" w:hanging="360"/>
      </w:pPr>
      <w:r>
        <w:rPr>
          <w:sz w:val="19"/>
          <w:szCs w:val="19"/>
        </w:rPr>
        <w:t xml:space="preserve">Taylor, J. B. (1993). “Discretion versus policy rules in practice.” </w:t>
      </w:r>
      <w:r>
        <w:rPr>
          <w:i/>
          <w:iCs/>
          <w:sz w:val="19"/>
          <w:szCs w:val="19"/>
        </w:rPr>
        <w:t>Carnegie-Rochester Conference Series on Public Policy</w:t>
      </w:r>
      <w:r>
        <w:rPr>
          <w:sz w:val="19"/>
          <w:szCs w:val="19"/>
        </w:rPr>
        <w:t xml:space="preserve"> 39: 195–214</w:t>
      </w:r>
      <w:r>
        <w:t>.</w:t>
      </w:r>
    </w:p>
    <w:p w14:paraId="2BC63298" w14:textId="77777777" w:rsidR="003554B3" w:rsidRDefault="00000000">
      <w:pPr>
        <w:pStyle w:val="Heading1"/>
        <w:pageBreakBefore/>
      </w:pPr>
      <w:r>
        <w:lastRenderedPageBreak/>
        <w:t>Appendix: cost sensitivity by sleeve</w:t>
      </w:r>
    </w:p>
    <w:p w14:paraId="6D8FCA75" w14:textId="77777777" w:rsidR="003554B3" w:rsidRDefault="00000000">
      <w:pPr>
        <w:keepNext/>
        <w:spacing w:before="120" w:after="60" w:line="240" w:lineRule="auto"/>
        <w:jc w:val="center"/>
      </w:pPr>
      <w:r>
        <w:rPr>
          <w:noProof/>
        </w:rPr>
        <w:drawing>
          <wp:inline distT="0" distB="0" distL="0" distR="0" wp14:anchorId="52261BBD" wp14:editId="1B03070A">
            <wp:extent cx="5762625" cy="3800475"/>
            <wp:effectExtent l="0" t="0" r="0" b="0"/>
            <wp:docPr id="1430236270" name="Figure 13" descr="Net Sharpe ratio against a uniform round-trip cost, by sleeve (the sum of the sleeves, not the book)."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3800475"/>
                    </a:xfrm>
                    <a:prstGeom prst="rect">
                      <a:avLst/>
                    </a:prstGeom>
                  </pic:spPr>
                </pic:pic>
              </a:graphicData>
            </a:graphic>
          </wp:inline>
        </w:drawing>
      </w:r>
    </w:p>
    <w:p w14:paraId="4056D128" w14:textId="77777777" w:rsidR="003554B3" w:rsidRDefault="00000000">
      <w:pPr>
        <w:pStyle w:val="FigureCaption"/>
        <w:jc w:val="center"/>
      </w:pPr>
      <w:r>
        <w:rPr>
          <w:b/>
          <w:bCs/>
          <w:color w:val="1F3864"/>
        </w:rPr>
        <w:t xml:space="preserve">Figure </w:t>
      </w:r>
      <w:r>
        <w:rPr>
          <w:b/>
          <w:bCs/>
          <w:color w:val="1F3864"/>
        </w:rPr>
        <w:fldChar w:fldCharType="begin"/>
      </w:r>
      <w:r>
        <w:rPr>
          <w:b/>
          <w:bCs/>
          <w:color w:val="1F3864"/>
        </w:rPr>
        <w:instrText xml:space="preserve"> SEQ Figure \* ARABIC </w:instrText>
      </w:r>
      <w:r>
        <w:rPr>
          <w:b/>
          <w:bCs/>
          <w:color w:val="1F3864"/>
        </w:rPr>
        <w:fldChar w:fldCharType="separate"/>
      </w:r>
      <w:r>
        <w:rPr>
          <w:b/>
          <w:bCs/>
          <w:color w:val="1F3864"/>
        </w:rPr>
        <w:t>13</w:t>
      </w:r>
      <w:r>
        <w:rPr>
          <w:b/>
          <w:bCs/>
          <w:color w:val="1F3864"/>
        </w:rPr>
        <w:fldChar w:fldCharType="end"/>
      </w:r>
      <w:r>
        <w:rPr>
          <w:b/>
          <w:bCs/>
          <w:color w:val="1F3864"/>
        </w:rPr>
        <w:t xml:space="preserve">. </w:t>
      </w:r>
      <w:r>
        <w:t>Net Sharpe ratio against a uniform round-trip cost, by sleeve (the sum of the sleeves, not the book).</w:t>
      </w:r>
    </w:p>
    <w:p w14:paraId="5DA2BFAD" w14:textId="77777777" w:rsidR="003554B3" w:rsidRDefault="00000000">
      <w:pPr>
        <w:pStyle w:val="FigureCaption"/>
        <w:jc w:val="center"/>
      </w:pPr>
      <w:r>
        <w:rPr>
          <w:i/>
          <w:iCs/>
        </w:rPr>
        <w:t>Coverage: ZQ 99.68% of Fed business days. 0 solver failures in either currency.</w:t>
      </w:r>
    </w:p>
    <w:sectPr w:rsidR="003554B3">
      <w:headerReference w:type="default" r:id="rId20"/>
      <w:footerReference w:type="default" r:id="rId21"/>
      <w:headerReference w:type="first" r:id="rId22"/>
      <w:footerReference w:type="first" r:id="rId23"/>
      <w:pgSz w:w="12240" w:h="15840"/>
      <w:pgMar w:top="1300" w:right="1440" w:bottom="1200" w:left="1440"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2ABEC" w14:textId="77777777" w:rsidR="005F64EC" w:rsidRDefault="005F64EC">
      <w:pPr>
        <w:spacing w:after="0" w:line="240" w:lineRule="auto"/>
      </w:pPr>
      <w:r>
        <w:separator/>
      </w:r>
    </w:p>
  </w:endnote>
  <w:endnote w:type="continuationSeparator" w:id="0">
    <w:p w14:paraId="45120AB7" w14:textId="77777777" w:rsidR="005F64EC" w:rsidRDefault="005F64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BF61B" w14:textId="77777777" w:rsidR="003554B3" w:rsidRDefault="00000000">
    <w:pPr>
      <w:jc w:val="center"/>
    </w:pPr>
    <w:r>
      <w:rPr>
        <w:color w:val="595959"/>
        <w:sz w:val="16"/>
        <w:szCs w:val="16"/>
      </w:rPr>
      <w:fldChar w:fldCharType="begin"/>
    </w:r>
    <w:r>
      <w:rPr>
        <w:color w:val="595959"/>
        <w:sz w:val="16"/>
        <w:szCs w:val="16"/>
      </w:rPr>
      <w:instrText>PAGE</w:instrText>
    </w:r>
    <w:r>
      <w:rPr>
        <w:color w:val="595959"/>
        <w:sz w:val="16"/>
        <w:szCs w:val="16"/>
      </w:rPr>
      <w:fldChar w:fldCharType="separate"/>
    </w:r>
    <w:r w:rsidR="00AD549A">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AD549A">
      <w:rPr>
        <w:noProof/>
        <w:color w:val="595959"/>
        <w:sz w:val="16"/>
        <w:szCs w:val="16"/>
      </w:rPr>
      <w:t>3</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CF70F" w14:textId="77777777" w:rsidR="003554B3" w:rsidRDefault="00000000">
    <w:pPr>
      <w:jc w:val="center"/>
    </w:pPr>
    <w:r>
      <w:rPr>
        <w:color w:val="595959"/>
        <w:sz w:val="16"/>
        <w:szCs w:val="16"/>
      </w:rPr>
      <w:fldChar w:fldCharType="begin"/>
    </w:r>
    <w:r>
      <w:rPr>
        <w:color w:val="595959"/>
        <w:sz w:val="16"/>
        <w:szCs w:val="16"/>
      </w:rPr>
      <w:instrText>PAGE</w:instrText>
    </w:r>
    <w:r>
      <w:rPr>
        <w:color w:val="595959"/>
        <w:sz w:val="16"/>
        <w:szCs w:val="16"/>
      </w:rPr>
      <w:fldChar w:fldCharType="separate"/>
    </w:r>
    <w:r w:rsidR="00AD549A">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39E4A" w14:textId="77777777" w:rsidR="005F64EC" w:rsidRDefault="005F64EC">
      <w:pPr>
        <w:spacing w:after="0" w:line="240" w:lineRule="auto"/>
      </w:pPr>
      <w:r>
        <w:separator/>
      </w:r>
    </w:p>
  </w:footnote>
  <w:footnote w:type="continuationSeparator" w:id="0">
    <w:p w14:paraId="7F32FBBE" w14:textId="77777777" w:rsidR="005F64EC" w:rsidRDefault="005F64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72A14" w14:textId="77777777" w:rsidR="003554B3" w:rsidRDefault="00000000">
    <w:pPr>
      <w:pBdr>
        <w:bottom w:val="single" w:sz="4" w:space="4" w:color="BFC9D6"/>
      </w:pBdr>
      <w:tabs>
        <w:tab w:val="right" w:pos="9360"/>
      </w:tabs>
    </w:pPr>
    <w:r>
      <w:rPr>
        <w:color w:val="595959"/>
        <w:sz w:val="16"/>
        <w:szCs w:val="16"/>
      </w:rPr>
      <w:t>Does the market price the Fed’s own rule?</w:t>
    </w:r>
    <w:r>
      <w:rPr>
        <w:color w:val="595959"/>
        <w:sz w:val="16"/>
        <w:szCs w:val="16"/>
      </w:rPr>
      <w:tab/>
      <w:t>USD and GBP policy paths, 2014–2026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C0E5B" w14:textId="77777777" w:rsidR="003554B3" w:rsidRDefault="003554B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51FD6"/>
    <w:multiLevelType w:val="hybridMultilevel"/>
    <w:tmpl w:val="FFC85B3A"/>
    <w:lvl w:ilvl="0" w:tplc="21CC1352">
      <w:start w:val="1"/>
      <w:numFmt w:val="bullet"/>
      <w:lvlText w:val="•"/>
      <w:lvlJc w:val="left"/>
      <w:pPr>
        <w:ind w:left="360" w:hanging="260"/>
      </w:pPr>
      <w:rPr>
        <w:color w:val="2E75B6"/>
      </w:rPr>
    </w:lvl>
    <w:lvl w:ilvl="1" w:tplc="856A93CC">
      <w:numFmt w:val="decimal"/>
      <w:lvlText w:val=""/>
      <w:lvlJc w:val="left"/>
    </w:lvl>
    <w:lvl w:ilvl="2" w:tplc="9E722D16">
      <w:numFmt w:val="decimal"/>
      <w:lvlText w:val=""/>
      <w:lvlJc w:val="left"/>
    </w:lvl>
    <w:lvl w:ilvl="3" w:tplc="306268FA">
      <w:numFmt w:val="decimal"/>
      <w:lvlText w:val=""/>
      <w:lvlJc w:val="left"/>
    </w:lvl>
    <w:lvl w:ilvl="4" w:tplc="D3EA79C4">
      <w:numFmt w:val="decimal"/>
      <w:lvlText w:val=""/>
      <w:lvlJc w:val="left"/>
    </w:lvl>
    <w:lvl w:ilvl="5" w:tplc="B7E2CE20">
      <w:numFmt w:val="decimal"/>
      <w:lvlText w:val=""/>
      <w:lvlJc w:val="left"/>
    </w:lvl>
    <w:lvl w:ilvl="6" w:tplc="23BAFB9C">
      <w:numFmt w:val="decimal"/>
      <w:lvlText w:val=""/>
      <w:lvlJc w:val="left"/>
    </w:lvl>
    <w:lvl w:ilvl="7" w:tplc="1834E74C">
      <w:numFmt w:val="decimal"/>
      <w:lvlText w:val=""/>
      <w:lvlJc w:val="left"/>
    </w:lvl>
    <w:lvl w:ilvl="8" w:tplc="EBE09EC0">
      <w:numFmt w:val="decimal"/>
      <w:lvlText w:val=""/>
      <w:lvlJc w:val="left"/>
    </w:lvl>
  </w:abstractNum>
  <w:abstractNum w:abstractNumId="1" w15:restartNumberingAfterBreak="0">
    <w:nsid w:val="3BA73CA2"/>
    <w:multiLevelType w:val="hybridMultilevel"/>
    <w:tmpl w:val="0A34E9F4"/>
    <w:lvl w:ilvl="0" w:tplc="C1660360">
      <w:start w:val="1"/>
      <w:numFmt w:val="bullet"/>
      <w:lvlText w:val="●"/>
      <w:lvlJc w:val="left"/>
      <w:pPr>
        <w:ind w:left="720" w:hanging="360"/>
      </w:pPr>
    </w:lvl>
    <w:lvl w:ilvl="1" w:tplc="D4AEBB8C">
      <w:start w:val="1"/>
      <w:numFmt w:val="bullet"/>
      <w:lvlText w:val="○"/>
      <w:lvlJc w:val="left"/>
      <w:pPr>
        <w:ind w:left="1440" w:hanging="360"/>
      </w:pPr>
    </w:lvl>
    <w:lvl w:ilvl="2" w:tplc="957C605E">
      <w:start w:val="1"/>
      <w:numFmt w:val="bullet"/>
      <w:lvlText w:val="■"/>
      <w:lvlJc w:val="left"/>
      <w:pPr>
        <w:ind w:left="2160" w:hanging="360"/>
      </w:pPr>
    </w:lvl>
    <w:lvl w:ilvl="3" w:tplc="93E0A194">
      <w:start w:val="1"/>
      <w:numFmt w:val="bullet"/>
      <w:lvlText w:val="●"/>
      <w:lvlJc w:val="left"/>
      <w:pPr>
        <w:ind w:left="2880" w:hanging="360"/>
      </w:pPr>
    </w:lvl>
    <w:lvl w:ilvl="4" w:tplc="1466D588">
      <w:start w:val="1"/>
      <w:numFmt w:val="bullet"/>
      <w:lvlText w:val="○"/>
      <w:lvlJc w:val="left"/>
      <w:pPr>
        <w:ind w:left="3600" w:hanging="360"/>
      </w:pPr>
    </w:lvl>
    <w:lvl w:ilvl="5" w:tplc="6E369432">
      <w:start w:val="1"/>
      <w:numFmt w:val="bullet"/>
      <w:lvlText w:val="■"/>
      <w:lvlJc w:val="left"/>
      <w:pPr>
        <w:ind w:left="4320" w:hanging="360"/>
      </w:pPr>
    </w:lvl>
    <w:lvl w:ilvl="6" w:tplc="AE86DA1C">
      <w:start w:val="1"/>
      <w:numFmt w:val="bullet"/>
      <w:lvlText w:val="●"/>
      <w:lvlJc w:val="left"/>
      <w:pPr>
        <w:ind w:left="5040" w:hanging="360"/>
      </w:pPr>
    </w:lvl>
    <w:lvl w:ilvl="7" w:tplc="08D05102">
      <w:start w:val="1"/>
      <w:numFmt w:val="bullet"/>
      <w:lvlText w:val="●"/>
      <w:lvlJc w:val="left"/>
      <w:pPr>
        <w:ind w:left="5760" w:hanging="360"/>
      </w:pPr>
    </w:lvl>
    <w:lvl w:ilvl="8" w:tplc="39E46380">
      <w:start w:val="1"/>
      <w:numFmt w:val="bullet"/>
      <w:lvlText w:val="●"/>
      <w:lvlJc w:val="left"/>
      <w:pPr>
        <w:ind w:left="6480" w:hanging="360"/>
      </w:pPr>
    </w:lvl>
  </w:abstractNum>
  <w:abstractNum w:abstractNumId="2" w15:restartNumberingAfterBreak="0">
    <w:nsid w:val="4FB108D7"/>
    <w:multiLevelType w:val="hybridMultilevel"/>
    <w:tmpl w:val="B3FC7F56"/>
    <w:lvl w:ilvl="0" w:tplc="63264860">
      <w:start w:val="1"/>
      <w:numFmt w:val="bullet"/>
      <w:lvlText w:val="•"/>
      <w:lvlJc w:val="left"/>
      <w:pPr>
        <w:ind w:left="360" w:hanging="260"/>
      </w:pPr>
      <w:rPr>
        <w:color w:val="2E75B6"/>
      </w:rPr>
    </w:lvl>
    <w:lvl w:ilvl="1" w:tplc="F8520F44">
      <w:numFmt w:val="decimal"/>
      <w:lvlText w:val=""/>
      <w:lvlJc w:val="left"/>
    </w:lvl>
    <w:lvl w:ilvl="2" w:tplc="EB2E0AB0">
      <w:numFmt w:val="decimal"/>
      <w:lvlText w:val=""/>
      <w:lvlJc w:val="left"/>
    </w:lvl>
    <w:lvl w:ilvl="3" w:tplc="70D2B312">
      <w:numFmt w:val="decimal"/>
      <w:lvlText w:val=""/>
      <w:lvlJc w:val="left"/>
    </w:lvl>
    <w:lvl w:ilvl="4" w:tplc="700E3B7A">
      <w:numFmt w:val="decimal"/>
      <w:lvlText w:val=""/>
      <w:lvlJc w:val="left"/>
    </w:lvl>
    <w:lvl w:ilvl="5" w:tplc="06181D94">
      <w:numFmt w:val="decimal"/>
      <w:lvlText w:val=""/>
      <w:lvlJc w:val="left"/>
    </w:lvl>
    <w:lvl w:ilvl="6" w:tplc="FAE0256E">
      <w:numFmt w:val="decimal"/>
      <w:lvlText w:val=""/>
      <w:lvlJc w:val="left"/>
    </w:lvl>
    <w:lvl w:ilvl="7" w:tplc="50B0FAEE">
      <w:numFmt w:val="decimal"/>
      <w:lvlText w:val=""/>
      <w:lvlJc w:val="left"/>
    </w:lvl>
    <w:lvl w:ilvl="8" w:tplc="1D3CF088">
      <w:numFmt w:val="decimal"/>
      <w:lvlText w:val=""/>
      <w:lvlJc w:val="left"/>
    </w:lvl>
  </w:abstractNum>
  <w:abstractNum w:abstractNumId="3" w15:restartNumberingAfterBreak="0">
    <w:nsid w:val="54E34A18"/>
    <w:multiLevelType w:val="multilevel"/>
    <w:tmpl w:val="78B0638E"/>
    <w:lvl w:ilvl="0">
      <w:start w:val="1"/>
      <w:numFmt w:val="decimal"/>
      <w:lvlText w:val="%1"/>
      <w:lvlJc w:val="left"/>
      <w:pPr>
        <w:ind w:left="540" w:hanging="540"/>
      </w:pPr>
    </w:lvl>
    <w:lvl w:ilvl="1">
      <w:start w:val="1"/>
      <w:numFmt w:val="decimal"/>
      <w:lvlText w:val="%1.%2"/>
      <w:lvlJc w:val="left"/>
      <w:pPr>
        <w:ind w:left="720" w:hanging="7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95E1BBB"/>
    <w:multiLevelType w:val="hybridMultilevel"/>
    <w:tmpl w:val="F40C021A"/>
    <w:lvl w:ilvl="0" w:tplc="DEA021B4">
      <w:start w:val="1"/>
      <w:numFmt w:val="decimal"/>
      <w:lvlText w:val="%1."/>
      <w:lvlJc w:val="left"/>
      <w:pPr>
        <w:ind w:left="360" w:hanging="360"/>
      </w:pPr>
      <w:rPr>
        <w:b/>
        <w:bCs/>
        <w:color w:val="1F3864"/>
      </w:rPr>
    </w:lvl>
    <w:lvl w:ilvl="1" w:tplc="4426E1B6">
      <w:numFmt w:val="decimal"/>
      <w:lvlText w:val=""/>
      <w:lvlJc w:val="left"/>
    </w:lvl>
    <w:lvl w:ilvl="2" w:tplc="977A9A92">
      <w:numFmt w:val="decimal"/>
      <w:lvlText w:val=""/>
      <w:lvlJc w:val="left"/>
    </w:lvl>
    <w:lvl w:ilvl="3" w:tplc="6A1C3F28">
      <w:numFmt w:val="decimal"/>
      <w:lvlText w:val=""/>
      <w:lvlJc w:val="left"/>
    </w:lvl>
    <w:lvl w:ilvl="4" w:tplc="663A144C">
      <w:numFmt w:val="decimal"/>
      <w:lvlText w:val=""/>
      <w:lvlJc w:val="left"/>
    </w:lvl>
    <w:lvl w:ilvl="5" w:tplc="05F85E9A">
      <w:numFmt w:val="decimal"/>
      <w:lvlText w:val=""/>
      <w:lvlJc w:val="left"/>
    </w:lvl>
    <w:lvl w:ilvl="6" w:tplc="8FB0F5AE">
      <w:numFmt w:val="decimal"/>
      <w:lvlText w:val=""/>
      <w:lvlJc w:val="left"/>
    </w:lvl>
    <w:lvl w:ilvl="7" w:tplc="C542208C">
      <w:numFmt w:val="decimal"/>
      <w:lvlText w:val=""/>
      <w:lvlJc w:val="left"/>
    </w:lvl>
    <w:lvl w:ilvl="8" w:tplc="F5F44B50">
      <w:numFmt w:val="decimal"/>
      <w:lvlText w:val=""/>
      <w:lvlJc w:val="left"/>
    </w:lvl>
  </w:abstractNum>
  <w:num w:numId="1" w16cid:durableId="935165302">
    <w:abstractNumId w:val="1"/>
    <w:lvlOverride w:ilvl="0">
      <w:startOverride w:val="1"/>
    </w:lvlOverride>
  </w:num>
  <w:num w:numId="2" w16cid:durableId="863830282">
    <w:abstractNumId w:val="4"/>
    <w:lvlOverride w:ilvl="0">
      <w:startOverride w:val="1"/>
    </w:lvlOverride>
  </w:num>
  <w:num w:numId="3" w16cid:durableId="1995183869">
    <w:abstractNumId w:val="3"/>
    <w:lvlOverride w:ilvl="0">
      <w:startOverride w:val="1"/>
    </w:lvlOverride>
  </w:num>
  <w:num w:numId="4" w16cid:durableId="1933509298">
    <w:abstractNumId w:val="0"/>
    <w:lvlOverride w:ilvl="0">
      <w:startOverride w:val="1"/>
    </w:lvlOverride>
  </w:num>
  <w:num w:numId="5" w16cid:durableId="58433712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4B3"/>
    <w:rsid w:val="00250859"/>
    <w:rsid w:val="003554B3"/>
    <w:rsid w:val="00514537"/>
    <w:rsid w:val="005A40DC"/>
    <w:rsid w:val="005F64EC"/>
    <w:rsid w:val="0064739B"/>
    <w:rsid w:val="00665963"/>
    <w:rsid w:val="00693576"/>
    <w:rsid w:val="006B2461"/>
    <w:rsid w:val="00866A01"/>
    <w:rsid w:val="00944D86"/>
    <w:rsid w:val="00AD549A"/>
    <w:rsid w:val="00B249BB"/>
    <w:rsid w:val="00BF7A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FE65E"/>
  <w15:docId w15:val="{DC89E420-FB88-4B4D-84DA-02E1F4206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pPr>
        <w:spacing w:after="1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400"/>
      <w:outlineLvl w:val="0"/>
    </w:pPr>
    <w:rPr>
      <w:b/>
      <w:bCs/>
      <w:color w:val="1F3864"/>
      <w:sz w:val="30"/>
      <w:szCs w:val="30"/>
    </w:rPr>
  </w:style>
  <w:style w:type="paragraph" w:styleId="Heading2">
    <w:name w:val="heading 2"/>
    <w:uiPriority w:val="9"/>
    <w:unhideWhenUsed/>
    <w:qFormat/>
    <w:pPr>
      <w:keepNext/>
      <w:keepLines/>
      <w:spacing w:before="260" w:after="100"/>
      <w:outlineLvl w:val="1"/>
    </w:pPr>
    <w:rPr>
      <w:b/>
      <w:bCs/>
      <w:color w:val="2E75B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ureCaption">
    <w:name w:val="Figure Caption"/>
    <w:qFormat/>
    <w:pPr>
      <w:spacing w:after="240" w:line="252" w:lineRule="auto"/>
    </w:pPr>
    <w:rPr>
      <w:color w:val="404040"/>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13</Pages>
  <Words>2855</Words>
  <Characters>16276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Does the market price the Fed’s own rule?</vt:lpstr>
    </vt:vector>
  </TitlesOfParts>
  <Company/>
  <LinksUpToDate>false</LinksUpToDate>
  <CharactersWithSpaces>19093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the market price the Fed’s own rule?</dc:title>
  <dc:creator>Defense</dc:creator>
  <dc:description>USD and GBP policy paths, 2014–2026</dc:description>
  <cp:lastModifiedBy>Eric Beechen</cp:lastModifiedBy>
  <cp:revision>10</cp:revision>
  <dcterms:created xsi:type="dcterms:W3CDTF">2026-10-05T02:56:00Z</dcterms:created>
  <dcterms:modified xsi:type="dcterms:W3CDTF">2026-10-05T03:24:00Z</dcterms:modified>
</cp:coreProperties>
</file>