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CF6351" w14:textId="77777777" w:rsidR="00475929" w:rsidRDefault="00B92805">
      <w:pPr>
        <w:rPr>
          <w:rFonts w:ascii="Times New Roman" w:hAnsi="Times New Roman" w:cs="Times New Roman"/>
        </w:rPr>
      </w:pPr>
      <w:r>
        <w:rPr>
          <w:rFonts w:ascii="Times New Roman" w:hAnsi="Times New Roman" w:cs="Times New Roman"/>
        </w:rPr>
        <w:t xml:space="preserve">Summary: </w:t>
      </w:r>
    </w:p>
    <w:p w14:paraId="4767DB8E" w14:textId="3A9E592A" w:rsidR="00B9493B" w:rsidRDefault="00B92805">
      <w:pPr>
        <w:rPr>
          <w:rFonts w:ascii="Times New Roman" w:hAnsi="Times New Roman" w:cs="Times New Roman"/>
        </w:rPr>
      </w:pPr>
      <w:r>
        <w:rPr>
          <w:rFonts w:ascii="Times New Roman" w:hAnsi="Times New Roman" w:cs="Times New Roman"/>
        </w:rPr>
        <w:t xml:space="preserve">Is the market pricing the </w:t>
      </w:r>
      <w:r w:rsidR="00B9493B">
        <w:rPr>
          <w:rFonts w:ascii="Times New Roman" w:hAnsi="Times New Roman" w:cs="Times New Roman"/>
        </w:rPr>
        <w:t>central bank’s</w:t>
      </w:r>
      <w:r>
        <w:rPr>
          <w:rFonts w:ascii="Times New Roman" w:hAnsi="Times New Roman" w:cs="Times New Roman"/>
        </w:rPr>
        <w:t xml:space="preserve"> own rule? To test this, this paper looks at every session dating back to 2010.</w:t>
      </w:r>
      <w:r w:rsidR="00B9493B">
        <w:rPr>
          <w:rFonts w:ascii="Times New Roman" w:hAnsi="Times New Roman" w:cs="Times New Roman"/>
        </w:rPr>
        <w:t xml:space="preserve"> The book samples from 01</w:t>
      </w:r>
      <w:r w:rsidR="00991F82">
        <w:rPr>
          <w:rFonts w:ascii="Times New Roman" w:hAnsi="Times New Roman" w:cs="Times New Roman"/>
        </w:rPr>
        <w:t>/</w:t>
      </w:r>
      <w:r w:rsidR="00B9493B">
        <w:rPr>
          <w:rFonts w:ascii="Times New Roman" w:hAnsi="Times New Roman" w:cs="Times New Roman"/>
        </w:rPr>
        <w:t>13</w:t>
      </w:r>
      <w:r w:rsidR="00991F82">
        <w:rPr>
          <w:rFonts w:ascii="Times New Roman" w:hAnsi="Times New Roman" w:cs="Times New Roman"/>
        </w:rPr>
        <w:t>/</w:t>
      </w:r>
      <w:r w:rsidR="00B9493B">
        <w:rPr>
          <w:rFonts w:ascii="Times New Roman" w:hAnsi="Times New Roman" w:cs="Times New Roman"/>
        </w:rPr>
        <w:t>2014 – 09</w:t>
      </w:r>
      <w:r w:rsidR="00991F82">
        <w:rPr>
          <w:rFonts w:ascii="Times New Roman" w:hAnsi="Times New Roman" w:cs="Times New Roman"/>
        </w:rPr>
        <w:t>/</w:t>
      </w:r>
      <w:r w:rsidR="00B9493B">
        <w:rPr>
          <w:rFonts w:ascii="Times New Roman" w:hAnsi="Times New Roman" w:cs="Times New Roman"/>
        </w:rPr>
        <w:t>30</w:t>
      </w:r>
      <w:r w:rsidR="00991F82">
        <w:rPr>
          <w:rFonts w:ascii="Times New Roman" w:hAnsi="Times New Roman" w:cs="Times New Roman"/>
        </w:rPr>
        <w:t>/</w:t>
      </w:r>
      <w:r w:rsidR="00B9493B">
        <w:rPr>
          <w:rFonts w:ascii="Times New Roman" w:hAnsi="Times New Roman" w:cs="Times New Roman"/>
        </w:rPr>
        <w:t xml:space="preserve">2026, 2,977 sessions. In that, there are 103 trades, by sleeve that’s: 19 USD outright, 16 GBP outright, 33 USD 2s10s, 23 GBP 2s10s, and 12 GBP – USD 2y. </w:t>
      </w:r>
    </w:p>
    <w:p w14:paraId="7B1381F6" w14:textId="2204EB44" w:rsidR="00B9493B" w:rsidRDefault="00B9493B">
      <w:pPr>
        <w:rPr>
          <w:rFonts w:ascii="Times New Roman" w:hAnsi="Times New Roman" w:cs="Times New Roman"/>
        </w:rPr>
      </w:pPr>
      <w:r>
        <w:rPr>
          <w:rFonts w:ascii="Times New Roman" w:hAnsi="Times New Roman" w:cs="Times New Roman"/>
        </w:rPr>
        <w:t xml:space="preserve">The performance across the book is reflective of the paper’s conclusion which is put succinctly, that the results “”. The total portfolio has a gross Sharpe Ratio of -0.15, and after fees that drops further -0.62. If we focus in on the best performing sleeves, we see that GBP outright does return +0.72 Sharpe gross, and +0.49 net. </w:t>
      </w:r>
    </w:p>
    <w:p w14:paraId="127B2F01" w14:textId="16BF2611" w:rsidR="00B92805" w:rsidRDefault="008D3D59">
      <w:pPr>
        <w:rPr>
          <w:rFonts w:ascii="Times New Roman" w:hAnsi="Times New Roman" w:cs="Times New Roman"/>
        </w:rPr>
      </w:pPr>
      <w:r>
        <w:rPr>
          <w:rFonts w:ascii="Times New Roman" w:hAnsi="Times New Roman" w:cs="Times New Roman"/>
        </w:rPr>
        <w:t xml:space="preserve">Taking the Fed as an example, </w:t>
      </w:r>
      <w:r w:rsidR="00B92805">
        <w:rPr>
          <w:rFonts w:ascii="Times New Roman" w:hAnsi="Times New Roman" w:cs="Times New Roman"/>
        </w:rPr>
        <w:t xml:space="preserve">the </w:t>
      </w:r>
      <w:r>
        <w:rPr>
          <w:rFonts w:ascii="Times New Roman" w:hAnsi="Times New Roman" w:cs="Times New Roman"/>
        </w:rPr>
        <w:t xml:space="preserve">implied </w:t>
      </w:r>
      <w:r w:rsidR="00B92805">
        <w:rPr>
          <w:rFonts w:ascii="Times New Roman" w:hAnsi="Times New Roman" w:cs="Times New Roman"/>
        </w:rPr>
        <w:t>path is drawn from the upcoming 8 meetings and solved using ZQ futures. This path is drawn in contrast the Fed’s own balanced approach rule joined to ALFRED vintages and their estimate of r*. The difference between these two paths meeting by meeting and using 2 years of trailing data is the signal for the portfolio.</w:t>
      </w:r>
    </w:p>
    <w:p w14:paraId="4F858FD5" w14:textId="3D8CC102" w:rsidR="00475929" w:rsidRDefault="00475929">
      <w:pPr>
        <w:rPr>
          <w:rFonts w:ascii="Times New Roman" w:hAnsi="Times New Roman" w:cs="Times New Roman"/>
        </w:rPr>
      </w:pPr>
      <w:r>
        <w:rPr>
          <w:rFonts w:ascii="Times New Roman" w:hAnsi="Times New Roman" w:cs="Times New Roman"/>
        </w:rPr>
        <w:t>Put more technically, the signal is the IC (Information Coefficient) of z against the next h sessions’ rate change, outside of the ELB (Effective Lower Bound).</w:t>
      </w:r>
    </w:p>
    <w:p w14:paraId="03C92BE9" w14:textId="179E2245" w:rsidR="00C77CC3" w:rsidRDefault="00C77CC3">
      <w:pPr>
        <w:rPr>
          <w:rFonts w:ascii="Times New Roman" w:hAnsi="Times New Roman" w:cs="Times New Roman"/>
        </w:rPr>
      </w:pPr>
      <w:r>
        <w:rPr>
          <w:rFonts w:ascii="Times New Roman" w:hAnsi="Times New Roman" w:cs="Times New Roman"/>
        </w:rPr>
        <w:t>The four findings of the paper are: the market prices the policy path persistently below the Fed’s own published balanced-approach rule, null at the book level and in USD, carry filter that skips entries whose expected quarter is below zero improves the book by 0.10 Sharpe Ratio, and lastly, roll maintenance is structural rather than incidental.</w:t>
      </w:r>
    </w:p>
    <w:p w14:paraId="32A8E698" w14:textId="77777777" w:rsidR="00475929" w:rsidRDefault="00B92805">
      <w:pPr>
        <w:rPr>
          <w:rFonts w:ascii="Times New Roman" w:hAnsi="Times New Roman" w:cs="Times New Roman"/>
        </w:rPr>
      </w:pPr>
      <w:r>
        <w:rPr>
          <w:rFonts w:ascii="Times New Roman" w:hAnsi="Times New Roman" w:cs="Times New Roman"/>
        </w:rPr>
        <w:t xml:space="preserve">Why this question: </w:t>
      </w:r>
    </w:p>
    <w:p w14:paraId="757ADA4C" w14:textId="46E6AD14" w:rsidR="00B92805" w:rsidRDefault="00B92805">
      <w:pPr>
        <w:rPr>
          <w:rFonts w:ascii="Times New Roman" w:hAnsi="Times New Roman" w:cs="Times New Roman"/>
        </w:rPr>
      </w:pPr>
      <w:r>
        <w:rPr>
          <w:rFonts w:ascii="Times New Roman" w:hAnsi="Times New Roman" w:cs="Times New Roman"/>
        </w:rPr>
        <w:t>The implied policy path that we can draw from the market and using the Fed’s own methodologies allows a level of measurability to the project. Through the published Monetary Policy Report we have a strong grounded measure to build our foundation upon. This stands in contrast to other approaches that have ill-defined measures of success.</w:t>
      </w:r>
      <w:r w:rsidR="00007D33">
        <w:rPr>
          <w:rFonts w:ascii="Times New Roman" w:hAnsi="Times New Roman" w:cs="Times New Roman"/>
        </w:rPr>
        <w:t xml:space="preserve"> Most claims involve a market mispricing which depends on a fair value model, this one does not.</w:t>
      </w:r>
    </w:p>
    <w:p w14:paraId="7EC64715" w14:textId="19B6740B" w:rsidR="003E2866" w:rsidRDefault="003E2866">
      <w:pPr>
        <w:rPr>
          <w:rFonts w:ascii="Times New Roman" w:hAnsi="Times New Roman" w:cs="Times New Roman"/>
        </w:rPr>
      </w:pPr>
      <w:r>
        <w:rPr>
          <w:rFonts w:ascii="Times New Roman" w:hAnsi="Times New Roman" w:cs="Times New Roman"/>
        </w:rPr>
        <w:t>In that, we have several definitions we use for the project. USD r* is the SEP longer-run median, and prior to it we use Taylor’s 2%. For GBP r*, we assumed a constant -1.6%, the average real Bank Rate from 2009-2026. This is a hindsight number, and it moves the bp gap, but not the z. Lastly, the trading rule is hysteresis (enter 1, exit 0), that is flat at the ELB. We tested several types: inverse-vol, shrunk covariance, 5% vol target, and no drawdown control.</w:t>
      </w:r>
    </w:p>
    <w:p w14:paraId="54008F52" w14:textId="701DD658" w:rsidR="00B92805" w:rsidRDefault="00B92805">
      <w:pPr>
        <w:rPr>
          <w:rFonts w:ascii="Times New Roman" w:hAnsi="Times New Roman" w:cs="Times New Roman"/>
        </w:rPr>
      </w:pPr>
      <w:r>
        <w:rPr>
          <w:rFonts w:ascii="Times New Roman" w:hAnsi="Times New Roman" w:cs="Times New Roman"/>
        </w:rPr>
        <w:t>Definitions</w:t>
      </w:r>
    </w:p>
    <w:p w14:paraId="0EE86252" w14:textId="325146A3" w:rsidR="00B92805" w:rsidRDefault="00B92805">
      <w:pPr>
        <w:rPr>
          <w:rFonts w:ascii="Times New Roman" w:hAnsi="Times New Roman" w:cs="Times New Roman"/>
        </w:rPr>
      </w:pPr>
      <w:r>
        <w:rPr>
          <w:rFonts w:ascii="Times New Roman" w:hAnsi="Times New Roman" w:cs="Times New Roman"/>
        </w:rPr>
        <w:t xml:space="preserve">Construction: </w:t>
      </w:r>
      <w:r>
        <w:rPr>
          <w:rFonts w:ascii="Times New Roman" w:hAnsi="Times New Roman" w:cs="Times New Roman"/>
        </w:rPr>
        <w:t xml:space="preserve">Each ZQ contract settles to the arithmetic average of every calendar day of its delivery month. Due to this, each contract month is one linear equation in the regime rates equal to the share of the month’s days. In the interest of efficiency, these contracts are priced across months and regimes using joint least squares. However, an issue arises in how information is </w:t>
      </w:r>
      <w:r>
        <w:rPr>
          <w:rFonts w:ascii="Times New Roman" w:hAnsi="Times New Roman" w:cs="Times New Roman"/>
        </w:rPr>
        <w:lastRenderedPageBreak/>
        <w:t xml:space="preserve">captured by these contracts. Mid-month, part of the contract is already history. To reflect this, days whose EFFR is published enter this as known numbers. This process of substituting in known days creates an additional challenge. </w:t>
      </w:r>
      <w:r w:rsidRPr="00374227">
        <w:rPr>
          <w:rFonts w:ascii="Times New Roman" w:hAnsi="Times New Roman" w:cs="Times New Roman"/>
        </w:rPr>
        <w:t>When the next meeting is days away, the rate from today until then lives in a few days of the front contract, and price noise in that contract is multiplied by days-in-month over days-left.</w:t>
      </w:r>
      <w:r>
        <w:rPr>
          <w:rFonts w:ascii="Times New Roman" w:hAnsi="Times New Roman" w:cs="Times New Roman"/>
        </w:rPr>
        <w:t xml:space="preserve"> To address this, contracts below a threshold are pinned to the last fixing. This results in a sharp reduction in error from the implied steps, from 5.8bps to 0.5bps.</w:t>
      </w:r>
    </w:p>
    <w:p w14:paraId="3A85273D" w14:textId="5DCA31E0" w:rsidR="006E2CF1" w:rsidRDefault="006E2CF1">
      <w:pPr>
        <w:rPr>
          <w:rFonts w:ascii="Times New Roman" w:hAnsi="Times New Roman" w:cs="Times New Roman"/>
        </w:rPr>
      </w:pPr>
      <w:r>
        <w:rPr>
          <w:rFonts w:ascii="Times New Roman" w:hAnsi="Times New Roman" w:cs="Times New Roman"/>
        </w:rPr>
        <w:t xml:space="preserve">There is no ZQ outside the US. For GBP, we need to leverage a fitted OIS spot curve published from the BoE (Bank of England). Once fitted, expected rates between two meetings is the forward over that window. The log discount factor is interpolated from these. </w:t>
      </w:r>
    </w:p>
    <w:p w14:paraId="6C2FBB47" w14:textId="0DBF36A6" w:rsidR="00B92805" w:rsidRDefault="00B92805">
      <w:pPr>
        <w:rPr>
          <w:rFonts w:ascii="Times New Roman" w:hAnsi="Times New Roman" w:cs="Times New Roman"/>
        </w:rPr>
      </w:pPr>
      <w:r>
        <w:rPr>
          <w:rFonts w:ascii="Times New Roman" w:hAnsi="Times New Roman" w:cs="Times New Roman"/>
        </w:rPr>
        <w:t>Construction (BoE)</w:t>
      </w:r>
    </w:p>
    <w:p w14:paraId="499D2E9B" w14:textId="7A927520" w:rsidR="00B92805" w:rsidRDefault="00B92805">
      <w:pPr>
        <w:rPr>
          <w:rFonts w:ascii="Times New Roman" w:hAnsi="Times New Roman" w:cs="Times New Roman"/>
        </w:rPr>
      </w:pPr>
      <w:r>
        <w:rPr>
          <w:rFonts w:ascii="Times New Roman" w:hAnsi="Times New Roman" w:cs="Times New Roman"/>
        </w:rPr>
        <w:t>Rule, r*</w:t>
      </w:r>
    </w:p>
    <w:p w14:paraId="3C49BC97" w14:textId="714AB5B2" w:rsidR="00B92805" w:rsidRDefault="00B92805">
      <w:pPr>
        <w:rPr>
          <w:rFonts w:ascii="Times New Roman" w:hAnsi="Times New Roman" w:cs="Times New Roman"/>
        </w:rPr>
      </w:pPr>
      <w:r>
        <w:rPr>
          <w:rFonts w:ascii="Times New Roman" w:hAnsi="Times New Roman" w:cs="Times New Roman"/>
        </w:rPr>
        <w:t>The level:</w:t>
      </w:r>
    </w:p>
    <w:p w14:paraId="01D0562E" w14:textId="7ABE53C9" w:rsidR="00B92805" w:rsidRDefault="00B92805">
      <w:pPr>
        <w:rPr>
          <w:rFonts w:ascii="Times New Roman" w:hAnsi="Times New Roman" w:cs="Times New Roman"/>
        </w:rPr>
      </w:pPr>
      <w:r>
        <w:rPr>
          <w:rFonts w:ascii="Times New Roman" w:hAnsi="Times New Roman" w:cs="Times New Roman"/>
        </w:rPr>
        <w:t>Signal and the null:</w:t>
      </w:r>
    </w:p>
    <w:p w14:paraId="318579A5" w14:textId="24C75A39" w:rsidR="00B92805" w:rsidRDefault="00B92805">
      <w:pPr>
        <w:rPr>
          <w:rFonts w:ascii="Times New Roman" w:hAnsi="Times New Roman" w:cs="Times New Roman"/>
        </w:rPr>
      </w:pPr>
      <w:r>
        <w:rPr>
          <w:rFonts w:ascii="Times New Roman" w:hAnsi="Times New Roman" w:cs="Times New Roman"/>
        </w:rPr>
        <w:t>Signal</w:t>
      </w:r>
    </w:p>
    <w:p w14:paraId="501348EC" w14:textId="71F266DC" w:rsidR="00B92805" w:rsidRDefault="00B92805">
      <w:pPr>
        <w:rPr>
          <w:rFonts w:ascii="Times New Roman" w:hAnsi="Times New Roman" w:cs="Times New Roman"/>
        </w:rPr>
      </w:pPr>
      <w:r>
        <w:rPr>
          <w:rFonts w:ascii="Times New Roman" w:hAnsi="Times New Roman" w:cs="Times New Roman"/>
        </w:rPr>
        <w:t>Performance</w:t>
      </w:r>
    </w:p>
    <w:p w14:paraId="4FE4FD08" w14:textId="30508C9C" w:rsidR="00B92805" w:rsidRDefault="00B92805">
      <w:pPr>
        <w:rPr>
          <w:rFonts w:ascii="Times New Roman" w:hAnsi="Times New Roman" w:cs="Times New Roman"/>
        </w:rPr>
      </w:pPr>
      <w:r>
        <w:rPr>
          <w:rFonts w:ascii="Times New Roman" w:hAnsi="Times New Roman" w:cs="Times New Roman"/>
        </w:rPr>
        <w:t>Costs and the roll finding:</w:t>
      </w:r>
    </w:p>
    <w:p w14:paraId="33120AAB" w14:textId="62E7F2EA" w:rsidR="00B92805" w:rsidRDefault="00B92805">
      <w:pPr>
        <w:rPr>
          <w:rFonts w:ascii="Times New Roman" w:hAnsi="Times New Roman" w:cs="Times New Roman"/>
        </w:rPr>
      </w:pPr>
      <w:r>
        <w:rPr>
          <w:rFonts w:ascii="Times New Roman" w:hAnsi="Times New Roman" w:cs="Times New Roman"/>
        </w:rPr>
        <w:t>Costs</w:t>
      </w:r>
    </w:p>
    <w:p w14:paraId="0EB33C81" w14:textId="7A5BD351" w:rsidR="00B92805" w:rsidRDefault="00B92805">
      <w:pPr>
        <w:rPr>
          <w:rFonts w:ascii="Times New Roman" w:hAnsi="Times New Roman" w:cs="Times New Roman"/>
        </w:rPr>
      </w:pPr>
      <w:r>
        <w:rPr>
          <w:rFonts w:ascii="Times New Roman" w:hAnsi="Times New Roman" w:cs="Times New Roman"/>
        </w:rPr>
        <w:t>Breakeven:</w:t>
      </w:r>
    </w:p>
    <w:p w14:paraId="7835D5C9" w14:textId="16E1DB08" w:rsidR="00B92805" w:rsidRDefault="00B92805">
      <w:pPr>
        <w:rPr>
          <w:rFonts w:ascii="Times New Roman" w:hAnsi="Times New Roman" w:cs="Times New Roman"/>
        </w:rPr>
      </w:pPr>
      <w:r>
        <w:rPr>
          <w:rFonts w:ascii="Times New Roman" w:hAnsi="Times New Roman" w:cs="Times New Roman"/>
        </w:rPr>
        <w:t>Carry filter:</w:t>
      </w:r>
    </w:p>
    <w:p w14:paraId="1BD130F2" w14:textId="5C093B34" w:rsidR="00B92805" w:rsidRDefault="00B92805">
      <w:pPr>
        <w:rPr>
          <w:rFonts w:ascii="Times New Roman" w:hAnsi="Times New Roman" w:cs="Times New Roman"/>
        </w:rPr>
      </w:pPr>
      <w:r>
        <w:rPr>
          <w:rFonts w:ascii="Times New Roman" w:hAnsi="Times New Roman" w:cs="Times New Roman"/>
        </w:rPr>
        <w:t>What would change my view:</w:t>
      </w:r>
    </w:p>
    <w:p w14:paraId="1CEB264B" w14:textId="338A9607" w:rsidR="00B92805" w:rsidRDefault="00B92805">
      <w:pPr>
        <w:rPr>
          <w:rFonts w:ascii="Times New Roman" w:hAnsi="Times New Roman" w:cs="Times New Roman"/>
        </w:rPr>
      </w:pPr>
      <w:r>
        <w:rPr>
          <w:rFonts w:ascii="Times New Roman" w:hAnsi="Times New Roman" w:cs="Times New Roman"/>
        </w:rPr>
        <w:t>Robustness</w:t>
      </w:r>
    </w:p>
    <w:p w14:paraId="0901AFB2" w14:textId="33708B7E" w:rsidR="00B92805" w:rsidRDefault="00B92805">
      <w:pPr>
        <w:rPr>
          <w:rFonts w:ascii="Times New Roman" w:hAnsi="Times New Roman" w:cs="Times New Roman"/>
        </w:rPr>
      </w:pPr>
      <w:r>
        <w:rPr>
          <w:rFonts w:ascii="Times New Roman" w:hAnsi="Times New Roman" w:cs="Times New Roman"/>
        </w:rPr>
        <w:t>Limitations:</w:t>
      </w:r>
    </w:p>
    <w:p w14:paraId="6465022B" w14:textId="0A361FE4" w:rsidR="00DF10F8" w:rsidRPr="00AA4293" w:rsidRDefault="00B92805">
      <w:pPr>
        <w:rPr>
          <w:rFonts w:ascii="Times New Roman" w:hAnsi="Times New Roman" w:cs="Times New Roman"/>
        </w:rPr>
      </w:pPr>
      <w:r>
        <w:rPr>
          <w:rFonts w:ascii="Times New Roman" w:hAnsi="Times New Roman" w:cs="Times New Roman"/>
        </w:rPr>
        <w:t>Appendix:</w:t>
      </w:r>
    </w:p>
    <w:sectPr w:rsidR="00DF10F8" w:rsidRPr="00AA42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F8B"/>
    <w:rsid w:val="00007D33"/>
    <w:rsid w:val="0008184B"/>
    <w:rsid w:val="00192B7A"/>
    <w:rsid w:val="002D216F"/>
    <w:rsid w:val="00374227"/>
    <w:rsid w:val="003E2866"/>
    <w:rsid w:val="00434BCD"/>
    <w:rsid w:val="00475929"/>
    <w:rsid w:val="00570B01"/>
    <w:rsid w:val="006E2CF1"/>
    <w:rsid w:val="00754649"/>
    <w:rsid w:val="008337D3"/>
    <w:rsid w:val="008435B0"/>
    <w:rsid w:val="008D3D59"/>
    <w:rsid w:val="00991F82"/>
    <w:rsid w:val="00A92921"/>
    <w:rsid w:val="00A93592"/>
    <w:rsid w:val="00AA4293"/>
    <w:rsid w:val="00AF329C"/>
    <w:rsid w:val="00B92805"/>
    <w:rsid w:val="00B9493B"/>
    <w:rsid w:val="00C26B6F"/>
    <w:rsid w:val="00C77CC3"/>
    <w:rsid w:val="00DF10F8"/>
    <w:rsid w:val="00E14200"/>
    <w:rsid w:val="00E261C1"/>
    <w:rsid w:val="00E32F8B"/>
    <w:rsid w:val="00E80B7E"/>
    <w:rsid w:val="00E96482"/>
    <w:rsid w:val="00EB5F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FCE286E"/>
  <w15:chartTrackingRefBased/>
  <w15:docId w15:val="{C75C57E4-F2CC-4D47-AA36-25D487B54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F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F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F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F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F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F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F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F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F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F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F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F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F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F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F8B"/>
    <w:rPr>
      <w:rFonts w:eastAsiaTheme="majorEastAsia" w:cstheme="majorBidi"/>
      <w:color w:val="272727" w:themeColor="text1" w:themeTint="D8"/>
    </w:rPr>
  </w:style>
  <w:style w:type="paragraph" w:styleId="Title">
    <w:name w:val="Title"/>
    <w:basedOn w:val="Normal"/>
    <w:next w:val="Normal"/>
    <w:link w:val="TitleChar"/>
    <w:uiPriority w:val="10"/>
    <w:qFormat/>
    <w:rsid w:val="00E32F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F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F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F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F8B"/>
    <w:pPr>
      <w:spacing w:before="160"/>
      <w:jc w:val="center"/>
    </w:pPr>
    <w:rPr>
      <w:i/>
      <w:iCs/>
      <w:color w:val="404040" w:themeColor="text1" w:themeTint="BF"/>
    </w:rPr>
  </w:style>
  <w:style w:type="character" w:customStyle="1" w:styleId="QuoteChar">
    <w:name w:val="Quote Char"/>
    <w:basedOn w:val="DefaultParagraphFont"/>
    <w:link w:val="Quote"/>
    <w:uiPriority w:val="29"/>
    <w:rsid w:val="00E32F8B"/>
    <w:rPr>
      <w:i/>
      <w:iCs/>
      <w:color w:val="404040" w:themeColor="text1" w:themeTint="BF"/>
    </w:rPr>
  </w:style>
  <w:style w:type="paragraph" w:styleId="ListParagraph">
    <w:name w:val="List Paragraph"/>
    <w:basedOn w:val="Normal"/>
    <w:uiPriority w:val="34"/>
    <w:qFormat/>
    <w:rsid w:val="00E32F8B"/>
    <w:pPr>
      <w:ind w:left="720"/>
      <w:contextualSpacing/>
    </w:pPr>
  </w:style>
  <w:style w:type="character" w:styleId="IntenseEmphasis">
    <w:name w:val="Intense Emphasis"/>
    <w:basedOn w:val="DefaultParagraphFont"/>
    <w:uiPriority w:val="21"/>
    <w:qFormat/>
    <w:rsid w:val="00E32F8B"/>
    <w:rPr>
      <w:i/>
      <w:iCs/>
      <w:color w:val="0F4761" w:themeColor="accent1" w:themeShade="BF"/>
    </w:rPr>
  </w:style>
  <w:style w:type="paragraph" w:styleId="IntenseQuote">
    <w:name w:val="Intense Quote"/>
    <w:basedOn w:val="Normal"/>
    <w:next w:val="Normal"/>
    <w:link w:val="IntenseQuoteChar"/>
    <w:uiPriority w:val="30"/>
    <w:qFormat/>
    <w:rsid w:val="00E32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F8B"/>
    <w:rPr>
      <w:i/>
      <w:iCs/>
      <w:color w:val="0F4761" w:themeColor="accent1" w:themeShade="BF"/>
    </w:rPr>
  </w:style>
  <w:style w:type="character" w:styleId="IntenseReference">
    <w:name w:val="Intense Reference"/>
    <w:basedOn w:val="DefaultParagraphFont"/>
    <w:uiPriority w:val="32"/>
    <w:qFormat/>
    <w:rsid w:val="00E32F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Pages>
  <Words>581</Words>
  <Characters>3312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Beechen</dc:creator>
  <cp:keywords/>
  <dc:description/>
  <cp:lastModifiedBy>Eric Beechen</cp:lastModifiedBy>
  <cp:revision>26</cp:revision>
  <dcterms:created xsi:type="dcterms:W3CDTF">2026-10-01T15:44:00Z</dcterms:created>
  <dcterms:modified xsi:type="dcterms:W3CDTF">2026-10-01T21:25:00Z</dcterms:modified>
</cp:coreProperties>
</file>