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C3596" w14:textId="77777777" w:rsidR="00464FA0" w:rsidRDefault="00000000">
      <w:pPr>
        <w:pStyle w:val="Title"/>
      </w:pPr>
      <w:r>
        <w:t>Does the market price the central bank’s own rule?</w:t>
      </w:r>
    </w:p>
    <w:p w14:paraId="7C8098C6" w14:textId="77777777" w:rsidR="00464FA0" w:rsidRDefault="00000000">
      <w:pPr>
        <w:pStyle w:val="Subtitle"/>
      </w:pPr>
      <w:r>
        <w:t>USD and GBP policy paths, 2014–2026</w:t>
      </w:r>
    </w:p>
    <w:p w14:paraId="6C71E999" w14:textId="77777777" w:rsidR="00475929" w:rsidRPr="0096356E" w:rsidRDefault="00B92805">
      <w:pPr>
        <w:pStyle w:val="Heading1"/>
      </w:pPr>
      <w:r>
        <w:t>Summary</w:t>
      </w:r>
    </w:p>
    <w:p w14:paraId="691B9495" w14:textId="25AE9B41" w:rsidR="007A08C3" w:rsidRDefault="007A08C3">
      <w:pPr>
        <w:rPr>
          <w:rFonts w:ascii="Times New Roman" w:hAnsi="Times New Roman" w:cs="Times New Roman"/>
        </w:rPr>
      </w:pPr>
      <w:r>
        <w:rPr>
          <w:rFonts w:ascii="Times New Roman" w:hAnsi="Times New Roman" w:cs="Times New Roman"/>
        </w:rPr>
        <w:t xml:space="preserve">Is the market pricing the central bank’s own rule? The market persistently prices the policy path below the central bank’s own rule, but even with this, the gap is not a tradable signal. Once that gap is standardized (z) it does not forecast rate changes within USD and is the wrong direction. In GBP, the story is different, it does forecast them, but the gains are concentrated into a specific window (2021 – 2023). </w:t>
      </w:r>
      <w:r w:rsidR="00016873">
        <w:rPr>
          <w:rFonts w:ascii="Times New Roman" w:hAnsi="Times New Roman" w:cs="Times New Roman"/>
        </w:rPr>
        <w:t>T</w:t>
      </w:r>
      <w:r>
        <w:rPr>
          <w:rFonts w:ascii="Times New Roman" w:hAnsi="Times New Roman" w:cs="Times New Roman"/>
        </w:rPr>
        <w:t>he book loses money</w:t>
      </w:r>
      <w:r w:rsidR="00016873">
        <w:rPr>
          <w:rFonts w:ascii="Times New Roman" w:hAnsi="Times New Roman" w:cs="Times New Roman"/>
        </w:rPr>
        <w:t xml:space="preserve"> before costs</w:t>
      </w:r>
      <w:r>
        <w:rPr>
          <w:rFonts w:ascii="Times New Roman" w:hAnsi="Times New Roman" w:cs="Times New Roman"/>
        </w:rPr>
        <w:t xml:space="preserve">, and about half of that </w:t>
      </w:r>
      <w:r w:rsidR="00016873">
        <w:rPr>
          <w:rFonts w:ascii="Times New Roman" w:hAnsi="Times New Roman" w:cs="Times New Roman"/>
        </w:rPr>
        <w:t xml:space="preserve">cost </w:t>
      </w:r>
      <w:r>
        <w:rPr>
          <w:rFonts w:ascii="Times New Roman" w:hAnsi="Times New Roman" w:cs="Times New Roman"/>
        </w:rPr>
        <w:t>comes from rolls and re-strikes.</w:t>
      </w:r>
    </w:p>
    <w:p w14:paraId="621FF7A9" w14:textId="2B73F26B" w:rsidR="00786FFD" w:rsidRDefault="00786FFD">
      <w:pPr>
        <w:rPr>
          <w:rFonts w:ascii="Times New Roman" w:hAnsi="Times New Roman" w:cs="Times New Roman"/>
        </w:rPr>
      </w:pPr>
      <w:r>
        <w:rPr>
          <w:rFonts w:ascii="Times New Roman" w:hAnsi="Times New Roman" w:cs="Times New Roman"/>
        </w:rPr>
        <w:t>Measurement for each currency was the implied path the market was pricing vs. what the rules said they would be. This difference was taken at the 4</w:t>
      </w:r>
      <w:r>
        <w:rPr>
          <w:rFonts w:ascii="Times New Roman" w:hAnsi="Times New Roman" w:cs="Times New Roman"/>
          <w:vertAlign w:val="superscript"/>
        </w:rPr>
        <w:t>th</w:t>
      </w:r>
      <w:r>
        <w:rPr>
          <w:rFonts w:ascii="Times New Roman" w:hAnsi="Times New Roman" w:cs="Times New Roman"/>
        </w:rPr>
        <w:t xml:space="preserve"> meeting for each central bank and used a z score on a trailing 2-year window. </w:t>
      </w:r>
      <w:r w:rsidR="00016873">
        <w:rPr>
          <w:rFonts w:ascii="Times New Roman" w:hAnsi="Times New Roman" w:cs="Times New Roman"/>
        </w:rPr>
        <w:t>Z is scored by its rank IC against the policy-rate change over the next h sessions (5, 21, 63). All of these are after a year of history and outside the ELB.</w:t>
      </w:r>
    </w:p>
    <w:p w14:paraId="7F6CFEEF" w14:textId="77777777" w:rsidR="00786FFD" w:rsidRDefault="00786FFD">
      <w:pPr>
        <w:rPr>
          <w:rFonts w:ascii="Times New Roman" w:hAnsi="Times New Roman" w:cs="Times New Roman"/>
        </w:rPr>
      </w:pPr>
      <w:r>
        <w:rPr>
          <w:rFonts w:ascii="Times New Roman" w:hAnsi="Times New Roman" w:cs="Times New Roman"/>
        </w:rPr>
        <w:t xml:space="preserve">The four findings of the paper are: </w:t>
      </w:r>
    </w:p>
    <w:p w14:paraId="137D1049" w14:textId="77777777" w:rsidR="00786FFD" w:rsidRDefault="00786FFD" w:rsidP="00786FFD">
      <w:pPr>
        <w:pStyle w:val="ListParagraph"/>
        <w:numPr>
          <w:ilvl w:val="0"/>
          <w:numId w:val="1"/>
        </w:numPr>
        <w:rPr>
          <w:rFonts w:ascii="Times New Roman" w:hAnsi="Times New Roman" w:cs="Times New Roman"/>
        </w:rPr>
      </w:pPr>
      <w:r>
        <w:rPr>
          <w:rFonts w:ascii="Times New Roman" w:hAnsi="Times New Roman" w:cs="Times New Roman"/>
        </w:rPr>
        <w:t>The market prices the policy path persistently below the central bank’s own rule</w:t>
      </w:r>
    </w:p>
    <w:p w14:paraId="3FE684EE" w14:textId="29A187D1" w:rsidR="00786FFD" w:rsidRDefault="00F2184D" w:rsidP="00786FFD">
      <w:pPr>
        <w:pStyle w:val="ListParagraph"/>
        <w:numPr>
          <w:ilvl w:val="0"/>
          <w:numId w:val="1"/>
        </w:numPr>
        <w:rPr>
          <w:rFonts w:ascii="Times New Roman" w:hAnsi="Times New Roman" w:cs="Times New Roman"/>
        </w:rPr>
      </w:pPr>
      <w:r>
        <w:rPr>
          <w:rFonts w:ascii="Times New Roman" w:hAnsi="Times New Roman" w:cs="Times New Roman"/>
        </w:rPr>
        <w:t xml:space="preserve">The gap does not forecast at the book level and in USD it </w:t>
      </w:r>
      <w:r w:rsidR="00016873">
        <w:rPr>
          <w:rFonts w:ascii="Times New Roman" w:hAnsi="Times New Roman" w:cs="Times New Roman"/>
        </w:rPr>
        <w:t>points the wrong way (</w:t>
      </w:r>
      <w:r w:rsidR="00A14E7A">
        <w:rPr>
          <w:rFonts w:ascii="Times New Roman" w:hAnsi="Times New Roman" w:cs="Times New Roman"/>
        </w:rPr>
        <w:t>IC (</w:t>
      </w:r>
      <w:r w:rsidR="00016873">
        <w:rPr>
          <w:rFonts w:ascii="Times New Roman" w:hAnsi="Times New Roman" w:cs="Times New Roman"/>
        </w:rPr>
        <w:t>21) -0.12)</w:t>
      </w:r>
    </w:p>
    <w:p w14:paraId="09867216" w14:textId="5420EE7D" w:rsidR="00786FFD" w:rsidRDefault="005E091F" w:rsidP="00786FFD">
      <w:pPr>
        <w:pStyle w:val="ListParagraph"/>
        <w:numPr>
          <w:ilvl w:val="0"/>
          <w:numId w:val="1"/>
        </w:numPr>
        <w:rPr>
          <w:rFonts w:ascii="Times New Roman" w:hAnsi="Times New Roman" w:cs="Times New Roman"/>
        </w:rPr>
      </w:pPr>
      <w:r>
        <w:rPr>
          <w:rFonts w:ascii="Times New Roman" w:hAnsi="Times New Roman" w:cs="Times New Roman"/>
        </w:rPr>
        <w:t>A carry filter that skips entries would improve the net Sharpe Ratio by 0.10 (paired SE 0.05); the book still loses (-0.51), and the filter is off in the headline</w:t>
      </w:r>
    </w:p>
    <w:p w14:paraId="05D35E62" w14:textId="10D0AEAA" w:rsidR="00786FFD" w:rsidRPr="00786FFD" w:rsidRDefault="00786FFD" w:rsidP="00786FFD">
      <w:pPr>
        <w:pStyle w:val="ListParagraph"/>
        <w:numPr>
          <w:ilvl w:val="0"/>
          <w:numId w:val="1"/>
        </w:numPr>
        <w:rPr>
          <w:rFonts w:ascii="Times New Roman" w:hAnsi="Times New Roman" w:cs="Times New Roman"/>
        </w:rPr>
      </w:pPr>
      <w:r>
        <w:rPr>
          <w:rFonts w:ascii="Times New Roman" w:hAnsi="Times New Roman" w:cs="Times New Roman"/>
        </w:rPr>
        <w:t>Roll maintenance is 46% of the cost and rolls alone are 33%</w:t>
      </w:r>
      <w:r w:rsidR="001127B5">
        <w:rPr>
          <w:rFonts w:ascii="Times New Roman" w:hAnsi="Times New Roman" w:cs="Times New Roman"/>
        </w:rPr>
        <w:t xml:space="preserve"> which are forced by trading the 4</w:t>
      </w:r>
      <w:r w:rsidR="001127B5" w:rsidRPr="001127B5">
        <w:rPr>
          <w:rFonts w:ascii="Times New Roman" w:hAnsi="Times New Roman" w:cs="Times New Roman"/>
          <w:vertAlign w:val="superscript"/>
        </w:rPr>
        <w:t>th</w:t>
      </w:r>
      <w:r w:rsidR="001127B5">
        <w:rPr>
          <w:rFonts w:ascii="Times New Roman" w:hAnsi="Times New Roman" w:cs="Times New Roman"/>
        </w:rPr>
        <w:t xml:space="preserve"> meeting ahead</w:t>
      </w:r>
    </w:p>
    <w:p w14:paraId="18D88569" w14:textId="77777777" w:rsidR="001A5D08" w:rsidRPr="00850797" w:rsidRDefault="001A5D08">
      <w:pPr>
        <w:pStyle w:val="Heading2"/>
        <w:rPr>
          <w:color w:val="auto"/>
        </w:rPr>
      </w:pPr>
      <w:r w:rsidRPr="00850797">
        <w:rPr>
          <w:color w:val="auto"/>
        </w:rPr>
        <w:t>The headline numbers</w:t>
      </w:r>
    </w:p>
    <w:p w14:paraId="63FA77C8" w14:textId="309C62E0" w:rsidR="00C601C3" w:rsidRPr="00C601C3" w:rsidRDefault="00C601C3" w:rsidP="00C601C3">
      <w:pPr>
        <w:pStyle w:val="ListParagraph"/>
        <w:numPr>
          <w:ilvl w:val="0"/>
          <w:numId w:val="3"/>
        </w:numPr>
        <w:rPr>
          <w:rFonts w:ascii="Times New Roman" w:hAnsi="Times New Roman" w:cs="Times New Roman"/>
        </w:rPr>
      </w:pPr>
      <w:r w:rsidRPr="00C601C3">
        <w:rPr>
          <w:rFonts w:ascii="Times New Roman" w:hAnsi="Times New Roman" w:cs="Times New Roman"/>
        </w:rPr>
        <w:t>Sample:</w:t>
      </w:r>
      <w:r>
        <w:rPr>
          <w:rFonts w:ascii="Times New Roman" w:hAnsi="Times New Roman" w:cs="Times New Roman"/>
        </w:rPr>
        <w:t xml:space="preserve"> 1/13/2014 to 10/01/2026, 2,978 sessions with 104 trades</w:t>
      </w:r>
    </w:p>
    <w:p w14:paraId="49B6C073" w14:textId="43C2937B" w:rsidR="00C601C3" w:rsidRPr="00C601C3" w:rsidRDefault="00C601C3" w:rsidP="00C601C3">
      <w:pPr>
        <w:pStyle w:val="ListParagraph"/>
        <w:numPr>
          <w:ilvl w:val="0"/>
          <w:numId w:val="3"/>
        </w:numPr>
        <w:rPr>
          <w:rFonts w:ascii="Times New Roman" w:hAnsi="Times New Roman" w:cs="Times New Roman"/>
        </w:rPr>
      </w:pPr>
      <w:r w:rsidRPr="00C601C3">
        <w:rPr>
          <w:rFonts w:ascii="Times New Roman" w:hAnsi="Times New Roman" w:cs="Times New Roman"/>
        </w:rPr>
        <w:t>Book:</w:t>
      </w:r>
      <w:r>
        <w:rPr>
          <w:rFonts w:ascii="Times New Roman" w:hAnsi="Times New Roman" w:cs="Times New Roman"/>
        </w:rPr>
        <w:t xml:space="preserve"> Sharpe Ratio -0.14, net of costs -0.60. -3.19% of capital per year</w:t>
      </w:r>
    </w:p>
    <w:p w14:paraId="41CB5F27" w14:textId="78CA4C32" w:rsidR="00C601C3" w:rsidRPr="00C601C3" w:rsidRDefault="00C601C3" w:rsidP="00C601C3">
      <w:pPr>
        <w:pStyle w:val="ListParagraph"/>
        <w:numPr>
          <w:ilvl w:val="0"/>
          <w:numId w:val="3"/>
        </w:numPr>
        <w:rPr>
          <w:rFonts w:ascii="Times New Roman" w:hAnsi="Times New Roman" w:cs="Times New Roman"/>
        </w:rPr>
      </w:pPr>
      <w:r w:rsidRPr="00C601C3">
        <w:rPr>
          <w:rFonts w:ascii="Times New Roman" w:hAnsi="Times New Roman" w:cs="Times New Roman"/>
        </w:rPr>
        <w:t>GBP Outright:</w:t>
      </w:r>
      <w:r>
        <w:rPr>
          <w:rFonts w:ascii="Times New Roman" w:hAnsi="Times New Roman" w:cs="Times New Roman"/>
        </w:rPr>
        <w:t xml:space="preserve"> net </w:t>
      </w:r>
      <w:r w:rsidR="00A14E7A">
        <w:rPr>
          <w:rFonts w:ascii="Times New Roman" w:hAnsi="Times New Roman" w:cs="Times New Roman"/>
        </w:rPr>
        <w:t>+</w:t>
      </w:r>
      <w:r>
        <w:rPr>
          <w:rFonts w:ascii="Times New Roman" w:hAnsi="Times New Roman" w:cs="Times New Roman"/>
        </w:rPr>
        <w:t xml:space="preserve">0.50, but </w:t>
      </w:r>
      <w:r w:rsidR="00A14E7A">
        <w:rPr>
          <w:rFonts w:ascii="Times New Roman" w:hAnsi="Times New Roman" w:cs="Times New Roman"/>
        </w:rPr>
        <w:t>+</w:t>
      </w:r>
      <w:r>
        <w:rPr>
          <w:rFonts w:ascii="Times New Roman" w:hAnsi="Times New Roman" w:cs="Times New Roman"/>
        </w:rPr>
        <w:t>0.04 excluding the best period (2022 – 2023)</w:t>
      </w:r>
    </w:p>
    <w:p w14:paraId="362970CE" w14:textId="2E77331E" w:rsidR="00C601C3" w:rsidRPr="00C601C3" w:rsidRDefault="00C601C3" w:rsidP="00C601C3">
      <w:pPr>
        <w:pStyle w:val="ListParagraph"/>
        <w:numPr>
          <w:ilvl w:val="0"/>
          <w:numId w:val="3"/>
        </w:numPr>
        <w:rPr>
          <w:rFonts w:ascii="Times New Roman" w:hAnsi="Times New Roman" w:cs="Times New Roman"/>
        </w:rPr>
      </w:pPr>
      <w:r w:rsidRPr="00C601C3">
        <w:rPr>
          <w:rFonts w:ascii="Times New Roman" w:hAnsi="Times New Roman" w:cs="Times New Roman"/>
        </w:rPr>
        <w:t>Costs: 2.47% of capital per year with 46% of that coming from maintenance</w:t>
      </w:r>
    </w:p>
    <w:p w14:paraId="4582BC46" w14:textId="77777777" w:rsidR="00645E26" w:rsidRPr="0096356E" w:rsidRDefault="00645E26">
      <w:pPr>
        <w:pStyle w:val="Heading1"/>
      </w:pPr>
      <w:r>
        <w:t>Why this question</w:t>
      </w:r>
    </w:p>
    <w:p w14:paraId="437DACEF" w14:textId="2385FFF4" w:rsidR="003A4F94" w:rsidRDefault="009B24E1">
      <w:pPr>
        <w:rPr>
          <w:rFonts w:ascii="Times New Roman" w:hAnsi="Times New Roman" w:cs="Times New Roman"/>
        </w:rPr>
      </w:pPr>
      <w:r>
        <w:rPr>
          <w:rFonts w:ascii="Times New Roman" w:hAnsi="Times New Roman" w:cs="Times New Roman"/>
        </w:rPr>
        <w:t>The paper</w:t>
      </w:r>
      <w:r w:rsidR="003A4F94">
        <w:rPr>
          <w:rFonts w:ascii="Times New Roman" w:hAnsi="Times New Roman" w:cs="Times New Roman"/>
        </w:rPr>
        <w:t xml:space="preserve"> draw</w:t>
      </w:r>
      <w:r>
        <w:rPr>
          <w:rFonts w:ascii="Times New Roman" w:hAnsi="Times New Roman" w:cs="Times New Roman"/>
        </w:rPr>
        <w:t>s</w:t>
      </w:r>
      <w:r w:rsidR="003A4F94">
        <w:rPr>
          <w:rFonts w:ascii="Times New Roman" w:hAnsi="Times New Roman" w:cs="Times New Roman"/>
        </w:rPr>
        <w:t xml:space="preserve"> from the market the implied policy path and use</w:t>
      </w:r>
      <w:r>
        <w:rPr>
          <w:rFonts w:ascii="Times New Roman" w:hAnsi="Times New Roman" w:cs="Times New Roman"/>
        </w:rPr>
        <w:t>s</w:t>
      </w:r>
      <w:r w:rsidR="003A4F94">
        <w:rPr>
          <w:rFonts w:ascii="Times New Roman" w:hAnsi="Times New Roman" w:cs="Times New Roman"/>
        </w:rPr>
        <w:t xml:space="preserve"> </w:t>
      </w:r>
      <w:r>
        <w:rPr>
          <w:rFonts w:ascii="Times New Roman" w:hAnsi="Times New Roman" w:cs="Times New Roman"/>
        </w:rPr>
        <w:t>one of the rules the Fed publishes in its Monetary Policy Report</w:t>
      </w:r>
      <w:r w:rsidR="003A4F94">
        <w:rPr>
          <w:rFonts w:ascii="Times New Roman" w:hAnsi="Times New Roman" w:cs="Times New Roman"/>
        </w:rPr>
        <w:t>.</w:t>
      </w:r>
      <w:r>
        <w:rPr>
          <w:rFonts w:ascii="Times New Roman" w:hAnsi="Times New Roman" w:cs="Times New Roman"/>
        </w:rPr>
        <w:t xml:space="preserve"> </w:t>
      </w:r>
      <w:r w:rsidR="003A4F94">
        <w:rPr>
          <w:rFonts w:ascii="Times New Roman" w:hAnsi="Times New Roman" w:cs="Times New Roman"/>
        </w:rPr>
        <w:t xml:space="preserve">This paper’s model is derived from </w:t>
      </w:r>
      <w:r>
        <w:rPr>
          <w:rFonts w:ascii="Times New Roman" w:hAnsi="Times New Roman" w:cs="Times New Roman"/>
        </w:rPr>
        <w:t>this rule and creates a strong foundation.</w:t>
      </w:r>
    </w:p>
    <w:p w14:paraId="47602F0E" w14:textId="77777777" w:rsidR="003A4F94" w:rsidRDefault="003A4F94">
      <w:pPr>
        <w:rPr>
          <w:rFonts w:ascii="Times New Roman" w:hAnsi="Times New Roman" w:cs="Times New Roman"/>
        </w:rPr>
      </w:pPr>
      <w:r>
        <w:rPr>
          <w:rFonts w:ascii="Times New Roman" w:hAnsi="Times New Roman" w:cs="Times New Roman"/>
        </w:rPr>
        <w:t xml:space="preserve">There is significant value in testing a rule of this nature. If the market ignored a rule the Fed itself publishes, that would say something about how much the rule guides policy. The answer runs the other way: the gap closes because the Fed moves toward the market. </w:t>
      </w:r>
    </w:p>
    <w:p w14:paraId="4FFA0AF2" w14:textId="77777777" w:rsidR="001A5D08" w:rsidRPr="00175B2A" w:rsidRDefault="001A5D08">
      <w:pPr>
        <w:pStyle w:val="Heading1"/>
      </w:pPr>
      <w:r>
        <w:lastRenderedPageBreak/>
        <w:t>Definitions</w:t>
      </w:r>
    </w:p>
    <w:tbl>
      <w:tblPr>
        <w:tblStyle w:val="TableGrid"/>
        <w:tblW w:w="0" w:type="auto"/>
        <w:tblLook w:val="04A0" w:firstRow="1" w:lastRow="0" w:firstColumn="1" w:lastColumn="0" w:noHBand="0" w:noVBand="1"/>
      </w:tblPr>
      <w:tblGrid>
        <w:gridCol w:w="2155"/>
        <w:gridCol w:w="7195"/>
      </w:tblGrid>
      <w:tr w:rsidR="00CF3A1D" w14:paraId="16007ED1" w14:textId="77777777" w:rsidTr="003B7003">
        <w:trPr>
          <w:cantSplit/>
        </w:trPr>
        <w:tc>
          <w:tcPr>
            <w:tcW w:w="2155" w:type="dxa"/>
            <w:shd w:val="clear" w:color="auto" w:fill="E7E6E6"/>
          </w:tcPr>
          <w:p w14:paraId="4682BE1B" w14:textId="77777777" w:rsidR="00CF3A1D" w:rsidRDefault="00CF3A1D" w:rsidP="003B7003">
            <w:pPr>
              <w:keepNext/>
              <w:jc w:val="center"/>
              <w:rPr>
                <w:rFonts w:ascii="Times New Roman" w:hAnsi="Times New Roman" w:cs="Times New Roman"/>
              </w:rPr>
            </w:pPr>
            <w:r>
              <w:rPr>
                <w:rFonts w:ascii="Times New Roman" w:hAnsi="Times New Roman" w:cs="Times New Roman"/>
                <w:b/>
              </w:rPr>
              <w:t>Term</w:t>
            </w:r>
          </w:p>
        </w:tc>
        <w:tc>
          <w:tcPr>
            <w:tcW w:w="7195" w:type="dxa"/>
            <w:shd w:val="clear" w:color="auto" w:fill="E7E6E6"/>
          </w:tcPr>
          <w:p w14:paraId="20C3E3A2" w14:textId="77777777" w:rsidR="00CF3A1D" w:rsidRDefault="00CF3A1D" w:rsidP="003B7003">
            <w:pPr>
              <w:keepNext/>
              <w:jc w:val="center"/>
              <w:rPr>
                <w:rFonts w:ascii="Times New Roman" w:hAnsi="Times New Roman" w:cs="Times New Roman"/>
              </w:rPr>
            </w:pPr>
            <w:r>
              <w:rPr>
                <w:rFonts w:ascii="Times New Roman" w:hAnsi="Times New Roman" w:cs="Times New Roman"/>
                <w:b/>
              </w:rPr>
              <w:t>Definition</w:t>
            </w:r>
          </w:p>
        </w:tc>
      </w:tr>
      <w:tr w:rsidR="00CF3A1D" w14:paraId="469D76BD" w14:textId="77777777" w:rsidTr="003B7003">
        <w:trPr>
          <w:cantSplit/>
        </w:trPr>
        <w:tc>
          <w:tcPr>
            <w:tcW w:w="2155" w:type="dxa"/>
          </w:tcPr>
          <w:p w14:paraId="2C0DDDE9" w14:textId="77777777" w:rsidR="00CF3A1D" w:rsidRDefault="00CF3A1D">
            <w:pPr>
              <w:keepNext/>
              <w:rPr>
                <w:rFonts w:ascii="Times New Roman" w:hAnsi="Times New Roman" w:cs="Times New Roman"/>
              </w:rPr>
            </w:pPr>
            <w:r>
              <w:rPr>
                <w:rFonts w:ascii="Times New Roman" w:hAnsi="Times New Roman" w:cs="Times New Roman"/>
              </w:rPr>
              <w:t>USD r*</w:t>
            </w:r>
          </w:p>
        </w:tc>
        <w:tc>
          <w:tcPr>
            <w:tcW w:w="7195" w:type="dxa"/>
          </w:tcPr>
          <w:p w14:paraId="2B070026" w14:textId="1A28A133" w:rsidR="00CF3A1D" w:rsidRDefault="003B7003">
            <w:pPr>
              <w:keepNext/>
              <w:rPr>
                <w:rFonts w:ascii="Times New Roman" w:hAnsi="Times New Roman" w:cs="Times New Roman"/>
              </w:rPr>
            </w:pPr>
            <w:r>
              <w:rPr>
                <w:rFonts w:ascii="Times New Roman" w:hAnsi="Times New Roman" w:cs="Times New Roman"/>
              </w:rPr>
              <w:t>SEP (</w:t>
            </w:r>
            <w:r w:rsidR="0029481F">
              <w:rPr>
                <w:rFonts w:ascii="Times New Roman" w:hAnsi="Times New Roman" w:cs="Times New Roman"/>
              </w:rPr>
              <w:t>Summary</w:t>
            </w:r>
            <w:r>
              <w:rPr>
                <w:rFonts w:ascii="Times New Roman" w:hAnsi="Times New Roman" w:cs="Times New Roman"/>
              </w:rPr>
              <w:t xml:space="preserve"> of Economic Projections) longer run median; Taylor’s 2% before the first SEP (226 Sessions)</w:t>
            </w:r>
          </w:p>
        </w:tc>
      </w:tr>
      <w:tr w:rsidR="00CF3A1D" w14:paraId="092D7541" w14:textId="77777777" w:rsidTr="003B7003">
        <w:trPr>
          <w:cantSplit/>
        </w:trPr>
        <w:tc>
          <w:tcPr>
            <w:tcW w:w="2155" w:type="dxa"/>
          </w:tcPr>
          <w:p w14:paraId="21E10EB3" w14:textId="77777777" w:rsidR="00CF3A1D" w:rsidRDefault="00CF3A1D">
            <w:pPr>
              <w:keepNext/>
              <w:rPr>
                <w:rFonts w:ascii="Times New Roman" w:hAnsi="Times New Roman" w:cs="Times New Roman"/>
              </w:rPr>
            </w:pPr>
            <w:r>
              <w:rPr>
                <w:rFonts w:ascii="Times New Roman" w:hAnsi="Times New Roman" w:cs="Times New Roman"/>
              </w:rPr>
              <w:t>GBP r*</w:t>
            </w:r>
          </w:p>
        </w:tc>
        <w:tc>
          <w:tcPr>
            <w:tcW w:w="7195" w:type="dxa"/>
          </w:tcPr>
          <w:p w14:paraId="51FD9AEE" w14:textId="044894EB" w:rsidR="00CF3A1D" w:rsidRDefault="003B7003">
            <w:pPr>
              <w:keepNext/>
              <w:rPr>
                <w:rFonts w:ascii="Times New Roman" w:hAnsi="Times New Roman" w:cs="Times New Roman"/>
              </w:rPr>
            </w:pPr>
            <w:r>
              <w:rPr>
                <w:rFonts w:ascii="Times New Roman" w:hAnsi="Times New Roman" w:cs="Times New Roman"/>
              </w:rPr>
              <w:t>Constant -1.6% which is the average real Bank Rate from 2009 – 2026</w:t>
            </w:r>
            <w:r w:rsidR="00A837B4">
              <w:rPr>
                <w:rFonts w:ascii="Times New Roman" w:hAnsi="Times New Roman" w:cs="Times New Roman"/>
              </w:rPr>
              <w:t>. This is a hindsight number; however, it moves the bp gap and mostly leaves z unchanged</w:t>
            </w:r>
          </w:p>
        </w:tc>
      </w:tr>
      <w:tr w:rsidR="00CF3A1D" w14:paraId="77C75043" w14:textId="77777777" w:rsidTr="003B7003">
        <w:trPr>
          <w:cantSplit/>
        </w:trPr>
        <w:tc>
          <w:tcPr>
            <w:tcW w:w="2155" w:type="dxa"/>
          </w:tcPr>
          <w:p w14:paraId="2FF7FB75" w14:textId="77777777" w:rsidR="00CF3A1D" w:rsidRDefault="003B7003">
            <w:pPr>
              <w:keepNext/>
              <w:rPr>
                <w:rFonts w:ascii="Times New Roman" w:hAnsi="Times New Roman" w:cs="Times New Roman"/>
              </w:rPr>
            </w:pPr>
            <w:r>
              <w:rPr>
                <w:rFonts w:ascii="Times New Roman" w:hAnsi="Times New Roman" w:cs="Times New Roman"/>
              </w:rPr>
              <w:t>z</w:t>
            </w:r>
          </w:p>
        </w:tc>
        <w:tc>
          <w:tcPr>
            <w:tcW w:w="7195" w:type="dxa"/>
          </w:tcPr>
          <w:p w14:paraId="57767DDC" w14:textId="304AA355" w:rsidR="00CF3A1D" w:rsidRDefault="00CA515B">
            <w:pPr>
              <w:keepNext/>
              <w:rPr>
                <w:rFonts w:ascii="Times New Roman" w:hAnsi="Times New Roman" w:cs="Times New Roman"/>
              </w:rPr>
            </w:pPr>
            <w:r>
              <w:rPr>
                <w:rFonts w:ascii="Times New Roman" w:hAnsi="Times New Roman" w:cs="Times New Roman"/>
              </w:rPr>
              <w:t>The gap (market minus rule) at the 4</w:t>
            </w:r>
            <w:r>
              <w:rPr>
                <w:rFonts w:ascii="Times New Roman" w:hAnsi="Times New Roman" w:cs="Times New Roman"/>
                <w:vertAlign w:val="superscript"/>
              </w:rPr>
              <w:t>th</w:t>
            </w:r>
            <w:r>
              <w:rPr>
                <w:rFonts w:ascii="Times New Roman" w:hAnsi="Times New Roman" w:cs="Times New Roman"/>
              </w:rPr>
              <w:t xml:space="preserve"> meeting ahead, standardized against its trailing 2-year window</w:t>
            </w:r>
            <w:r w:rsidR="00A837B4">
              <w:rPr>
                <w:rFonts w:ascii="Times New Roman" w:hAnsi="Times New Roman" w:cs="Times New Roman"/>
              </w:rPr>
              <w:t xml:space="preserve"> after 1 year of history</w:t>
            </w:r>
          </w:p>
        </w:tc>
      </w:tr>
      <w:tr w:rsidR="00CF3A1D" w14:paraId="1843837A" w14:textId="77777777" w:rsidTr="003B7003">
        <w:trPr>
          <w:cantSplit/>
        </w:trPr>
        <w:tc>
          <w:tcPr>
            <w:tcW w:w="2155" w:type="dxa"/>
          </w:tcPr>
          <w:p w14:paraId="345F1765" w14:textId="77777777" w:rsidR="00CF3A1D" w:rsidRDefault="003B7003">
            <w:pPr>
              <w:keepNext/>
              <w:rPr>
                <w:rFonts w:ascii="Times New Roman" w:hAnsi="Times New Roman" w:cs="Times New Roman"/>
              </w:rPr>
            </w:pPr>
            <w:r>
              <w:rPr>
                <w:rFonts w:ascii="Times New Roman" w:hAnsi="Times New Roman" w:cs="Times New Roman"/>
              </w:rPr>
              <w:t>IC</w:t>
            </w:r>
          </w:p>
        </w:tc>
        <w:tc>
          <w:tcPr>
            <w:tcW w:w="7195" w:type="dxa"/>
          </w:tcPr>
          <w:p w14:paraId="3F115DAD" w14:textId="77777777" w:rsidR="00CF3A1D" w:rsidRDefault="00CA515B">
            <w:pPr>
              <w:keepNext/>
              <w:rPr>
                <w:rFonts w:ascii="Times New Roman" w:hAnsi="Times New Roman" w:cs="Times New Roman"/>
              </w:rPr>
            </w:pPr>
            <w:r>
              <w:rPr>
                <w:rFonts w:ascii="Times New Roman" w:hAnsi="Times New Roman" w:cs="Times New Roman"/>
              </w:rPr>
              <w:t>Rank correlation of z with the rate change over the next h sessions (5, 21, 63) outside the ELB State</w:t>
            </w:r>
          </w:p>
        </w:tc>
      </w:tr>
      <w:tr w:rsidR="00CF3A1D" w14:paraId="2C397923" w14:textId="77777777" w:rsidTr="003B7003">
        <w:trPr>
          <w:cantSplit/>
        </w:trPr>
        <w:tc>
          <w:tcPr>
            <w:tcW w:w="2155" w:type="dxa"/>
          </w:tcPr>
          <w:p w14:paraId="711799B0" w14:textId="77777777" w:rsidR="00CF3A1D" w:rsidRDefault="003B7003">
            <w:pPr>
              <w:keepNext/>
              <w:rPr>
                <w:rFonts w:ascii="Times New Roman" w:hAnsi="Times New Roman" w:cs="Times New Roman"/>
              </w:rPr>
            </w:pPr>
            <w:r>
              <w:rPr>
                <w:rFonts w:ascii="Times New Roman" w:hAnsi="Times New Roman" w:cs="Times New Roman"/>
              </w:rPr>
              <w:t>ELB State</w:t>
            </w:r>
          </w:p>
        </w:tc>
        <w:tc>
          <w:tcPr>
            <w:tcW w:w="7195" w:type="dxa"/>
          </w:tcPr>
          <w:p w14:paraId="316FE1E2" w14:textId="77777777" w:rsidR="00CF3A1D" w:rsidRDefault="00CA515B">
            <w:pPr>
              <w:keepNext/>
              <w:rPr>
                <w:rFonts w:ascii="Times New Roman" w:hAnsi="Times New Roman" w:cs="Times New Roman"/>
              </w:rPr>
            </w:pPr>
            <w:r>
              <w:rPr>
                <w:rFonts w:ascii="Times New Roman" w:hAnsi="Times New Roman" w:cs="Times New Roman"/>
              </w:rPr>
              <w:t>Policy rate and rule both at the floor, book is flat there</w:t>
            </w:r>
          </w:p>
        </w:tc>
      </w:tr>
      <w:tr w:rsidR="003B7003" w14:paraId="7DFD57A9" w14:textId="77777777" w:rsidTr="003B7003">
        <w:trPr>
          <w:cantSplit/>
        </w:trPr>
        <w:tc>
          <w:tcPr>
            <w:tcW w:w="2155" w:type="dxa"/>
          </w:tcPr>
          <w:p w14:paraId="33E90BFB" w14:textId="77777777" w:rsidR="003B7003" w:rsidRDefault="003B7003">
            <w:pPr>
              <w:keepNext/>
              <w:rPr>
                <w:rFonts w:ascii="Times New Roman" w:hAnsi="Times New Roman" w:cs="Times New Roman"/>
              </w:rPr>
            </w:pPr>
            <w:r>
              <w:rPr>
                <w:rFonts w:ascii="Times New Roman" w:hAnsi="Times New Roman" w:cs="Times New Roman"/>
              </w:rPr>
              <w:t>Hysteresis Rule</w:t>
            </w:r>
          </w:p>
        </w:tc>
        <w:tc>
          <w:tcPr>
            <w:tcW w:w="7195" w:type="dxa"/>
          </w:tcPr>
          <w:p w14:paraId="0E7D74FA" w14:textId="58ECC4D3" w:rsidR="003B7003" w:rsidRDefault="003B7003">
            <w:pPr>
              <w:keepNext/>
              <w:rPr>
                <w:rFonts w:ascii="Times New Roman" w:hAnsi="Times New Roman" w:cs="Times New Roman"/>
              </w:rPr>
            </w:pPr>
            <w:r>
              <w:rPr>
                <w:rFonts w:ascii="Times New Roman" w:hAnsi="Times New Roman" w:cs="Times New Roman"/>
              </w:rPr>
              <w:t xml:space="preserve">Enter at </w:t>
            </w:r>
            <w:r w:rsidR="00A837B4">
              <w:rPr>
                <w:rFonts w:ascii="Times New Roman" w:hAnsi="Times New Roman" w:cs="Times New Roman"/>
              </w:rPr>
              <w:t xml:space="preserve">|z| </w:t>
            </w:r>
            <w:r w:rsidR="00A837B4" w:rsidRPr="00A837B4">
              <w:rPr>
                <w:rFonts w:ascii="Times New Roman" w:hAnsi="Times New Roman" w:cs="Times New Roman"/>
              </w:rPr>
              <w:t>≥</w:t>
            </w:r>
            <w:r w:rsidR="00A837B4">
              <w:rPr>
                <w:rFonts w:ascii="Times New Roman" w:hAnsi="Times New Roman" w:cs="Times New Roman"/>
              </w:rPr>
              <w:t xml:space="preserve"> </w:t>
            </w:r>
            <w:r>
              <w:rPr>
                <w:rFonts w:ascii="Times New Roman" w:hAnsi="Times New Roman" w:cs="Times New Roman"/>
              </w:rPr>
              <w:t>1, exit at 0</w:t>
            </w:r>
            <w:r w:rsidR="00A837B4">
              <w:rPr>
                <w:rFonts w:ascii="Times New Roman" w:hAnsi="Times New Roman" w:cs="Times New Roman"/>
              </w:rPr>
              <w:t>; fixed before results</w:t>
            </w:r>
          </w:p>
        </w:tc>
      </w:tr>
      <w:tr w:rsidR="003B7003" w14:paraId="66352C60" w14:textId="77777777" w:rsidTr="003B7003">
        <w:trPr>
          <w:cantSplit/>
        </w:trPr>
        <w:tc>
          <w:tcPr>
            <w:tcW w:w="2155" w:type="dxa"/>
          </w:tcPr>
          <w:p w14:paraId="7B18DB1D" w14:textId="77777777" w:rsidR="003B7003" w:rsidRDefault="003B7003">
            <w:pPr>
              <w:rPr>
                <w:rFonts w:ascii="Times New Roman" w:hAnsi="Times New Roman" w:cs="Times New Roman"/>
              </w:rPr>
            </w:pPr>
            <w:r>
              <w:rPr>
                <w:rFonts w:ascii="Times New Roman" w:hAnsi="Times New Roman" w:cs="Times New Roman"/>
              </w:rPr>
              <w:t>Book Construction</w:t>
            </w:r>
          </w:p>
        </w:tc>
        <w:tc>
          <w:tcPr>
            <w:tcW w:w="7195" w:type="dxa"/>
          </w:tcPr>
          <w:p w14:paraId="039AD6F5" w14:textId="77777777" w:rsidR="003B7003" w:rsidRDefault="008463E6">
            <w:pPr>
              <w:rPr>
                <w:rFonts w:ascii="Times New Roman" w:hAnsi="Times New Roman" w:cs="Times New Roman"/>
              </w:rPr>
            </w:pPr>
            <w:r>
              <w:rPr>
                <w:rFonts w:ascii="Times New Roman" w:hAnsi="Times New Roman" w:cs="Times New Roman"/>
              </w:rPr>
              <w:t>Inverse-vol weights, shrunk covariance, 5% vol target on the whole book, no drawdown control</w:t>
            </w:r>
          </w:p>
        </w:tc>
      </w:tr>
    </w:tbl>
    <w:p w14:paraId="20F441A2" w14:textId="77777777" w:rsidR="00CF3A1D" w:rsidRDefault="00CF3A1D">
      <w:pPr>
        <w:rPr>
          <w:rFonts w:ascii="Times New Roman" w:hAnsi="Times New Roman" w:cs="Times New Roman"/>
        </w:rPr>
      </w:pPr>
    </w:p>
    <w:p w14:paraId="5586A6C3" w14:textId="77777777" w:rsidR="001A5D08" w:rsidRPr="0096356E" w:rsidRDefault="001A5D08">
      <w:pPr>
        <w:pStyle w:val="Heading1"/>
      </w:pPr>
      <w:r>
        <w:t>Construction</w:t>
      </w:r>
    </w:p>
    <w:p w14:paraId="29B8688C" w14:textId="77777777" w:rsidR="00464FA0" w:rsidRDefault="00000000">
      <w:pPr>
        <w:pStyle w:val="Heading2"/>
      </w:pPr>
      <w:r>
        <w:t>USD: the path from fed funds futures</w:t>
      </w:r>
    </w:p>
    <w:p w14:paraId="228F974E" w14:textId="001F8065" w:rsidR="003B7003" w:rsidRDefault="003B7003">
      <w:pPr>
        <w:rPr>
          <w:rFonts w:ascii="Times New Roman" w:hAnsi="Times New Roman" w:cs="Times New Roman"/>
        </w:rPr>
      </w:pPr>
      <w:r>
        <w:rPr>
          <w:rFonts w:ascii="Times New Roman" w:hAnsi="Times New Roman" w:cs="Times New Roman"/>
        </w:rPr>
        <w:t>Each ZQ contract settles to the arithmetic average of every calendar day of its delivery month. Due to this, each contract month is one linear equation in the regime rates equal to the share of the month’s days. These contracts are priced across months and regimes using joint least squares</w:t>
      </w:r>
      <w:r w:rsidR="00A14E7A">
        <w:rPr>
          <w:rFonts w:ascii="Times New Roman" w:hAnsi="Times New Roman" w:cs="Times New Roman"/>
        </w:rPr>
        <w:t>, which is necessary as a</w:t>
      </w:r>
      <w:r w:rsidR="00A73AB3">
        <w:rPr>
          <w:rFonts w:ascii="Times New Roman" w:hAnsi="Times New Roman" w:cs="Times New Roman"/>
        </w:rPr>
        <w:t xml:space="preserve"> regime spans several contract months and each month mixes several regimes. To address this, they must be solved together to ensure consistency.</w:t>
      </w:r>
      <w:r>
        <w:rPr>
          <w:rFonts w:ascii="Times New Roman" w:hAnsi="Times New Roman" w:cs="Times New Roman"/>
        </w:rPr>
        <w:t xml:space="preserve"> However, an issue arises in how information is captured by these contracts. Mid-month, part of the contract is already history. To reflect this, days whose EFFR is published enter this as known numbers. This process of substituting in known days creates an additional challenge. When the next meeting is days away, the rate from today until then lives in a few days of the front contract, and price noise in that contract is multiplied by days-in-month over days-left. To address this, contracts below a threshold are pinned to the last fixing. </w:t>
      </w:r>
      <w:r w:rsidR="008458B3">
        <w:rPr>
          <w:rFonts w:ascii="Times New Roman" w:hAnsi="Times New Roman" w:cs="Times New Roman"/>
        </w:rPr>
        <w:t xml:space="preserve">Measured against the actual decision on </w:t>
      </w:r>
      <w:proofErr w:type="gramStart"/>
      <w:r w:rsidR="008458B3">
        <w:rPr>
          <w:rFonts w:ascii="Times New Roman" w:hAnsi="Times New Roman" w:cs="Times New Roman"/>
        </w:rPr>
        <w:t>46 announcement</w:t>
      </w:r>
      <w:proofErr w:type="gramEnd"/>
      <w:r w:rsidR="008458B3">
        <w:rPr>
          <w:rFonts w:ascii="Times New Roman" w:hAnsi="Times New Roman" w:cs="Times New Roman"/>
        </w:rPr>
        <w:t xml:space="preserve"> days since 202</w:t>
      </w:r>
      <w:r w:rsidR="00923E60">
        <w:rPr>
          <w:rFonts w:ascii="Times New Roman" w:hAnsi="Times New Roman" w:cs="Times New Roman"/>
        </w:rPr>
        <w:t>1</w:t>
      </w:r>
      <w:r w:rsidR="008458B3">
        <w:rPr>
          <w:rFonts w:ascii="Times New Roman" w:hAnsi="Times New Roman" w:cs="Times New Roman"/>
        </w:rPr>
        <w:t xml:space="preserve">, the </w:t>
      </w:r>
      <w:r>
        <w:rPr>
          <w:rFonts w:ascii="Times New Roman" w:hAnsi="Times New Roman" w:cs="Times New Roman"/>
        </w:rPr>
        <w:t xml:space="preserve">error </w:t>
      </w:r>
      <w:r w:rsidR="008458B3">
        <w:rPr>
          <w:rFonts w:ascii="Times New Roman" w:hAnsi="Times New Roman" w:cs="Times New Roman"/>
        </w:rPr>
        <w:t>in</w:t>
      </w:r>
      <w:r>
        <w:rPr>
          <w:rFonts w:ascii="Times New Roman" w:hAnsi="Times New Roman" w:cs="Times New Roman"/>
        </w:rPr>
        <w:t xml:space="preserve"> the implied steps</w:t>
      </w:r>
      <w:r w:rsidR="008458B3">
        <w:rPr>
          <w:rFonts w:ascii="Times New Roman" w:hAnsi="Times New Roman" w:cs="Times New Roman"/>
        </w:rPr>
        <w:t xml:space="preserve"> fell sharply</w:t>
      </w:r>
      <w:r>
        <w:rPr>
          <w:rFonts w:ascii="Times New Roman" w:hAnsi="Times New Roman" w:cs="Times New Roman"/>
        </w:rPr>
        <w:t>, from 5.8</w:t>
      </w:r>
      <w:r w:rsidR="00475D9A">
        <w:rPr>
          <w:rFonts w:ascii="Times New Roman" w:hAnsi="Times New Roman" w:cs="Times New Roman"/>
        </w:rPr>
        <w:t xml:space="preserve"> </w:t>
      </w:r>
      <w:r>
        <w:rPr>
          <w:rFonts w:ascii="Times New Roman" w:hAnsi="Times New Roman" w:cs="Times New Roman"/>
        </w:rPr>
        <w:t>bp to 0.5</w:t>
      </w:r>
      <w:r w:rsidR="00475D9A">
        <w:rPr>
          <w:rFonts w:ascii="Times New Roman" w:hAnsi="Times New Roman" w:cs="Times New Roman"/>
        </w:rPr>
        <w:t xml:space="preserve"> </w:t>
      </w:r>
      <w:r>
        <w:rPr>
          <w:rFonts w:ascii="Times New Roman" w:hAnsi="Times New Roman" w:cs="Times New Roman"/>
        </w:rPr>
        <w:t>bp</w:t>
      </w:r>
      <w:r w:rsidR="008458B3">
        <w:rPr>
          <w:rFonts w:ascii="Times New Roman" w:hAnsi="Times New Roman" w:cs="Times New Roman"/>
        </w:rPr>
        <w:t xml:space="preserve"> on average, and from 34 bp to 1.6 bp at worst</w:t>
      </w:r>
      <w:r>
        <w:rPr>
          <w:rFonts w:ascii="Times New Roman" w:hAnsi="Times New Roman" w:cs="Times New Roman"/>
        </w:rPr>
        <w:t xml:space="preserve">. </w:t>
      </w:r>
    </w:p>
    <w:p w14:paraId="79AC5A02" w14:textId="77777777" w:rsidR="003B7003" w:rsidRDefault="003B7003" w:rsidP="003B7003">
      <w:pPr>
        <w:keepNext/>
        <w:spacing w:before="120"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6B2636AB" wp14:editId="216645AF">
            <wp:extent cx="5120640" cy="3665444"/>
            <wp:effectExtent l="0" t="0" r="0" b="0"/>
            <wp:docPr id="181747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72747" name="Picture 18174727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20640" cy="3665444"/>
                    </a:xfrm>
                    <a:prstGeom prst="rect">
                      <a:avLst/>
                    </a:prstGeom>
                  </pic:spPr>
                </pic:pic>
              </a:graphicData>
            </a:graphic>
          </wp:inline>
        </w:drawing>
      </w:r>
    </w:p>
    <w:p w14:paraId="6405F44A" w14:textId="1E4BC029" w:rsidR="00464FA0" w:rsidRDefault="00000000">
      <w:pPr>
        <w:pStyle w:val="Caption"/>
      </w:pPr>
      <w:r>
        <w:rPr>
          <w:b/>
          <w:i w:val="0"/>
        </w:rPr>
        <w:t xml:space="preserve">Figure </w:t>
      </w:r>
      <w:fldSimple w:instr=" SEQ Figure \* ARABIC ">
        <w:r w:rsidR="00A50EFD">
          <w:rPr>
            <w:noProof/>
          </w:rPr>
          <w:t>1</w:t>
        </w:r>
      </w:fldSimple>
      <w:r>
        <w:rPr>
          <w:b/>
          <w:i w:val="0"/>
        </w:rPr>
        <w:t xml:space="preserve">. </w:t>
      </w:r>
      <w:r>
        <w:t>The fed funds path implied by ZQ futures, and the move priced at each meeting.</w:t>
      </w:r>
    </w:p>
    <w:p w14:paraId="53799492" w14:textId="1705D8F0" w:rsidR="001627F2" w:rsidRDefault="00F17D78">
      <w:pPr>
        <w:rPr>
          <w:rFonts w:ascii="Times New Roman" w:hAnsi="Times New Roman" w:cs="Times New Roman"/>
        </w:rPr>
      </w:pPr>
      <w:r>
        <w:rPr>
          <w:rFonts w:ascii="Times New Roman" w:hAnsi="Times New Roman" w:cs="Times New Roman"/>
        </w:rPr>
        <w:t xml:space="preserve">To validate the results, </w:t>
      </w:r>
      <w:r w:rsidR="005765F5">
        <w:rPr>
          <w:rFonts w:ascii="Times New Roman" w:hAnsi="Times New Roman" w:cs="Times New Roman"/>
        </w:rPr>
        <w:t>the paper uses</w:t>
      </w:r>
      <w:r>
        <w:rPr>
          <w:rFonts w:ascii="Times New Roman" w:hAnsi="Times New Roman" w:cs="Times New Roman"/>
        </w:rPr>
        <w:t xml:space="preserve"> a SR1 cross-check. For each session, compute the ZQ implied EFFR and average this over the SR1 month. Then, solve for the constant spread that reprices the SR1 settlement. </w:t>
      </w:r>
      <w:r w:rsidR="00FF04F1">
        <w:rPr>
          <w:rFonts w:ascii="Times New Roman" w:hAnsi="Times New Roman" w:cs="Times New Roman"/>
        </w:rPr>
        <w:t>From here, it is compared against the basis later realized</w:t>
      </w:r>
      <w:r w:rsidR="00FF04F1" w:rsidRPr="00C574F1">
        <w:rPr>
          <w:rFonts w:ascii="Times New Roman" w:hAnsi="Times New Roman" w:cs="Times New Roman"/>
        </w:rPr>
        <w:t xml:space="preserve"> over 2,116 sessions the implied basis misses the realized one by </w:t>
      </w:r>
      <w:r w:rsidR="00B63D57">
        <w:rPr>
          <w:rFonts w:ascii="Times New Roman" w:hAnsi="Times New Roman" w:cs="Times New Roman"/>
        </w:rPr>
        <w:t>+</w:t>
      </w:r>
      <w:r w:rsidR="00FF04F1" w:rsidRPr="00C574F1">
        <w:rPr>
          <w:rFonts w:ascii="Times New Roman" w:hAnsi="Times New Roman" w:cs="Times New Roman"/>
        </w:rPr>
        <w:t>0.52 bp on average</w:t>
      </w:r>
      <w:r w:rsidR="00B63D57">
        <w:rPr>
          <w:rFonts w:ascii="Times New Roman" w:hAnsi="Times New Roman" w:cs="Times New Roman"/>
        </w:rPr>
        <w:t>, mean absolute 1.86 bp, within 3 bp on 80%</w:t>
      </w:r>
      <w:r w:rsidR="00FF04F1" w:rsidRPr="00C574F1">
        <w:rPr>
          <w:rFonts w:ascii="Times New Roman" w:hAnsi="Times New Roman" w:cs="Times New Roman"/>
        </w:rPr>
        <w:t>.</w:t>
      </w:r>
      <w:r w:rsidR="00FF04F1">
        <w:rPr>
          <w:rFonts w:ascii="Times New Roman" w:hAnsi="Times New Roman" w:cs="Times New Roman"/>
        </w:rPr>
        <w:t xml:space="preserve"> </w:t>
      </w:r>
      <w:r>
        <w:rPr>
          <w:rFonts w:ascii="Times New Roman" w:hAnsi="Times New Roman" w:cs="Times New Roman"/>
        </w:rPr>
        <w:t xml:space="preserve">What this communicates is that two independent </w:t>
      </w:r>
      <w:r w:rsidR="000F026A">
        <w:rPr>
          <w:rFonts w:ascii="Times New Roman" w:hAnsi="Times New Roman" w:cs="Times New Roman"/>
        </w:rPr>
        <w:t xml:space="preserve">futures </w:t>
      </w:r>
      <w:r>
        <w:rPr>
          <w:rFonts w:ascii="Times New Roman" w:hAnsi="Times New Roman" w:cs="Times New Roman"/>
        </w:rPr>
        <w:t>markets agree with what they each imply, to within 2 bp.</w:t>
      </w:r>
      <w:r w:rsidR="000F026A">
        <w:rPr>
          <w:rFonts w:ascii="Times New Roman" w:hAnsi="Times New Roman" w:cs="Times New Roman"/>
        </w:rPr>
        <w:t xml:space="preserve"> This demonstrates that the ZQ path is not an artefact o</w:t>
      </w:r>
      <w:r w:rsidR="00923E60">
        <w:rPr>
          <w:rFonts w:ascii="Times New Roman" w:hAnsi="Times New Roman" w:cs="Times New Roman"/>
        </w:rPr>
        <w:t>f</w:t>
      </w:r>
      <w:r w:rsidR="000F026A">
        <w:rPr>
          <w:rFonts w:ascii="Times New Roman" w:hAnsi="Times New Roman" w:cs="Times New Roman"/>
        </w:rPr>
        <w:t xml:space="preserve"> the solver.</w:t>
      </w:r>
    </w:p>
    <w:p w14:paraId="7A458F22" w14:textId="77777777" w:rsidR="001C7240" w:rsidRDefault="001C7240" w:rsidP="001C7240">
      <w:pPr>
        <w:keepNext/>
        <w:spacing w:before="120"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4197052E" wp14:editId="3414EA1E">
            <wp:extent cx="5486400" cy="2475570"/>
            <wp:effectExtent l="0" t="0" r="0" b="0"/>
            <wp:docPr id="569020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20920" name="Picture 5690209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475570"/>
                    </a:xfrm>
                    <a:prstGeom prst="rect">
                      <a:avLst/>
                    </a:prstGeom>
                  </pic:spPr>
                </pic:pic>
              </a:graphicData>
            </a:graphic>
          </wp:inline>
        </w:drawing>
      </w:r>
    </w:p>
    <w:p w14:paraId="59911358" w14:textId="5C2F5EB5" w:rsidR="00464FA0" w:rsidRDefault="00000000">
      <w:pPr>
        <w:pStyle w:val="Caption"/>
      </w:pPr>
      <w:r>
        <w:rPr>
          <w:b/>
          <w:i w:val="0"/>
        </w:rPr>
        <w:t xml:space="preserve">Figure </w:t>
      </w:r>
      <w:fldSimple w:instr=" SEQ Figure \* ARABIC ">
        <w:r w:rsidR="00A50EFD">
          <w:rPr>
            <w:noProof/>
          </w:rPr>
          <w:t>2</w:t>
        </w:r>
      </w:fldSimple>
      <w:r>
        <w:rPr>
          <w:b/>
          <w:i w:val="0"/>
        </w:rPr>
        <w:t xml:space="preserve">. </w:t>
      </w:r>
      <w:r>
        <w:t>The SOFR − EFFR basis implied jointly by SR1 and the ZQ path</w:t>
      </w:r>
    </w:p>
    <w:p w14:paraId="2DA00AE2" w14:textId="77777777" w:rsidR="00464FA0" w:rsidRDefault="00000000">
      <w:pPr>
        <w:pStyle w:val="Heading2"/>
      </w:pPr>
      <w:r>
        <w:t>GBP: the path from the Bank of England’s OIS curve</w:t>
      </w:r>
    </w:p>
    <w:p w14:paraId="6FCE59DD" w14:textId="23AAC245" w:rsidR="0070145C" w:rsidRDefault="00B02D83" w:rsidP="0070145C">
      <w:pPr>
        <w:rPr>
          <w:rFonts w:ascii="Times New Roman" w:hAnsi="Times New Roman" w:cs="Times New Roman"/>
        </w:rPr>
      </w:pPr>
      <w:r>
        <w:rPr>
          <w:rFonts w:ascii="Times New Roman" w:hAnsi="Times New Roman" w:cs="Times New Roman"/>
        </w:rPr>
        <w:t xml:space="preserve">There is no ZQ outside the US. For GBP, leverage a fitted OIS spot curve published from the BoE (Bank of England). Once fitted, expected rates between two meetings </w:t>
      </w:r>
      <w:proofErr w:type="gramStart"/>
      <w:r>
        <w:rPr>
          <w:rFonts w:ascii="Times New Roman" w:hAnsi="Times New Roman" w:cs="Times New Roman"/>
        </w:rPr>
        <w:t>is</w:t>
      </w:r>
      <w:proofErr w:type="gramEnd"/>
      <w:r>
        <w:rPr>
          <w:rFonts w:ascii="Times New Roman" w:hAnsi="Times New Roman" w:cs="Times New Roman"/>
        </w:rPr>
        <w:t xml:space="preserve"> the forward over that window. The log discount factor is interpolated from these. </w:t>
      </w:r>
    </w:p>
    <w:p w14:paraId="5A5A645A" w14:textId="77777777" w:rsidR="00B02D83" w:rsidRDefault="00B02D83" w:rsidP="0070145C">
      <w:pPr>
        <w:keepNext/>
        <w:spacing w:before="120" w:after="0"/>
        <w:jc w:val="center"/>
        <w:rPr>
          <w:rFonts w:ascii="Times New Roman" w:hAnsi="Times New Roman" w:cs="Times New Roman"/>
        </w:rPr>
      </w:pPr>
      <w:r>
        <w:rPr>
          <w:rFonts w:ascii="Times New Roman" w:hAnsi="Times New Roman" w:cs="Times New Roman"/>
          <w:noProof/>
        </w:rPr>
        <w:drawing>
          <wp:inline distT="0" distB="0" distL="0" distR="0" wp14:anchorId="1BACB6B6" wp14:editId="1DFDFE63">
            <wp:extent cx="5120640" cy="3695164"/>
            <wp:effectExtent l="0" t="0" r="0" b="0"/>
            <wp:docPr id="1361034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34695" name="Picture 13610346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20640" cy="3695164"/>
                    </a:xfrm>
                    <a:prstGeom prst="rect">
                      <a:avLst/>
                    </a:prstGeom>
                  </pic:spPr>
                </pic:pic>
              </a:graphicData>
            </a:graphic>
          </wp:inline>
        </w:drawing>
      </w:r>
    </w:p>
    <w:p w14:paraId="58C8AE48" w14:textId="36C9263F" w:rsidR="00464FA0" w:rsidRDefault="00000000">
      <w:pPr>
        <w:pStyle w:val="Caption"/>
      </w:pPr>
      <w:r>
        <w:rPr>
          <w:b/>
          <w:i w:val="0"/>
        </w:rPr>
        <w:t xml:space="preserve">Figure </w:t>
      </w:r>
      <w:fldSimple w:instr=" SEQ Figure \* ARABIC ">
        <w:r w:rsidR="00A50EFD">
          <w:rPr>
            <w:noProof/>
          </w:rPr>
          <w:t>3</w:t>
        </w:r>
      </w:fldSimple>
      <w:r>
        <w:rPr>
          <w:b/>
          <w:i w:val="0"/>
        </w:rPr>
        <w:t xml:space="preserve">. </w:t>
      </w:r>
      <w:r>
        <w:t>The Bank Rate path implied by the Bank of England’s OIS curve, and the move priced at each meeting.</w:t>
      </w:r>
    </w:p>
    <w:p w14:paraId="25D2D4FA" w14:textId="23E086CE" w:rsidR="00B02D83" w:rsidRDefault="00E63D0C">
      <w:pPr>
        <w:rPr>
          <w:rFonts w:ascii="Times New Roman" w:hAnsi="Times New Roman" w:cs="Times New Roman"/>
        </w:rPr>
      </w:pPr>
      <w:r>
        <w:rPr>
          <w:rFonts w:ascii="Times New Roman" w:hAnsi="Times New Roman" w:cs="Times New Roman"/>
        </w:rPr>
        <w:t>This is validated against the MPR conditioning path. The GBP</w:t>
      </w:r>
      <w:r w:rsidR="00923E60">
        <w:rPr>
          <w:rFonts w:ascii="Times New Roman" w:hAnsi="Times New Roman" w:cs="Times New Roman"/>
        </w:rPr>
        <w:t xml:space="preserve"> path built</w:t>
      </w:r>
      <w:r>
        <w:rPr>
          <w:rFonts w:ascii="Times New Roman" w:hAnsi="Times New Roman" w:cs="Times New Roman"/>
        </w:rPr>
        <w:t xml:space="preserve"> is a step function that moves on each meeting’s effective date. The Bank of England averages its smooth instantaneous </w:t>
      </w:r>
      <w:r>
        <w:rPr>
          <w:rFonts w:ascii="Times New Roman" w:hAnsi="Times New Roman" w:cs="Times New Roman"/>
        </w:rPr>
        <w:lastRenderedPageBreak/>
        <w:t xml:space="preserve">forward curve, which prices prior to the meeting. </w:t>
      </w:r>
      <w:r w:rsidR="0018759B">
        <w:rPr>
          <w:rFonts w:ascii="Times New Roman" w:hAnsi="Times New Roman" w:cs="Times New Roman"/>
        </w:rPr>
        <w:t>In a quarter where there is a hike priced, the Bank’s average ends higher and with a cut, lower. The differences correlate -0.59 with the move priced inside the quarter</w:t>
      </w:r>
      <w:r>
        <w:rPr>
          <w:rFonts w:ascii="Times New Roman" w:hAnsi="Times New Roman" w:cs="Times New Roman"/>
        </w:rPr>
        <w:t>. Across 29 reports (or 8</w:t>
      </w:r>
      <w:r w:rsidR="0018759B">
        <w:rPr>
          <w:rFonts w:ascii="Times New Roman" w:hAnsi="Times New Roman" w:cs="Times New Roman"/>
        </w:rPr>
        <w:t>7</w:t>
      </w:r>
      <w:r>
        <w:rPr>
          <w:rFonts w:ascii="Times New Roman" w:hAnsi="Times New Roman" w:cs="Times New Roman"/>
        </w:rPr>
        <w:t xml:space="preserve"> quarters), there is a mean absolute difference of 1bp</w:t>
      </w:r>
      <w:r w:rsidR="0018759B">
        <w:rPr>
          <w:rFonts w:ascii="Times New Roman" w:hAnsi="Times New Roman" w:cs="Times New Roman"/>
        </w:rPr>
        <w:t>, mean signed difference of -0.46 bp, and worst 7.2 bp</w:t>
      </w:r>
      <w:r>
        <w:rPr>
          <w:rFonts w:ascii="Times New Roman" w:hAnsi="Times New Roman" w:cs="Times New Roman"/>
        </w:rPr>
        <w:t>.</w:t>
      </w:r>
      <w:r w:rsidR="00EE129A">
        <w:rPr>
          <w:rFonts w:ascii="Times New Roman" w:hAnsi="Times New Roman" w:cs="Times New Roman"/>
        </w:rPr>
        <w:t xml:space="preserve"> This leaves a known definitional difference, not an error.</w:t>
      </w:r>
    </w:p>
    <w:p w14:paraId="244145FA" w14:textId="77777777" w:rsidR="001A5D08" w:rsidRPr="00E01C2B" w:rsidRDefault="001A5D08">
      <w:pPr>
        <w:pStyle w:val="Heading1"/>
      </w:pPr>
      <w:r>
        <w:t>Rule, r*</w:t>
      </w:r>
    </w:p>
    <w:p w14:paraId="77264269" w14:textId="3F2D31BA" w:rsidR="001A5D08" w:rsidRPr="00144D3A" w:rsidRDefault="005E4011">
      <w:pPr>
        <w:rPr>
          <w:rFonts w:ascii="Times New Roman" w:hAnsi="Times New Roman" w:cs="Times New Roman"/>
          <w:color w:val="FF0000"/>
        </w:rPr>
      </w:pPr>
      <w:r>
        <w:rPr>
          <w:rFonts w:ascii="Times New Roman" w:hAnsi="Times New Roman" w:cs="Times New Roman"/>
        </w:rPr>
        <w:t xml:space="preserve">One of the rules that the Fed publishes in its Monetary Policy Report is the balanced approach rule. The balanced approach rule takes a very similar approach to policy setting that the Taylor rule would suggest. The key difference is an increase in the coefficient associated with resource </w:t>
      </w:r>
      <w:r w:rsidR="00E777C8">
        <w:rPr>
          <w:rFonts w:ascii="Times New Roman" w:hAnsi="Times New Roman" w:cs="Times New Roman"/>
        </w:rPr>
        <w:t>differences</w:t>
      </w:r>
      <w:r>
        <w:rPr>
          <w:rFonts w:ascii="Times New Roman" w:hAnsi="Times New Roman" w:cs="Times New Roman"/>
        </w:rPr>
        <w:t xml:space="preserve">; this creates a more explicit emphasis on labor market divergence in comparison to the traditional Taylor rule. </w:t>
      </w:r>
      <w:r w:rsidR="00D52B71">
        <w:rPr>
          <w:rFonts w:ascii="Times New Roman" w:hAnsi="Times New Roman" w:cs="Times New Roman"/>
        </w:rPr>
        <w:t xml:space="preserve">It carries a 2 on the unemployment gap which is double the Taylor Rule and is symmetric. </w:t>
      </w:r>
      <w:r>
        <w:rPr>
          <w:rFonts w:ascii="Times New Roman" w:hAnsi="Times New Roman" w:cs="Times New Roman"/>
        </w:rPr>
        <w:t xml:space="preserve">R* = r* + π + 0.5(π − 2) + 2(u* − u). </w:t>
      </w:r>
      <w:r w:rsidR="005C0FFE">
        <w:rPr>
          <w:rFonts w:ascii="Times New Roman" w:hAnsi="Times New Roman" w:cs="Times New Roman"/>
        </w:rPr>
        <w:t>The MPR’s inertial rule uses 0.85 per quarter</w:t>
      </w:r>
      <w:r w:rsidR="00C90857">
        <w:rPr>
          <w:rFonts w:ascii="Times New Roman" w:hAnsi="Times New Roman" w:cs="Times New Roman"/>
        </w:rPr>
        <w:t>, which is the weight on the last period’s rate: 0.922 per meeting (</w:t>
      </w:r>
      <w:r w:rsidR="006D35D3">
        <w:rPr>
          <w:rFonts w:ascii="Times New Roman" w:hAnsi="Times New Roman" w:cs="Times New Roman"/>
        </w:rPr>
        <w:t>sqrt (</w:t>
      </w:r>
      <w:r w:rsidR="00C90857">
        <w:rPr>
          <w:rFonts w:ascii="Times New Roman" w:hAnsi="Times New Roman" w:cs="Times New Roman"/>
        </w:rPr>
        <w:t>0.85))</w:t>
      </w:r>
      <w:r w:rsidR="005C0FFE">
        <w:rPr>
          <w:rFonts w:ascii="Times New Roman" w:hAnsi="Times New Roman" w:cs="Times New Roman"/>
        </w:rPr>
        <w:t xml:space="preserve">. </w:t>
      </w:r>
      <w:r w:rsidR="000C7137">
        <w:rPr>
          <w:rFonts w:ascii="Times New Roman" w:hAnsi="Times New Roman" w:cs="Times New Roman"/>
        </w:rPr>
        <w:t>H</w:t>
      </w:r>
      <w:r>
        <w:rPr>
          <w:rFonts w:ascii="Times New Roman" w:hAnsi="Times New Roman" w:cs="Times New Roman"/>
        </w:rPr>
        <w:t>old today's inputs as flat across the path</w:t>
      </w:r>
      <w:r w:rsidR="00E777C8">
        <w:rPr>
          <w:rFonts w:ascii="Times New Roman" w:hAnsi="Times New Roman" w:cs="Times New Roman"/>
        </w:rPr>
        <w:t xml:space="preserve"> and ask</w:t>
      </w:r>
      <w:r w:rsidR="000C7137">
        <w:rPr>
          <w:rFonts w:ascii="Times New Roman" w:hAnsi="Times New Roman" w:cs="Times New Roman"/>
        </w:rPr>
        <w:t>:</w:t>
      </w:r>
      <w:r w:rsidR="00E777C8">
        <w:rPr>
          <w:rFonts w:ascii="Times New Roman" w:hAnsi="Times New Roman" w:cs="Times New Roman"/>
        </w:rPr>
        <w:t xml:space="preserve"> where</w:t>
      </w:r>
      <w:r w:rsidR="006D35D3">
        <w:rPr>
          <w:rFonts w:ascii="Times New Roman" w:hAnsi="Times New Roman" w:cs="Times New Roman"/>
        </w:rPr>
        <w:t xml:space="preserve"> does</w:t>
      </w:r>
      <w:r w:rsidR="00E777C8">
        <w:rPr>
          <w:rFonts w:ascii="Times New Roman" w:hAnsi="Times New Roman" w:cs="Times New Roman"/>
        </w:rPr>
        <w:t xml:space="preserve"> the rule </w:t>
      </w:r>
      <w:r w:rsidR="00CD7765">
        <w:rPr>
          <w:rFonts w:ascii="Times New Roman" w:hAnsi="Times New Roman" w:cs="Times New Roman"/>
        </w:rPr>
        <w:t>take</w:t>
      </w:r>
      <w:r w:rsidR="00E777C8">
        <w:rPr>
          <w:rFonts w:ascii="Times New Roman" w:hAnsi="Times New Roman" w:cs="Times New Roman"/>
        </w:rPr>
        <w:t xml:space="preserve"> policy?</w:t>
      </w:r>
      <w:r>
        <w:rPr>
          <w:rFonts w:ascii="Times New Roman" w:hAnsi="Times New Roman" w:cs="Times New Roman"/>
        </w:rPr>
        <w:t xml:space="preserve"> </w:t>
      </w:r>
    </w:p>
    <w:p w14:paraId="11CEB800" w14:textId="77777777" w:rsidR="001A5D08" w:rsidRPr="0096356E" w:rsidRDefault="001A5D08">
      <w:pPr>
        <w:pStyle w:val="Heading2"/>
      </w:pPr>
      <w:r>
        <w:t>Real-time inputs</w:t>
      </w:r>
    </w:p>
    <w:p w14:paraId="4275833C" w14:textId="1E61A3E4" w:rsidR="00177B65" w:rsidRDefault="00177B65">
      <w:pPr>
        <w:rPr>
          <w:rFonts w:ascii="Times New Roman" w:hAnsi="Times New Roman" w:cs="Times New Roman"/>
        </w:rPr>
      </w:pPr>
      <w:r>
        <w:rPr>
          <w:rFonts w:ascii="Times New Roman" w:hAnsi="Times New Roman" w:cs="Times New Roman"/>
        </w:rPr>
        <w:t xml:space="preserve">With the balanced approach rule in mind, estimate the variables. Beginning with π, which is the 12-month core PCE, bridged from CPI for months PCE hasn’t </w:t>
      </w:r>
      <w:r w:rsidR="00E777C8">
        <w:rPr>
          <w:rFonts w:ascii="Times New Roman" w:hAnsi="Times New Roman" w:cs="Times New Roman"/>
        </w:rPr>
        <w:t>printed</w:t>
      </w:r>
      <w:r>
        <w:rPr>
          <w:rFonts w:ascii="Times New Roman" w:hAnsi="Times New Roman" w:cs="Times New Roman"/>
        </w:rPr>
        <w:t xml:space="preserve"> yet. </w:t>
      </w:r>
      <w:r w:rsidR="00425DB2">
        <w:rPr>
          <w:rFonts w:ascii="Times New Roman" w:hAnsi="Times New Roman" w:cs="Times New Roman"/>
        </w:rPr>
        <w:t>The paper</w:t>
      </w:r>
      <w:r>
        <w:rPr>
          <w:rFonts w:ascii="Times New Roman" w:hAnsi="Times New Roman" w:cs="Times New Roman"/>
        </w:rPr>
        <w:t xml:space="preserve"> tested </w:t>
      </w:r>
      <w:r w:rsidR="00076B0B">
        <w:rPr>
          <w:rFonts w:ascii="Times New Roman" w:hAnsi="Times New Roman" w:cs="Times New Roman"/>
        </w:rPr>
        <w:t>the accuracy</w:t>
      </w:r>
      <w:r>
        <w:rPr>
          <w:rFonts w:ascii="Times New Roman" w:hAnsi="Times New Roman" w:cs="Times New Roman"/>
        </w:rPr>
        <w:t xml:space="preserve"> of this bridge and returned a RMSE of 0.075%</w:t>
      </w:r>
      <w:r w:rsidR="00076B0B">
        <w:rPr>
          <w:rFonts w:ascii="Times New Roman" w:hAnsi="Times New Roman" w:cs="Times New Roman"/>
        </w:rPr>
        <w:t xml:space="preserve"> </w:t>
      </w:r>
      <w:r w:rsidR="00923E60">
        <w:rPr>
          <w:rFonts w:ascii="Times New Roman" w:hAnsi="Times New Roman" w:cs="Times New Roman"/>
        </w:rPr>
        <w:t>pp</w:t>
      </w:r>
      <w:r w:rsidR="00076B0B">
        <w:rPr>
          <w:rFonts w:ascii="Times New Roman" w:hAnsi="Times New Roman" w:cs="Times New Roman"/>
        </w:rPr>
        <w:t xml:space="preserve"> against </w:t>
      </w:r>
      <w:r w:rsidR="00EA5B16">
        <w:rPr>
          <w:rFonts w:ascii="Times New Roman" w:hAnsi="Times New Roman" w:cs="Times New Roman"/>
        </w:rPr>
        <w:t>PCE’s</w:t>
      </w:r>
      <w:r w:rsidR="00076B0B">
        <w:rPr>
          <w:rFonts w:ascii="Times New Roman" w:hAnsi="Times New Roman" w:cs="Times New Roman"/>
        </w:rPr>
        <w:t xml:space="preserve"> first print over 185 months</w:t>
      </w:r>
      <w:r>
        <w:rPr>
          <w:rFonts w:ascii="Times New Roman" w:hAnsi="Times New Roman" w:cs="Times New Roman"/>
        </w:rPr>
        <w:t xml:space="preserve">. u* is CBO’s estimate </w:t>
      </w:r>
      <w:r w:rsidR="00076B0B">
        <w:rPr>
          <w:rFonts w:ascii="Times New Roman" w:hAnsi="Times New Roman" w:cs="Times New Roman"/>
        </w:rPr>
        <w:t xml:space="preserve">as vintaged on that day, </w:t>
      </w:r>
      <w:r>
        <w:rPr>
          <w:rFonts w:ascii="Times New Roman" w:hAnsi="Times New Roman" w:cs="Times New Roman"/>
        </w:rPr>
        <w:t xml:space="preserve">from ALFRED. </w:t>
      </w:r>
      <w:r w:rsidR="00506A10">
        <w:rPr>
          <w:rFonts w:ascii="Times New Roman" w:hAnsi="Times New Roman" w:cs="Times New Roman"/>
        </w:rPr>
        <w:t xml:space="preserve">Further, </w:t>
      </w:r>
      <w:r w:rsidR="00425DB2">
        <w:rPr>
          <w:rFonts w:ascii="Times New Roman" w:hAnsi="Times New Roman" w:cs="Times New Roman"/>
        </w:rPr>
        <w:t xml:space="preserve">the paper seeks to address </w:t>
      </w:r>
      <w:r w:rsidR="00506A10">
        <w:rPr>
          <w:rFonts w:ascii="Times New Roman" w:hAnsi="Times New Roman" w:cs="Times New Roman"/>
        </w:rPr>
        <w:t xml:space="preserve">lookahead bias. A test reruns the whole chain cut off </w:t>
      </w:r>
      <w:r w:rsidR="00A658AD">
        <w:rPr>
          <w:rFonts w:ascii="Times New Roman" w:hAnsi="Times New Roman" w:cs="Times New Roman"/>
        </w:rPr>
        <w:t>on</w:t>
      </w:r>
      <w:r w:rsidR="00506A10">
        <w:rPr>
          <w:rFonts w:ascii="Times New Roman" w:hAnsi="Times New Roman" w:cs="Times New Roman"/>
        </w:rPr>
        <w:t xml:space="preserve"> day D, then appends the deliberately corrupted data</w:t>
      </w:r>
      <w:r w:rsidR="00FE2F39">
        <w:rPr>
          <w:rFonts w:ascii="Times New Roman" w:hAnsi="Times New Roman" w:cs="Times New Roman"/>
        </w:rPr>
        <w:t xml:space="preserve"> and checks that nothing on or before D moves</w:t>
      </w:r>
      <w:r w:rsidR="00506A10">
        <w:rPr>
          <w:rFonts w:ascii="Times New Roman" w:hAnsi="Times New Roman" w:cs="Times New Roman"/>
        </w:rPr>
        <w:t xml:space="preserve">. </w:t>
      </w:r>
      <w:r w:rsidR="00EC66C3">
        <w:rPr>
          <w:rFonts w:ascii="Times New Roman" w:hAnsi="Times New Roman" w:cs="Times New Roman"/>
        </w:rPr>
        <w:t>Lastly, G</w:t>
      </w:r>
      <w:r w:rsidR="00AF5C53">
        <w:rPr>
          <w:rFonts w:ascii="Times New Roman" w:hAnsi="Times New Roman" w:cs="Times New Roman"/>
        </w:rPr>
        <w:t>BP’s u* is</w:t>
      </w:r>
      <w:r w:rsidR="00EC66C3">
        <w:rPr>
          <w:rFonts w:ascii="Times New Roman" w:hAnsi="Times New Roman" w:cs="Times New Roman"/>
        </w:rPr>
        <w:t xml:space="preserve"> a constant 4.5%</w:t>
      </w:r>
      <w:r w:rsidR="00AF5C53">
        <w:rPr>
          <w:rFonts w:ascii="Times New Roman" w:hAnsi="Times New Roman" w:cs="Times New Roman"/>
        </w:rPr>
        <w:t>, not a real-time estimate</w:t>
      </w:r>
      <w:r w:rsidR="00EC66C3">
        <w:rPr>
          <w:rFonts w:ascii="Times New Roman" w:hAnsi="Times New Roman" w:cs="Times New Roman"/>
        </w:rPr>
        <w:t>.</w:t>
      </w:r>
    </w:p>
    <w:p w14:paraId="31386738" w14:textId="77777777" w:rsidR="00712BEA" w:rsidRDefault="00712BEA" w:rsidP="00712BEA">
      <w:pPr>
        <w:keepNext/>
        <w:spacing w:before="120"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1D2E0C8D" wp14:editId="0BAD9A1D">
            <wp:extent cx="5303520" cy="3610742"/>
            <wp:effectExtent l="0" t="0" r="0" b="0"/>
            <wp:docPr id="1380386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86155" name="Picture 13803861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03520" cy="3610742"/>
                    </a:xfrm>
                    <a:prstGeom prst="rect">
                      <a:avLst/>
                    </a:prstGeom>
                  </pic:spPr>
                </pic:pic>
              </a:graphicData>
            </a:graphic>
          </wp:inline>
        </w:drawing>
      </w:r>
    </w:p>
    <w:p w14:paraId="5BDCA1B0" w14:textId="7C81B707" w:rsidR="00464FA0" w:rsidRDefault="00000000">
      <w:pPr>
        <w:pStyle w:val="Caption"/>
      </w:pPr>
      <w:r>
        <w:rPr>
          <w:b/>
          <w:i w:val="0"/>
        </w:rPr>
        <w:t xml:space="preserve">Figure </w:t>
      </w:r>
      <w:fldSimple w:instr=" SEQ Figure \* ARABIC ">
        <w:r w:rsidR="00A50EFD">
          <w:rPr>
            <w:noProof/>
          </w:rPr>
          <w:t>4</w:t>
        </w:r>
      </w:fldSimple>
      <w:r>
        <w:rPr>
          <w:b/>
          <w:i w:val="0"/>
        </w:rPr>
        <w:t xml:space="preserve">. </w:t>
      </w:r>
      <w:r>
        <w:t>Real-time USD rule inputs: core PCE inflation as it could be read each day, and the unemployment gap.</w:t>
      </w:r>
    </w:p>
    <w:p w14:paraId="3A33CEAE" w14:textId="77777777" w:rsidR="001A5D08" w:rsidRPr="00E01C2B" w:rsidRDefault="001A5D08">
      <w:pPr>
        <w:pStyle w:val="Heading2"/>
      </w:pPr>
      <w:r>
        <w:t>r* choices</w:t>
      </w:r>
    </w:p>
    <w:p w14:paraId="708CB8B5" w14:textId="0350815E" w:rsidR="00CE1BC1" w:rsidRDefault="00CE1BC1">
      <w:pPr>
        <w:rPr>
          <w:rFonts w:ascii="Times New Roman" w:hAnsi="Times New Roman" w:cs="Times New Roman"/>
        </w:rPr>
      </w:pPr>
      <w:r>
        <w:rPr>
          <w:rFonts w:ascii="Times New Roman" w:hAnsi="Times New Roman" w:cs="Times New Roman"/>
        </w:rPr>
        <w:t xml:space="preserve">A key benefit of using SEP is how it is at a moment in time. There is no revision, and so it’s real time with no vintage. </w:t>
      </w:r>
      <w:r w:rsidR="00415EFB">
        <w:rPr>
          <w:rFonts w:ascii="Times New Roman" w:hAnsi="Times New Roman" w:cs="Times New Roman"/>
        </w:rPr>
        <w:t xml:space="preserve">This isn’t the same for </w:t>
      </w:r>
      <w:r w:rsidR="008826CD">
        <w:rPr>
          <w:rFonts w:ascii="Times New Roman" w:hAnsi="Times New Roman" w:cs="Times New Roman"/>
        </w:rPr>
        <w:t>GBP,</w:t>
      </w:r>
      <w:r w:rsidR="00415EFB">
        <w:rPr>
          <w:rFonts w:ascii="Times New Roman" w:hAnsi="Times New Roman" w:cs="Times New Roman"/>
        </w:rPr>
        <w:t xml:space="preserve"> which uses a constant -1.6%, the average real Bank rate.</w:t>
      </w:r>
      <w:r w:rsidR="008826CD">
        <w:rPr>
          <w:rFonts w:ascii="Times New Roman" w:hAnsi="Times New Roman" w:cs="Times New Roman"/>
        </w:rPr>
        <w:t xml:space="preserve"> </w:t>
      </w:r>
      <w:r w:rsidR="002E582A">
        <w:rPr>
          <w:rFonts w:ascii="Times New Roman" w:hAnsi="Times New Roman" w:cs="Times New Roman"/>
        </w:rPr>
        <w:t>Both</w:t>
      </w:r>
      <w:r w:rsidR="008826CD">
        <w:rPr>
          <w:rFonts w:ascii="Times New Roman" w:hAnsi="Times New Roman" w:cs="Times New Roman"/>
        </w:rPr>
        <w:t xml:space="preserve"> values are tested </w:t>
      </w:r>
      <w:r w:rsidR="00467C01">
        <w:rPr>
          <w:rFonts w:ascii="Times New Roman" w:hAnsi="Times New Roman" w:cs="Times New Roman"/>
        </w:rPr>
        <w:t>later</w:t>
      </w:r>
      <w:r w:rsidR="008826CD">
        <w:rPr>
          <w:rFonts w:ascii="Times New Roman" w:hAnsi="Times New Roman" w:cs="Times New Roman"/>
        </w:rPr>
        <w:t xml:space="preserve"> in Robustness using HLW in real time for USD and constants for GBP.</w:t>
      </w:r>
    </w:p>
    <w:p w14:paraId="6196ED3D" w14:textId="77777777" w:rsidR="00464FA0" w:rsidRDefault="00000000">
      <w:pPr>
        <w:pStyle w:val="Heading1"/>
      </w:pPr>
      <w:r>
        <w:t>The level</w:t>
      </w:r>
    </w:p>
    <w:p w14:paraId="7618362B" w14:textId="7AF67357" w:rsidR="00F3738E" w:rsidRDefault="005A6CB6" w:rsidP="00F3738E">
      <w:pPr>
        <w:rPr>
          <w:rFonts w:ascii="Times New Roman" w:hAnsi="Times New Roman" w:cs="Times New Roman"/>
        </w:rPr>
      </w:pPr>
      <w:r>
        <w:rPr>
          <w:rFonts w:ascii="Times New Roman" w:hAnsi="Times New Roman" w:cs="Times New Roman"/>
        </w:rPr>
        <w:t>The</w:t>
      </w:r>
      <w:r w:rsidR="00F3738E">
        <w:rPr>
          <w:rFonts w:ascii="Times New Roman" w:hAnsi="Times New Roman" w:cs="Times New Roman"/>
        </w:rPr>
        <w:t xml:space="preserve"> market trades persistently below the rule. For the USD, that’s 13 out of 13 years</w:t>
      </w:r>
      <w:r w:rsidR="00137B18">
        <w:rPr>
          <w:rFonts w:ascii="Times New Roman" w:hAnsi="Times New Roman" w:cs="Times New Roman"/>
        </w:rPr>
        <w:t xml:space="preserve"> outside the ELB</w:t>
      </w:r>
      <w:r w:rsidR="00F3738E">
        <w:rPr>
          <w:rFonts w:ascii="Times New Roman" w:hAnsi="Times New Roman" w:cs="Times New Roman"/>
        </w:rPr>
        <w:t>, by -25</w:t>
      </w:r>
      <w:r w:rsidR="00475D9A">
        <w:rPr>
          <w:rFonts w:ascii="Times New Roman" w:hAnsi="Times New Roman" w:cs="Times New Roman"/>
        </w:rPr>
        <w:t xml:space="preserve"> </w:t>
      </w:r>
      <w:r w:rsidR="00F3738E">
        <w:rPr>
          <w:rFonts w:ascii="Times New Roman" w:hAnsi="Times New Roman" w:cs="Times New Roman"/>
        </w:rPr>
        <w:t>bp to -86</w:t>
      </w:r>
      <w:r w:rsidR="00475D9A">
        <w:rPr>
          <w:rFonts w:ascii="Times New Roman" w:hAnsi="Times New Roman" w:cs="Times New Roman"/>
        </w:rPr>
        <w:t xml:space="preserve"> </w:t>
      </w:r>
      <w:r w:rsidR="00F3738E">
        <w:rPr>
          <w:rFonts w:ascii="Times New Roman" w:hAnsi="Times New Roman" w:cs="Times New Roman"/>
        </w:rPr>
        <w:t xml:space="preserve">bp. </w:t>
      </w:r>
      <w:r w:rsidR="00137B18">
        <w:rPr>
          <w:rFonts w:ascii="Times New Roman" w:hAnsi="Times New Roman" w:cs="Times New Roman"/>
        </w:rPr>
        <w:t>By regime that is -37 bp hiking, -53 bp on hold, and -62 bp cutting.</w:t>
      </w:r>
      <w:r w:rsidR="0062530F">
        <w:rPr>
          <w:rFonts w:ascii="Times New Roman" w:hAnsi="Times New Roman" w:cs="Times New Roman"/>
        </w:rPr>
        <w:t xml:space="preserve"> In effect, this matches the pattern of the market pricing below the FOMC’s dots. </w:t>
      </w:r>
    </w:p>
    <w:p w14:paraId="19E2F6E0" w14:textId="77777777" w:rsidR="00F3738E" w:rsidRDefault="00F3738E" w:rsidP="00F3738E">
      <w:pPr>
        <w:keepNext/>
        <w:spacing w:before="120"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6DB74CB2" wp14:editId="1425DD75">
            <wp:extent cx="5120640" cy="3727909"/>
            <wp:effectExtent l="0" t="0" r="0" b="0"/>
            <wp:docPr id="1478027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27540" name="Picture 14780275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20640" cy="3727909"/>
                    </a:xfrm>
                    <a:prstGeom prst="rect">
                      <a:avLst/>
                    </a:prstGeom>
                  </pic:spPr>
                </pic:pic>
              </a:graphicData>
            </a:graphic>
          </wp:inline>
        </w:drawing>
      </w:r>
    </w:p>
    <w:p w14:paraId="3325AE8A" w14:textId="0EE1C186" w:rsidR="00464FA0" w:rsidRDefault="00000000">
      <w:pPr>
        <w:pStyle w:val="Caption"/>
      </w:pPr>
      <w:r>
        <w:rPr>
          <w:b/>
          <w:i w:val="0"/>
        </w:rPr>
        <w:t xml:space="preserve">Figure </w:t>
      </w:r>
      <w:fldSimple w:instr=" SEQ Figure \* ARABIC ">
        <w:r w:rsidR="00A50EFD">
          <w:rPr>
            <w:noProof/>
          </w:rPr>
          <w:t>5</w:t>
        </w:r>
      </w:fldSimple>
      <w:r>
        <w:rPr>
          <w:b/>
          <w:i w:val="0"/>
        </w:rPr>
        <w:t xml:space="preserve">. </w:t>
      </w:r>
      <w:r>
        <w:t xml:space="preserve">USD: the market path against the </w:t>
      </w:r>
      <w:proofErr w:type="gramStart"/>
      <w:r>
        <w:t>balanced-approach</w:t>
      </w:r>
      <w:proofErr w:type="gramEnd"/>
      <w:r>
        <w:t xml:space="preserve"> rule, and the gap at the fourth meeting ahead.</w:t>
      </w:r>
    </w:p>
    <w:p w14:paraId="47A5C2B1" w14:textId="4C85F88F" w:rsidR="00F3738E" w:rsidRDefault="00B053DE" w:rsidP="00F3738E">
      <w:pPr>
        <w:rPr>
          <w:rFonts w:ascii="Times New Roman" w:hAnsi="Times New Roman" w:cs="Times New Roman"/>
        </w:rPr>
      </w:pPr>
      <w:r>
        <w:rPr>
          <w:rFonts w:ascii="Times New Roman" w:hAnsi="Times New Roman" w:cs="Times New Roman"/>
        </w:rPr>
        <w:t xml:space="preserve">The gaps are larger for GBP (-122 to </w:t>
      </w:r>
      <w:r w:rsidR="0012426E">
        <w:rPr>
          <w:rFonts w:ascii="Times New Roman" w:hAnsi="Times New Roman" w:cs="Times New Roman"/>
        </w:rPr>
        <w:t>+</w:t>
      </w:r>
      <w:r>
        <w:rPr>
          <w:rFonts w:ascii="Times New Roman" w:hAnsi="Times New Roman" w:cs="Times New Roman"/>
        </w:rPr>
        <w:t xml:space="preserve">102 bp). However, they change signs throughout cycles, -81 bp when hiking and </w:t>
      </w:r>
      <w:r w:rsidR="001904F5">
        <w:rPr>
          <w:rFonts w:ascii="Times New Roman" w:hAnsi="Times New Roman" w:cs="Times New Roman"/>
        </w:rPr>
        <w:t>+</w:t>
      </w:r>
      <w:r>
        <w:rPr>
          <w:rFonts w:ascii="Times New Roman" w:hAnsi="Times New Roman" w:cs="Times New Roman"/>
        </w:rPr>
        <w:t xml:space="preserve">28 bp while cutting. This isn’t persistent but depends on regime. </w:t>
      </w:r>
      <w:r w:rsidR="0062530F">
        <w:rPr>
          <w:rFonts w:ascii="Times New Roman" w:hAnsi="Times New Roman" w:cs="Times New Roman"/>
        </w:rPr>
        <w:t>That can be seen as 8 of the 11 years remain below the rule, and above from 2024 (</w:t>
      </w:r>
      <w:r w:rsidR="0012426E">
        <w:rPr>
          <w:rFonts w:ascii="Times New Roman" w:hAnsi="Times New Roman" w:cs="Times New Roman"/>
        </w:rPr>
        <w:t>+36</w:t>
      </w:r>
      <w:r w:rsidR="0062530F">
        <w:rPr>
          <w:rFonts w:ascii="Times New Roman" w:hAnsi="Times New Roman" w:cs="Times New Roman"/>
        </w:rPr>
        <w:t xml:space="preserve"> bp, </w:t>
      </w:r>
      <w:r w:rsidR="0012426E">
        <w:rPr>
          <w:rFonts w:ascii="Times New Roman" w:hAnsi="Times New Roman" w:cs="Times New Roman"/>
        </w:rPr>
        <w:t>+</w:t>
      </w:r>
      <w:r w:rsidR="0062530F">
        <w:rPr>
          <w:rFonts w:ascii="Times New Roman" w:hAnsi="Times New Roman" w:cs="Times New Roman"/>
        </w:rPr>
        <w:t xml:space="preserve">19 bp, </w:t>
      </w:r>
      <w:r w:rsidR="0012426E">
        <w:rPr>
          <w:rFonts w:ascii="Times New Roman" w:hAnsi="Times New Roman" w:cs="Times New Roman"/>
        </w:rPr>
        <w:t>+</w:t>
      </w:r>
      <w:r w:rsidR="0062530F">
        <w:rPr>
          <w:rFonts w:ascii="Times New Roman" w:hAnsi="Times New Roman" w:cs="Times New Roman"/>
        </w:rPr>
        <w:t>102 bp). With a fixed r*, the post 2024 flip is consistent with r* being wrong</w:t>
      </w:r>
      <w:r w:rsidR="00E543CF">
        <w:rPr>
          <w:rFonts w:ascii="Times New Roman" w:hAnsi="Times New Roman" w:cs="Times New Roman"/>
        </w:rPr>
        <w:t xml:space="preserve"> as with the market repricing, and this measurement can’t separate them</w:t>
      </w:r>
      <w:r w:rsidR="0062530F">
        <w:rPr>
          <w:rFonts w:ascii="Times New Roman" w:hAnsi="Times New Roman" w:cs="Times New Roman"/>
        </w:rPr>
        <w:t xml:space="preserve">. </w:t>
      </w:r>
    </w:p>
    <w:p w14:paraId="3D2AE2FB" w14:textId="77777777" w:rsidR="00F3738E" w:rsidRDefault="00F3738E" w:rsidP="00F3738E">
      <w:pPr>
        <w:keepNext/>
        <w:spacing w:before="120"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08685B80" wp14:editId="461AFB42">
            <wp:extent cx="5120640" cy="3450374"/>
            <wp:effectExtent l="0" t="0" r="0" b="0"/>
            <wp:docPr id="2044335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35423" name="Picture 20443354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20640" cy="3450374"/>
                    </a:xfrm>
                    <a:prstGeom prst="rect">
                      <a:avLst/>
                    </a:prstGeom>
                  </pic:spPr>
                </pic:pic>
              </a:graphicData>
            </a:graphic>
          </wp:inline>
        </w:drawing>
      </w:r>
    </w:p>
    <w:p w14:paraId="3152997E" w14:textId="5C098339" w:rsidR="00464FA0" w:rsidRDefault="00000000">
      <w:pPr>
        <w:pStyle w:val="Caption"/>
      </w:pPr>
      <w:r>
        <w:rPr>
          <w:b/>
          <w:i w:val="0"/>
        </w:rPr>
        <w:t xml:space="preserve">Figure </w:t>
      </w:r>
      <w:fldSimple w:instr=" SEQ Figure \* ARABIC ">
        <w:r w:rsidR="00A50EFD">
          <w:rPr>
            <w:noProof/>
          </w:rPr>
          <w:t>6</w:t>
        </w:r>
      </w:fldSimple>
      <w:r>
        <w:rPr>
          <w:b/>
          <w:i w:val="0"/>
        </w:rPr>
        <w:t xml:space="preserve">. </w:t>
      </w:r>
      <w:r>
        <w:t>GBP: the market path against the balanced-approach rule, and the gap at the fourth meeting ahead.</w:t>
      </w:r>
    </w:p>
    <w:p w14:paraId="0348963C" w14:textId="1A625DC8" w:rsidR="00F3738E" w:rsidRDefault="00F3738E">
      <w:pPr>
        <w:rPr>
          <w:rFonts w:ascii="Times New Roman" w:hAnsi="Times New Roman" w:cs="Times New Roman"/>
        </w:rPr>
      </w:pPr>
      <w:r>
        <w:rPr>
          <w:rFonts w:ascii="Times New Roman" w:hAnsi="Times New Roman" w:cs="Times New Roman"/>
        </w:rPr>
        <w:t>63% of the variance of the daily gross P&amp;L is the exposure to the front-end</w:t>
      </w:r>
      <w:r w:rsidR="00250837">
        <w:rPr>
          <w:rFonts w:ascii="Times New Roman" w:hAnsi="Times New Roman" w:cs="Times New Roman"/>
        </w:rPr>
        <w:t xml:space="preserve">, so the book is closer to a duration timer than it is to a relative value trade. </w:t>
      </w:r>
      <w:r>
        <w:rPr>
          <w:rFonts w:ascii="Times New Roman" w:hAnsi="Times New Roman" w:cs="Times New Roman"/>
        </w:rPr>
        <w:t xml:space="preserve">In fact, for the </w:t>
      </w:r>
      <w:r w:rsidR="00757CD9">
        <w:rPr>
          <w:rFonts w:ascii="Times New Roman" w:hAnsi="Times New Roman" w:cs="Times New Roman"/>
        </w:rPr>
        <w:t xml:space="preserve">gross </w:t>
      </w:r>
      <w:r>
        <w:rPr>
          <w:rFonts w:ascii="Times New Roman" w:hAnsi="Times New Roman" w:cs="Times New Roman"/>
        </w:rPr>
        <w:t>P&amp;L, the level exposure earned 0.05</w:t>
      </w:r>
      <w:r w:rsidR="00757CD9">
        <w:rPr>
          <w:rFonts w:ascii="Times New Roman" w:hAnsi="Times New Roman" w:cs="Times New Roman"/>
        </w:rPr>
        <w:t>%</w:t>
      </w:r>
      <w:r>
        <w:rPr>
          <w:rFonts w:ascii="Times New Roman" w:hAnsi="Times New Roman" w:cs="Times New Roman"/>
        </w:rPr>
        <w:t xml:space="preserve"> of capital per year, where the rest lost -0.77%. </w:t>
      </w:r>
      <w:r w:rsidR="000E66D3">
        <w:rPr>
          <w:rFonts w:ascii="Times New Roman" w:hAnsi="Times New Roman" w:cs="Times New Roman"/>
        </w:rPr>
        <w:t xml:space="preserve">The level sleeves earn +0.22% per year gross and -1.20% net; costs (1.43%) alone turn the level negative. </w:t>
      </w:r>
    </w:p>
    <w:p w14:paraId="12B827A2" w14:textId="77777777" w:rsidR="00464FA0" w:rsidRDefault="00000000">
      <w:pPr>
        <w:keepNext/>
        <w:spacing w:before="120" w:after="0"/>
        <w:jc w:val="center"/>
        <w:rPr>
          <w:rFonts w:ascii="Times New Roman" w:hAnsi="Times New Roman" w:cs="Times New Roman"/>
        </w:rPr>
      </w:pPr>
      <w:r>
        <w:rPr>
          <w:rFonts w:ascii="Times New Roman" w:hAnsi="Times New Roman" w:cs="Times New Roman"/>
          <w:noProof/>
        </w:rPr>
        <w:drawing>
          <wp:inline distT="0" distB="0" distL="0" distR="0" wp14:anchorId="6B2636AB" wp14:editId="22DF802E">
            <wp:extent cx="3931920" cy="2614308"/>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Picture 30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31920" cy="2614308"/>
                    </a:xfrm>
                    <a:prstGeom prst="rect">
                      <a:avLst/>
                    </a:prstGeom>
                  </pic:spPr>
                </pic:pic>
              </a:graphicData>
            </a:graphic>
          </wp:inline>
        </w:drawing>
      </w:r>
    </w:p>
    <w:p w14:paraId="3DD52F4C" w14:textId="0AE7371C" w:rsidR="00464FA0" w:rsidRDefault="00000000">
      <w:pPr>
        <w:pStyle w:val="Caption"/>
      </w:pPr>
      <w:r>
        <w:rPr>
          <w:b/>
          <w:i w:val="0"/>
        </w:rPr>
        <w:t xml:space="preserve">Figure </w:t>
      </w:r>
      <w:fldSimple w:instr=" SEQ Figure \* ARABIC ">
        <w:r w:rsidR="00A50EFD">
          <w:rPr>
            <w:noProof/>
          </w:rPr>
          <w:t>7</w:t>
        </w:r>
      </w:fldSimple>
      <w:r>
        <w:rPr>
          <w:b/>
          <w:i w:val="0"/>
        </w:rPr>
        <w:t xml:space="preserve">. </w:t>
      </w:r>
      <w:r>
        <w:t>Net equity by component: level, slope and cross-country, with the book gross and net.</w:t>
      </w:r>
    </w:p>
    <w:p w14:paraId="36843EFE" w14:textId="77777777" w:rsidR="001A5D08" w:rsidRDefault="001A5D08">
      <w:pPr>
        <w:pStyle w:val="Heading1"/>
      </w:pPr>
      <w:r>
        <w:lastRenderedPageBreak/>
        <w:t>The signal and the null</w:t>
      </w:r>
    </w:p>
    <w:p w14:paraId="0A715B96" w14:textId="77777777" w:rsidR="00464FA0" w:rsidRDefault="00000000">
      <w:pPr>
        <w:keepNext/>
        <w:spacing w:before="120" w:after="0"/>
        <w:jc w:val="center"/>
        <w:rPr>
          <w:rFonts w:ascii="Times New Roman" w:hAnsi="Times New Roman" w:cs="Times New Roman"/>
        </w:rPr>
      </w:pPr>
      <w:r>
        <w:rPr>
          <w:rFonts w:ascii="Times New Roman" w:hAnsi="Times New Roman" w:cs="Times New Roman"/>
          <w:noProof/>
        </w:rPr>
        <w:drawing>
          <wp:inline distT="0" distB="0" distL="0" distR="0" wp14:anchorId="6B2636AB" wp14:editId="22DF802E">
            <wp:extent cx="3931920" cy="2546336"/>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Picture 30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31920" cy="2546336"/>
                    </a:xfrm>
                    <a:prstGeom prst="rect">
                      <a:avLst/>
                    </a:prstGeom>
                  </pic:spPr>
                </pic:pic>
              </a:graphicData>
            </a:graphic>
          </wp:inline>
        </w:drawing>
      </w:r>
    </w:p>
    <w:p w14:paraId="39D33DA5" w14:textId="6588CECE" w:rsidR="00464FA0" w:rsidRDefault="00000000">
      <w:pPr>
        <w:pStyle w:val="Caption"/>
      </w:pPr>
      <w:r>
        <w:rPr>
          <w:b/>
          <w:i w:val="0"/>
        </w:rPr>
        <w:t xml:space="preserve">Figure </w:t>
      </w:r>
      <w:fldSimple w:instr=" SEQ Figure \* ARABIC ">
        <w:r w:rsidR="00A50EFD">
          <w:rPr>
            <w:noProof/>
          </w:rPr>
          <w:t>8</w:t>
        </w:r>
      </w:fldSimple>
      <w:r>
        <w:rPr>
          <w:b/>
          <w:i w:val="0"/>
        </w:rPr>
        <w:t xml:space="preserve">. </w:t>
      </w:r>
      <w:r>
        <w:t>IC of z against the next 5, 21 and 63 sessions’ rate change, outside the ELB.</w:t>
      </w:r>
    </w:p>
    <w:p w14:paraId="77F0A699" w14:textId="6F561B2C" w:rsidR="00464FA0" w:rsidRDefault="00000000">
      <w:pPr>
        <w:pStyle w:val="Caption"/>
        <w:keepNext/>
      </w:pPr>
      <w:r>
        <w:rPr>
          <w:b/>
          <w:i w:val="0"/>
        </w:rPr>
        <w:t xml:space="preserve">Table </w:t>
      </w:r>
      <w:fldSimple w:instr=" SEQ Table \* ARABIC ">
        <w:r w:rsidR="00A50EFD">
          <w:rPr>
            <w:noProof/>
          </w:rPr>
          <w:t>1</w:t>
        </w:r>
      </w:fldSimple>
      <w:r>
        <w:rPr>
          <w:b/>
          <w:i w:val="0"/>
        </w:rPr>
        <w:t xml:space="preserve">. </w:t>
      </w:r>
      <w:r>
        <w:t>IC of z against the rate change over the next h sessions, outside the ELB. Newey-West t in parentheses; the non-overlapping range in brackets.</w:t>
      </w:r>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1560"/>
        <w:gridCol w:w="1380"/>
        <w:gridCol w:w="1380"/>
        <w:gridCol w:w="1380"/>
        <w:gridCol w:w="1140"/>
        <w:gridCol w:w="2520"/>
      </w:tblGrid>
      <w:tr w:rsidR="00464FA0" w14:paraId="343696CB" w14:textId="77777777">
        <w:trPr>
          <w:cantSplit/>
          <w:tblHeader/>
          <w:jc w:val="center"/>
        </w:trPr>
        <w:tc>
          <w:tcPr>
            <w:tcW w:w="1560" w:type="dxa"/>
            <w:shd w:val="clear" w:color="auto" w:fill="E7E6E6"/>
            <w:vAlign w:val="center"/>
          </w:tcPr>
          <w:p w14:paraId="66343C9B" w14:textId="77777777" w:rsidR="00464FA0" w:rsidRDefault="00000000">
            <w:pPr>
              <w:keepNext/>
              <w:spacing w:before="20" w:after="20" w:line="240" w:lineRule="auto"/>
            </w:pPr>
            <w:r>
              <w:rPr>
                <w:rFonts w:ascii="Times New Roman" w:hAnsi="Times New Roman" w:cs="Times New Roman"/>
                <w:b/>
                <w:bCs/>
                <w:sz w:val="19"/>
                <w:szCs w:val="19"/>
              </w:rPr>
              <w:t>Sleeve</w:t>
            </w:r>
          </w:p>
        </w:tc>
        <w:tc>
          <w:tcPr>
            <w:tcW w:w="1380" w:type="dxa"/>
            <w:shd w:val="clear" w:color="auto" w:fill="E7E6E6"/>
            <w:vAlign w:val="center"/>
          </w:tcPr>
          <w:p w14:paraId="7D05FE6A" w14:textId="77777777" w:rsidR="00464FA0" w:rsidRDefault="00000000">
            <w:pPr>
              <w:keepNext/>
              <w:spacing w:before="20" w:after="20" w:line="240" w:lineRule="auto"/>
              <w:jc w:val="center"/>
            </w:pPr>
            <w:proofErr w:type="gramStart"/>
            <w:r>
              <w:rPr>
                <w:rFonts w:ascii="Times New Roman" w:hAnsi="Times New Roman" w:cs="Times New Roman"/>
                <w:b/>
                <w:bCs/>
                <w:sz w:val="19"/>
                <w:szCs w:val="19"/>
              </w:rPr>
              <w:t>IC(</w:t>
            </w:r>
            <w:proofErr w:type="gramEnd"/>
            <w:r>
              <w:rPr>
                <w:rFonts w:ascii="Times New Roman" w:hAnsi="Times New Roman" w:cs="Times New Roman"/>
                <w:b/>
                <w:bCs/>
                <w:sz w:val="19"/>
                <w:szCs w:val="19"/>
              </w:rPr>
              <w:t>5) (t)</w:t>
            </w:r>
          </w:p>
        </w:tc>
        <w:tc>
          <w:tcPr>
            <w:tcW w:w="1380" w:type="dxa"/>
            <w:shd w:val="clear" w:color="auto" w:fill="E7E6E6"/>
            <w:vAlign w:val="center"/>
          </w:tcPr>
          <w:p w14:paraId="69FE2F3A" w14:textId="77777777" w:rsidR="00464FA0" w:rsidRDefault="00000000">
            <w:pPr>
              <w:keepNext/>
              <w:spacing w:before="20" w:after="20" w:line="240" w:lineRule="auto"/>
              <w:jc w:val="center"/>
            </w:pPr>
            <w:proofErr w:type="gramStart"/>
            <w:r>
              <w:rPr>
                <w:rFonts w:ascii="Times New Roman" w:hAnsi="Times New Roman" w:cs="Times New Roman"/>
                <w:b/>
                <w:bCs/>
                <w:sz w:val="19"/>
                <w:szCs w:val="19"/>
              </w:rPr>
              <w:t>IC(</w:t>
            </w:r>
            <w:proofErr w:type="gramEnd"/>
            <w:r>
              <w:rPr>
                <w:rFonts w:ascii="Times New Roman" w:hAnsi="Times New Roman" w:cs="Times New Roman"/>
                <w:b/>
                <w:bCs/>
                <w:sz w:val="19"/>
                <w:szCs w:val="19"/>
              </w:rPr>
              <w:t>21) (t)</w:t>
            </w:r>
          </w:p>
        </w:tc>
        <w:tc>
          <w:tcPr>
            <w:tcW w:w="1380" w:type="dxa"/>
            <w:shd w:val="clear" w:color="auto" w:fill="E7E6E6"/>
            <w:vAlign w:val="center"/>
          </w:tcPr>
          <w:p w14:paraId="5766B4B0" w14:textId="77777777" w:rsidR="00464FA0" w:rsidRDefault="00000000">
            <w:pPr>
              <w:keepNext/>
              <w:spacing w:before="20" w:after="20" w:line="240" w:lineRule="auto"/>
              <w:jc w:val="center"/>
            </w:pPr>
            <w:proofErr w:type="gramStart"/>
            <w:r>
              <w:rPr>
                <w:rFonts w:ascii="Times New Roman" w:hAnsi="Times New Roman" w:cs="Times New Roman"/>
                <w:b/>
                <w:bCs/>
                <w:sz w:val="19"/>
                <w:szCs w:val="19"/>
              </w:rPr>
              <w:t>IC(</w:t>
            </w:r>
            <w:proofErr w:type="gramEnd"/>
            <w:r>
              <w:rPr>
                <w:rFonts w:ascii="Times New Roman" w:hAnsi="Times New Roman" w:cs="Times New Roman"/>
                <w:b/>
                <w:bCs/>
                <w:sz w:val="19"/>
                <w:szCs w:val="19"/>
              </w:rPr>
              <w:t>63) (t)</w:t>
            </w:r>
          </w:p>
        </w:tc>
        <w:tc>
          <w:tcPr>
            <w:tcW w:w="1140" w:type="dxa"/>
            <w:shd w:val="clear" w:color="auto" w:fill="E7E6E6"/>
            <w:vAlign w:val="center"/>
          </w:tcPr>
          <w:p w14:paraId="1A2E9E01" w14:textId="77777777" w:rsidR="00464FA0" w:rsidRDefault="00000000">
            <w:pPr>
              <w:keepNext/>
              <w:spacing w:before="20" w:after="20" w:line="240" w:lineRule="auto"/>
              <w:jc w:val="center"/>
            </w:pPr>
            <w:r>
              <w:rPr>
                <w:rFonts w:ascii="Times New Roman" w:hAnsi="Times New Roman" w:cs="Times New Roman"/>
                <w:b/>
                <w:bCs/>
                <w:sz w:val="19"/>
                <w:szCs w:val="19"/>
              </w:rPr>
              <w:t>Sessions (21)</w:t>
            </w:r>
          </w:p>
        </w:tc>
        <w:tc>
          <w:tcPr>
            <w:tcW w:w="2520" w:type="dxa"/>
            <w:shd w:val="clear" w:color="auto" w:fill="E7E6E6"/>
            <w:vAlign w:val="center"/>
          </w:tcPr>
          <w:p w14:paraId="09704C95" w14:textId="77777777" w:rsidR="00464FA0" w:rsidRDefault="00000000">
            <w:pPr>
              <w:keepNext/>
              <w:spacing w:before="20" w:after="20" w:line="240" w:lineRule="auto"/>
              <w:jc w:val="center"/>
            </w:pPr>
            <w:r>
              <w:rPr>
                <w:rFonts w:ascii="Times New Roman" w:hAnsi="Times New Roman" w:cs="Times New Roman"/>
                <w:b/>
                <w:bCs/>
                <w:sz w:val="19"/>
                <w:szCs w:val="19"/>
              </w:rPr>
              <w:t xml:space="preserve">Non-overlapping </w:t>
            </w:r>
            <w:proofErr w:type="gramStart"/>
            <w:r>
              <w:rPr>
                <w:rFonts w:ascii="Times New Roman" w:hAnsi="Times New Roman" w:cs="Times New Roman"/>
                <w:b/>
                <w:bCs/>
                <w:sz w:val="19"/>
                <w:szCs w:val="19"/>
              </w:rPr>
              <w:t>IC(</w:t>
            </w:r>
            <w:proofErr w:type="gramEnd"/>
            <w:r>
              <w:rPr>
                <w:rFonts w:ascii="Times New Roman" w:hAnsi="Times New Roman" w:cs="Times New Roman"/>
                <w:b/>
                <w:bCs/>
                <w:sz w:val="19"/>
                <w:szCs w:val="19"/>
              </w:rPr>
              <w:t>21) [range]</w:t>
            </w:r>
          </w:p>
        </w:tc>
      </w:tr>
      <w:tr w:rsidR="00464FA0" w14:paraId="7BEFEC44" w14:textId="77777777">
        <w:trPr>
          <w:cantSplit/>
          <w:jc w:val="center"/>
        </w:trPr>
        <w:tc>
          <w:tcPr>
            <w:tcW w:w="1560" w:type="dxa"/>
            <w:vAlign w:val="center"/>
          </w:tcPr>
          <w:p w14:paraId="2D43B919" w14:textId="77777777" w:rsidR="00464FA0" w:rsidRDefault="00000000">
            <w:pPr>
              <w:keepNext/>
              <w:spacing w:before="20" w:after="20" w:line="240" w:lineRule="auto"/>
            </w:pPr>
            <w:r>
              <w:rPr>
                <w:rFonts w:ascii="Times New Roman" w:hAnsi="Times New Roman" w:cs="Times New Roman"/>
                <w:sz w:val="19"/>
                <w:szCs w:val="19"/>
              </w:rPr>
              <w:t>USD outright</w:t>
            </w:r>
          </w:p>
        </w:tc>
        <w:tc>
          <w:tcPr>
            <w:tcW w:w="1380" w:type="dxa"/>
            <w:vAlign w:val="center"/>
          </w:tcPr>
          <w:p w14:paraId="1A20B546" w14:textId="77777777" w:rsidR="00464FA0" w:rsidRDefault="00000000">
            <w:pPr>
              <w:keepNext/>
              <w:spacing w:before="20" w:after="20" w:line="240" w:lineRule="auto"/>
              <w:jc w:val="center"/>
            </w:pPr>
            <w:r>
              <w:rPr>
                <w:rFonts w:ascii="Times New Roman" w:hAnsi="Times New Roman" w:cs="Times New Roman"/>
                <w:sz w:val="19"/>
                <w:szCs w:val="19"/>
              </w:rPr>
              <w:t>−0.059 (−1.7)</w:t>
            </w:r>
          </w:p>
        </w:tc>
        <w:tc>
          <w:tcPr>
            <w:tcW w:w="1380" w:type="dxa"/>
            <w:vAlign w:val="center"/>
          </w:tcPr>
          <w:p w14:paraId="73D6F2F4" w14:textId="77777777" w:rsidR="00464FA0" w:rsidRDefault="00000000">
            <w:pPr>
              <w:keepNext/>
              <w:spacing w:before="20" w:after="20" w:line="240" w:lineRule="auto"/>
              <w:jc w:val="center"/>
            </w:pPr>
            <w:r>
              <w:rPr>
                <w:rFonts w:ascii="Times New Roman" w:hAnsi="Times New Roman" w:cs="Times New Roman"/>
                <w:sz w:val="19"/>
                <w:szCs w:val="19"/>
              </w:rPr>
              <w:t>−0.116 (−1.7)</w:t>
            </w:r>
          </w:p>
        </w:tc>
        <w:tc>
          <w:tcPr>
            <w:tcW w:w="1380" w:type="dxa"/>
            <w:vAlign w:val="center"/>
          </w:tcPr>
          <w:p w14:paraId="18336125" w14:textId="77777777" w:rsidR="00464FA0" w:rsidRDefault="00000000">
            <w:pPr>
              <w:keepNext/>
              <w:spacing w:before="20" w:after="20" w:line="240" w:lineRule="auto"/>
              <w:jc w:val="center"/>
            </w:pPr>
            <w:r>
              <w:rPr>
                <w:rFonts w:ascii="Times New Roman" w:hAnsi="Times New Roman" w:cs="Times New Roman"/>
                <w:sz w:val="19"/>
                <w:szCs w:val="19"/>
              </w:rPr>
              <w:t>−0.185 (−1.5)</w:t>
            </w:r>
          </w:p>
        </w:tc>
        <w:tc>
          <w:tcPr>
            <w:tcW w:w="1140" w:type="dxa"/>
            <w:vAlign w:val="center"/>
          </w:tcPr>
          <w:p w14:paraId="06228E81" w14:textId="77777777" w:rsidR="00464FA0" w:rsidRDefault="00000000">
            <w:pPr>
              <w:keepNext/>
              <w:spacing w:before="20" w:after="20" w:line="240" w:lineRule="auto"/>
              <w:jc w:val="center"/>
            </w:pPr>
            <w:r>
              <w:rPr>
                <w:rFonts w:ascii="Times New Roman" w:hAnsi="Times New Roman" w:cs="Times New Roman"/>
                <w:sz w:val="19"/>
                <w:szCs w:val="19"/>
              </w:rPr>
              <w:t>2,930</w:t>
            </w:r>
          </w:p>
        </w:tc>
        <w:tc>
          <w:tcPr>
            <w:tcW w:w="2520" w:type="dxa"/>
            <w:vAlign w:val="center"/>
          </w:tcPr>
          <w:p w14:paraId="76C197F8" w14:textId="77777777" w:rsidR="00464FA0" w:rsidRDefault="00000000">
            <w:pPr>
              <w:keepNext/>
              <w:spacing w:before="20" w:after="20" w:line="240" w:lineRule="auto"/>
              <w:jc w:val="center"/>
            </w:pPr>
            <w:r>
              <w:rPr>
                <w:rFonts w:ascii="Times New Roman" w:hAnsi="Times New Roman" w:cs="Times New Roman"/>
                <w:sz w:val="19"/>
                <w:szCs w:val="19"/>
              </w:rPr>
              <w:t>−0.115 [−0.18, −0.06]</w:t>
            </w:r>
          </w:p>
        </w:tc>
      </w:tr>
      <w:tr w:rsidR="00464FA0" w14:paraId="3D4A7763" w14:textId="77777777">
        <w:trPr>
          <w:cantSplit/>
          <w:jc w:val="center"/>
        </w:trPr>
        <w:tc>
          <w:tcPr>
            <w:tcW w:w="1560" w:type="dxa"/>
            <w:vAlign w:val="center"/>
          </w:tcPr>
          <w:p w14:paraId="3E47F18D" w14:textId="77777777" w:rsidR="00464FA0" w:rsidRDefault="00000000">
            <w:pPr>
              <w:keepNext/>
              <w:spacing w:before="20" w:after="20" w:line="240" w:lineRule="auto"/>
            </w:pPr>
            <w:r>
              <w:rPr>
                <w:rFonts w:ascii="Times New Roman" w:hAnsi="Times New Roman" w:cs="Times New Roman"/>
                <w:sz w:val="19"/>
                <w:szCs w:val="19"/>
              </w:rPr>
              <w:t>GBP outright</w:t>
            </w:r>
          </w:p>
        </w:tc>
        <w:tc>
          <w:tcPr>
            <w:tcW w:w="1380" w:type="dxa"/>
            <w:vAlign w:val="center"/>
          </w:tcPr>
          <w:p w14:paraId="690A8A02" w14:textId="77777777" w:rsidR="00464FA0" w:rsidRDefault="00000000">
            <w:pPr>
              <w:keepNext/>
              <w:spacing w:before="20" w:after="20" w:line="240" w:lineRule="auto"/>
              <w:jc w:val="center"/>
            </w:pPr>
            <w:r>
              <w:rPr>
                <w:rFonts w:ascii="Times New Roman" w:hAnsi="Times New Roman" w:cs="Times New Roman"/>
                <w:sz w:val="19"/>
                <w:szCs w:val="19"/>
              </w:rPr>
              <w:t>+0.203 (+4.7)</w:t>
            </w:r>
          </w:p>
        </w:tc>
        <w:tc>
          <w:tcPr>
            <w:tcW w:w="1380" w:type="dxa"/>
            <w:vAlign w:val="center"/>
          </w:tcPr>
          <w:p w14:paraId="545D5C1F" w14:textId="77777777" w:rsidR="00464FA0" w:rsidRDefault="00000000">
            <w:pPr>
              <w:keepNext/>
              <w:spacing w:before="20" w:after="20" w:line="240" w:lineRule="auto"/>
              <w:jc w:val="center"/>
            </w:pPr>
            <w:r>
              <w:rPr>
                <w:rFonts w:ascii="Times New Roman" w:hAnsi="Times New Roman" w:cs="Times New Roman"/>
                <w:sz w:val="19"/>
                <w:szCs w:val="19"/>
              </w:rPr>
              <w:t>+0.380 (+4.7)</w:t>
            </w:r>
          </w:p>
        </w:tc>
        <w:tc>
          <w:tcPr>
            <w:tcW w:w="1380" w:type="dxa"/>
            <w:vAlign w:val="center"/>
          </w:tcPr>
          <w:p w14:paraId="1CA3F299" w14:textId="77777777" w:rsidR="00464FA0" w:rsidRDefault="00000000">
            <w:pPr>
              <w:keepNext/>
              <w:spacing w:before="20" w:after="20" w:line="240" w:lineRule="auto"/>
              <w:jc w:val="center"/>
            </w:pPr>
            <w:r>
              <w:rPr>
                <w:rFonts w:ascii="Times New Roman" w:hAnsi="Times New Roman" w:cs="Times New Roman"/>
                <w:sz w:val="19"/>
                <w:szCs w:val="19"/>
              </w:rPr>
              <w:t>+0.505 (+4.1)</w:t>
            </w:r>
          </w:p>
        </w:tc>
        <w:tc>
          <w:tcPr>
            <w:tcW w:w="1140" w:type="dxa"/>
            <w:vAlign w:val="center"/>
          </w:tcPr>
          <w:p w14:paraId="589E892F" w14:textId="77777777" w:rsidR="00464FA0" w:rsidRDefault="00000000">
            <w:pPr>
              <w:keepNext/>
              <w:spacing w:before="20" w:after="20" w:line="240" w:lineRule="auto"/>
              <w:jc w:val="center"/>
            </w:pPr>
            <w:r>
              <w:rPr>
                <w:rFonts w:ascii="Times New Roman" w:hAnsi="Times New Roman" w:cs="Times New Roman"/>
                <w:sz w:val="19"/>
                <w:szCs w:val="19"/>
              </w:rPr>
              <w:t>2,273</w:t>
            </w:r>
          </w:p>
        </w:tc>
        <w:tc>
          <w:tcPr>
            <w:tcW w:w="2520" w:type="dxa"/>
            <w:vAlign w:val="center"/>
          </w:tcPr>
          <w:p w14:paraId="5501B35A" w14:textId="77777777" w:rsidR="00464FA0" w:rsidRDefault="00000000">
            <w:pPr>
              <w:keepNext/>
              <w:spacing w:before="20" w:after="20" w:line="240" w:lineRule="auto"/>
              <w:jc w:val="center"/>
            </w:pPr>
            <w:r>
              <w:rPr>
                <w:rFonts w:ascii="Times New Roman" w:hAnsi="Times New Roman" w:cs="Times New Roman"/>
                <w:sz w:val="19"/>
                <w:szCs w:val="19"/>
              </w:rPr>
              <w:t>+0.378 [+0.32, +0.43]</w:t>
            </w:r>
          </w:p>
        </w:tc>
      </w:tr>
      <w:tr w:rsidR="00464FA0" w14:paraId="42152A0F" w14:textId="77777777">
        <w:trPr>
          <w:cantSplit/>
          <w:jc w:val="center"/>
        </w:trPr>
        <w:tc>
          <w:tcPr>
            <w:tcW w:w="1560" w:type="dxa"/>
            <w:vAlign w:val="center"/>
          </w:tcPr>
          <w:p w14:paraId="6CD2D5D2" w14:textId="77777777" w:rsidR="00464FA0" w:rsidRDefault="00000000">
            <w:pPr>
              <w:keepNext/>
              <w:spacing w:before="20" w:after="20" w:line="240" w:lineRule="auto"/>
            </w:pPr>
            <w:r>
              <w:rPr>
                <w:rFonts w:ascii="Times New Roman" w:hAnsi="Times New Roman" w:cs="Times New Roman"/>
                <w:sz w:val="19"/>
                <w:szCs w:val="19"/>
              </w:rPr>
              <w:t>USD 2s10s</w:t>
            </w:r>
          </w:p>
        </w:tc>
        <w:tc>
          <w:tcPr>
            <w:tcW w:w="1380" w:type="dxa"/>
            <w:vAlign w:val="center"/>
          </w:tcPr>
          <w:p w14:paraId="6F61D6B7" w14:textId="77777777" w:rsidR="00464FA0" w:rsidRDefault="00000000">
            <w:pPr>
              <w:keepNext/>
              <w:spacing w:before="20" w:after="20" w:line="240" w:lineRule="auto"/>
              <w:jc w:val="center"/>
            </w:pPr>
            <w:r>
              <w:rPr>
                <w:rFonts w:ascii="Times New Roman" w:hAnsi="Times New Roman" w:cs="Times New Roman"/>
                <w:sz w:val="19"/>
                <w:szCs w:val="19"/>
              </w:rPr>
              <w:t>+0.055 (+1.6)</w:t>
            </w:r>
          </w:p>
        </w:tc>
        <w:tc>
          <w:tcPr>
            <w:tcW w:w="1380" w:type="dxa"/>
            <w:vAlign w:val="center"/>
          </w:tcPr>
          <w:p w14:paraId="17772D62" w14:textId="77777777" w:rsidR="00464FA0" w:rsidRDefault="00000000">
            <w:pPr>
              <w:keepNext/>
              <w:spacing w:before="20" w:after="20" w:line="240" w:lineRule="auto"/>
              <w:jc w:val="center"/>
            </w:pPr>
            <w:r>
              <w:rPr>
                <w:rFonts w:ascii="Times New Roman" w:hAnsi="Times New Roman" w:cs="Times New Roman"/>
                <w:sz w:val="19"/>
                <w:szCs w:val="19"/>
              </w:rPr>
              <w:t>+0.088 (+1.3)</w:t>
            </w:r>
          </w:p>
        </w:tc>
        <w:tc>
          <w:tcPr>
            <w:tcW w:w="1380" w:type="dxa"/>
            <w:vAlign w:val="center"/>
          </w:tcPr>
          <w:p w14:paraId="5214C8AA" w14:textId="77777777" w:rsidR="00464FA0" w:rsidRDefault="00000000">
            <w:pPr>
              <w:keepNext/>
              <w:spacing w:before="20" w:after="20" w:line="240" w:lineRule="auto"/>
              <w:jc w:val="center"/>
            </w:pPr>
            <w:r>
              <w:rPr>
                <w:rFonts w:ascii="Times New Roman" w:hAnsi="Times New Roman" w:cs="Times New Roman"/>
                <w:sz w:val="19"/>
                <w:szCs w:val="19"/>
              </w:rPr>
              <w:t>+0.167 (+1.4)</w:t>
            </w:r>
          </w:p>
        </w:tc>
        <w:tc>
          <w:tcPr>
            <w:tcW w:w="1140" w:type="dxa"/>
            <w:vAlign w:val="center"/>
          </w:tcPr>
          <w:p w14:paraId="02630737" w14:textId="77777777" w:rsidR="00464FA0" w:rsidRDefault="00000000">
            <w:pPr>
              <w:keepNext/>
              <w:spacing w:before="20" w:after="20" w:line="240" w:lineRule="auto"/>
              <w:jc w:val="center"/>
            </w:pPr>
            <w:r>
              <w:rPr>
                <w:rFonts w:ascii="Times New Roman" w:hAnsi="Times New Roman" w:cs="Times New Roman"/>
                <w:sz w:val="19"/>
                <w:szCs w:val="19"/>
              </w:rPr>
              <w:t>2,930</w:t>
            </w:r>
          </w:p>
        </w:tc>
        <w:tc>
          <w:tcPr>
            <w:tcW w:w="2520" w:type="dxa"/>
            <w:vAlign w:val="center"/>
          </w:tcPr>
          <w:p w14:paraId="2C187A36" w14:textId="77777777" w:rsidR="00464FA0" w:rsidRDefault="00000000">
            <w:pPr>
              <w:keepNext/>
              <w:spacing w:before="20" w:after="20" w:line="240" w:lineRule="auto"/>
              <w:jc w:val="center"/>
            </w:pPr>
            <w:r>
              <w:rPr>
                <w:rFonts w:ascii="Times New Roman" w:hAnsi="Times New Roman" w:cs="Times New Roman"/>
                <w:sz w:val="19"/>
                <w:szCs w:val="19"/>
              </w:rPr>
              <w:t>+0.088 [+0.02, +0.17]</w:t>
            </w:r>
          </w:p>
        </w:tc>
      </w:tr>
      <w:tr w:rsidR="00464FA0" w14:paraId="0126033C" w14:textId="77777777">
        <w:trPr>
          <w:cantSplit/>
          <w:jc w:val="center"/>
        </w:trPr>
        <w:tc>
          <w:tcPr>
            <w:tcW w:w="1560" w:type="dxa"/>
            <w:vAlign w:val="center"/>
          </w:tcPr>
          <w:p w14:paraId="40FB5405" w14:textId="77777777" w:rsidR="00464FA0" w:rsidRDefault="00000000">
            <w:pPr>
              <w:keepNext/>
              <w:spacing w:before="20" w:after="20" w:line="240" w:lineRule="auto"/>
            </w:pPr>
            <w:r>
              <w:rPr>
                <w:rFonts w:ascii="Times New Roman" w:hAnsi="Times New Roman" w:cs="Times New Roman"/>
                <w:sz w:val="19"/>
                <w:szCs w:val="19"/>
              </w:rPr>
              <w:t>GBP 2s10s</w:t>
            </w:r>
          </w:p>
        </w:tc>
        <w:tc>
          <w:tcPr>
            <w:tcW w:w="1380" w:type="dxa"/>
            <w:vAlign w:val="center"/>
          </w:tcPr>
          <w:p w14:paraId="04D3241A" w14:textId="77777777" w:rsidR="00464FA0" w:rsidRDefault="00000000">
            <w:pPr>
              <w:keepNext/>
              <w:spacing w:before="20" w:after="20" w:line="240" w:lineRule="auto"/>
              <w:jc w:val="center"/>
            </w:pPr>
            <w:r>
              <w:rPr>
                <w:rFonts w:ascii="Times New Roman" w:hAnsi="Times New Roman" w:cs="Times New Roman"/>
                <w:sz w:val="19"/>
                <w:szCs w:val="19"/>
              </w:rPr>
              <w:t>−0.001 (−0.0)</w:t>
            </w:r>
          </w:p>
        </w:tc>
        <w:tc>
          <w:tcPr>
            <w:tcW w:w="1380" w:type="dxa"/>
            <w:vAlign w:val="center"/>
          </w:tcPr>
          <w:p w14:paraId="331CBC95" w14:textId="77777777" w:rsidR="00464FA0" w:rsidRDefault="00000000">
            <w:pPr>
              <w:keepNext/>
              <w:spacing w:before="20" w:after="20" w:line="240" w:lineRule="auto"/>
              <w:jc w:val="center"/>
            </w:pPr>
            <w:r>
              <w:rPr>
                <w:rFonts w:ascii="Times New Roman" w:hAnsi="Times New Roman" w:cs="Times New Roman"/>
                <w:sz w:val="19"/>
                <w:szCs w:val="19"/>
              </w:rPr>
              <w:t>+0.043 (+0.6)</w:t>
            </w:r>
          </w:p>
        </w:tc>
        <w:tc>
          <w:tcPr>
            <w:tcW w:w="1380" w:type="dxa"/>
            <w:vAlign w:val="center"/>
          </w:tcPr>
          <w:p w14:paraId="707B7060" w14:textId="77777777" w:rsidR="00464FA0" w:rsidRDefault="00000000">
            <w:pPr>
              <w:keepNext/>
              <w:spacing w:before="20" w:after="20" w:line="240" w:lineRule="auto"/>
              <w:jc w:val="center"/>
            </w:pPr>
            <w:r>
              <w:rPr>
                <w:rFonts w:ascii="Times New Roman" w:hAnsi="Times New Roman" w:cs="Times New Roman"/>
                <w:sz w:val="19"/>
                <w:szCs w:val="19"/>
              </w:rPr>
              <w:t>+0.029 (+0.3)</w:t>
            </w:r>
          </w:p>
        </w:tc>
        <w:tc>
          <w:tcPr>
            <w:tcW w:w="1140" w:type="dxa"/>
            <w:vAlign w:val="center"/>
          </w:tcPr>
          <w:p w14:paraId="4A930152" w14:textId="77777777" w:rsidR="00464FA0" w:rsidRDefault="00000000">
            <w:pPr>
              <w:keepNext/>
              <w:spacing w:before="20" w:after="20" w:line="240" w:lineRule="auto"/>
              <w:jc w:val="center"/>
            </w:pPr>
            <w:r>
              <w:rPr>
                <w:rFonts w:ascii="Times New Roman" w:hAnsi="Times New Roman" w:cs="Times New Roman"/>
                <w:sz w:val="19"/>
                <w:szCs w:val="19"/>
              </w:rPr>
              <w:t>2,273</w:t>
            </w:r>
          </w:p>
        </w:tc>
        <w:tc>
          <w:tcPr>
            <w:tcW w:w="2520" w:type="dxa"/>
            <w:vAlign w:val="center"/>
          </w:tcPr>
          <w:p w14:paraId="04A676BE" w14:textId="77777777" w:rsidR="00464FA0" w:rsidRDefault="00000000">
            <w:pPr>
              <w:keepNext/>
              <w:spacing w:before="20" w:after="20" w:line="240" w:lineRule="auto"/>
              <w:jc w:val="center"/>
            </w:pPr>
            <w:r>
              <w:rPr>
                <w:rFonts w:ascii="Times New Roman" w:hAnsi="Times New Roman" w:cs="Times New Roman"/>
                <w:sz w:val="19"/>
                <w:szCs w:val="19"/>
              </w:rPr>
              <w:t>+0.043 [−0.05, +0.13]</w:t>
            </w:r>
          </w:p>
        </w:tc>
      </w:tr>
      <w:tr w:rsidR="00464FA0" w14:paraId="16030343" w14:textId="77777777">
        <w:trPr>
          <w:cantSplit/>
          <w:jc w:val="center"/>
        </w:trPr>
        <w:tc>
          <w:tcPr>
            <w:tcW w:w="1560" w:type="dxa"/>
            <w:vAlign w:val="center"/>
          </w:tcPr>
          <w:p w14:paraId="2A56CEB8" w14:textId="77777777" w:rsidR="00464FA0" w:rsidRDefault="00000000">
            <w:pPr>
              <w:spacing w:before="20" w:after="20" w:line="240" w:lineRule="auto"/>
            </w:pPr>
            <w:r>
              <w:rPr>
                <w:rFonts w:ascii="Times New Roman" w:hAnsi="Times New Roman" w:cs="Times New Roman"/>
                <w:sz w:val="19"/>
                <w:szCs w:val="19"/>
              </w:rPr>
              <w:t>GBP − USD 2y</w:t>
            </w:r>
          </w:p>
        </w:tc>
        <w:tc>
          <w:tcPr>
            <w:tcW w:w="1380" w:type="dxa"/>
            <w:vAlign w:val="center"/>
          </w:tcPr>
          <w:p w14:paraId="5F452BFB" w14:textId="77777777" w:rsidR="00464FA0" w:rsidRDefault="00000000">
            <w:pPr>
              <w:spacing w:before="20" w:after="20" w:line="240" w:lineRule="auto"/>
              <w:jc w:val="center"/>
            </w:pPr>
            <w:r>
              <w:rPr>
                <w:rFonts w:ascii="Times New Roman" w:hAnsi="Times New Roman" w:cs="Times New Roman"/>
                <w:sz w:val="19"/>
                <w:szCs w:val="19"/>
              </w:rPr>
              <w:t>−0.015 (−0.4)</w:t>
            </w:r>
          </w:p>
        </w:tc>
        <w:tc>
          <w:tcPr>
            <w:tcW w:w="1380" w:type="dxa"/>
            <w:vAlign w:val="center"/>
          </w:tcPr>
          <w:p w14:paraId="7BB517EE" w14:textId="77777777" w:rsidR="00464FA0" w:rsidRDefault="00000000">
            <w:pPr>
              <w:spacing w:before="20" w:after="20" w:line="240" w:lineRule="auto"/>
              <w:jc w:val="center"/>
            </w:pPr>
            <w:r>
              <w:rPr>
                <w:rFonts w:ascii="Times New Roman" w:hAnsi="Times New Roman" w:cs="Times New Roman"/>
                <w:sz w:val="19"/>
                <w:szCs w:val="19"/>
              </w:rPr>
              <w:t>−0.035 (−0.4)</w:t>
            </w:r>
          </w:p>
        </w:tc>
        <w:tc>
          <w:tcPr>
            <w:tcW w:w="1380" w:type="dxa"/>
            <w:vAlign w:val="center"/>
          </w:tcPr>
          <w:p w14:paraId="6D640297" w14:textId="77777777" w:rsidR="00464FA0" w:rsidRDefault="00000000">
            <w:pPr>
              <w:spacing w:before="20" w:after="20" w:line="240" w:lineRule="auto"/>
              <w:jc w:val="center"/>
            </w:pPr>
            <w:r>
              <w:rPr>
                <w:rFonts w:ascii="Times New Roman" w:hAnsi="Times New Roman" w:cs="Times New Roman"/>
                <w:sz w:val="19"/>
                <w:szCs w:val="19"/>
              </w:rPr>
              <w:t>−0.036 (−0.3)</w:t>
            </w:r>
          </w:p>
        </w:tc>
        <w:tc>
          <w:tcPr>
            <w:tcW w:w="1140" w:type="dxa"/>
            <w:vAlign w:val="center"/>
          </w:tcPr>
          <w:p w14:paraId="30C441E2" w14:textId="77777777" w:rsidR="00464FA0" w:rsidRDefault="00000000">
            <w:pPr>
              <w:spacing w:before="20" w:after="20" w:line="240" w:lineRule="auto"/>
              <w:jc w:val="center"/>
            </w:pPr>
            <w:r>
              <w:rPr>
                <w:rFonts w:ascii="Times New Roman" w:hAnsi="Times New Roman" w:cs="Times New Roman"/>
                <w:sz w:val="19"/>
                <w:szCs w:val="19"/>
              </w:rPr>
              <w:t>2,195</w:t>
            </w:r>
          </w:p>
        </w:tc>
        <w:tc>
          <w:tcPr>
            <w:tcW w:w="2520" w:type="dxa"/>
            <w:vAlign w:val="center"/>
          </w:tcPr>
          <w:p w14:paraId="74204BA6" w14:textId="77777777" w:rsidR="00464FA0" w:rsidRDefault="00000000">
            <w:pPr>
              <w:spacing w:before="20" w:after="20" w:line="240" w:lineRule="auto"/>
              <w:jc w:val="center"/>
            </w:pPr>
            <w:r>
              <w:rPr>
                <w:rFonts w:ascii="Times New Roman" w:hAnsi="Times New Roman" w:cs="Times New Roman"/>
                <w:sz w:val="19"/>
                <w:szCs w:val="19"/>
              </w:rPr>
              <w:t>−0.033 [−0.11, +0.01]</w:t>
            </w:r>
          </w:p>
        </w:tc>
      </w:tr>
    </w:tbl>
    <w:p w14:paraId="0CA0E0CF" w14:textId="77777777" w:rsidR="00464FA0" w:rsidRDefault="00464FA0">
      <w:pPr>
        <w:spacing w:after="0"/>
      </w:pPr>
    </w:p>
    <w:p w14:paraId="0BB686C1" w14:textId="4F7493FA" w:rsidR="00E25245" w:rsidRDefault="004362B8">
      <w:pPr>
        <w:rPr>
          <w:rFonts w:ascii="Times New Roman" w:hAnsi="Times New Roman" w:cs="Times New Roman"/>
        </w:rPr>
      </w:pPr>
      <w:r>
        <w:rPr>
          <w:rFonts w:ascii="Times New Roman" w:hAnsi="Times New Roman" w:cs="Times New Roman"/>
        </w:rPr>
        <w:t>The USD gap has no forecasting value and instead points the wrong way.</w:t>
      </w:r>
      <w:r w:rsidR="00E25245">
        <w:rPr>
          <w:rFonts w:ascii="Times New Roman" w:hAnsi="Times New Roman" w:cs="Times New Roman"/>
        </w:rPr>
        <w:t xml:space="preserve"> USD outright is not successful, </w:t>
      </w:r>
      <w:r w:rsidR="000229E7">
        <w:rPr>
          <w:rFonts w:ascii="Times New Roman" w:hAnsi="Times New Roman" w:cs="Times New Roman"/>
        </w:rPr>
        <w:t>with a</w:t>
      </w:r>
      <w:r w:rsidR="00E25245">
        <w:rPr>
          <w:rFonts w:ascii="Times New Roman" w:hAnsi="Times New Roman" w:cs="Times New Roman"/>
        </w:rPr>
        <w:t xml:space="preserve"> -0.12 for IC (21) across 2,930 sessions.</w:t>
      </w:r>
      <w:r>
        <w:rPr>
          <w:rFonts w:ascii="Times New Roman" w:hAnsi="Times New Roman" w:cs="Times New Roman"/>
        </w:rPr>
        <w:t xml:space="preserve"> The GBP is the exception to this, not the rule. The results are solid in its case, with GBP outright seeing a solid </w:t>
      </w:r>
      <w:r w:rsidR="002E582A">
        <w:rPr>
          <w:rFonts w:ascii="Times New Roman" w:hAnsi="Times New Roman" w:cs="Times New Roman"/>
        </w:rPr>
        <w:t>+</w:t>
      </w:r>
      <w:r>
        <w:rPr>
          <w:rFonts w:ascii="Times New Roman" w:hAnsi="Times New Roman" w:cs="Times New Roman"/>
        </w:rPr>
        <w:t>0.38 in IC (21). This result is across 2,273 sessions and carries a t-stat of 4.7.</w:t>
      </w:r>
      <w:r w:rsidR="00E3577E">
        <w:rPr>
          <w:rFonts w:ascii="Times New Roman" w:hAnsi="Times New Roman" w:cs="Times New Roman"/>
        </w:rPr>
        <w:t xml:space="preserve"> The remaining results for the three curve and cross sleeves carry little information as is present from their t stats trailing </w:t>
      </w:r>
      <w:r w:rsidR="00B555F8">
        <w:rPr>
          <w:rFonts w:ascii="Times New Roman" w:hAnsi="Times New Roman" w:cs="Times New Roman"/>
        </w:rPr>
        <w:t>small</w:t>
      </w:r>
      <w:r w:rsidR="00E3577E">
        <w:rPr>
          <w:rFonts w:ascii="Times New Roman" w:hAnsi="Times New Roman" w:cs="Times New Roman"/>
        </w:rPr>
        <w:t xml:space="preserve">. </w:t>
      </w:r>
    </w:p>
    <w:p w14:paraId="24DF0BBD" w14:textId="5EE5C3B8" w:rsidR="00E25245" w:rsidRDefault="00E25245">
      <w:pPr>
        <w:rPr>
          <w:rFonts w:ascii="Times New Roman" w:hAnsi="Times New Roman" w:cs="Times New Roman"/>
        </w:rPr>
      </w:pPr>
      <w:r>
        <w:rPr>
          <w:rFonts w:ascii="Times New Roman" w:hAnsi="Times New Roman" w:cs="Times New Roman"/>
        </w:rPr>
        <w:t>Additionally,</w:t>
      </w:r>
      <w:r w:rsidR="004362B8">
        <w:rPr>
          <w:rFonts w:ascii="Times New Roman" w:hAnsi="Times New Roman" w:cs="Times New Roman"/>
        </w:rPr>
        <w:t xml:space="preserve"> it is i</w:t>
      </w:r>
      <w:r w:rsidR="0033467E">
        <w:rPr>
          <w:rFonts w:ascii="Times New Roman" w:hAnsi="Times New Roman" w:cs="Times New Roman"/>
        </w:rPr>
        <w:t xml:space="preserve">mportant to mention </w:t>
      </w:r>
      <w:r w:rsidR="00F356EC">
        <w:rPr>
          <w:rFonts w:ascii="Times New Roman" w:hAnsi="Times New Roman" w:cs="Times New Roman"/>
        </w:rPr>
        <w:t>that t</w:t>
      </w:r>
      <w:r w:rsidR="004B0096">
        <w:rPr>
          <w:rFonts w:ascii="Times New Roman" w:hAnsi="Times New Roman" w:cs="Times New Roman"/>
        </w:rPr>
        <w:t>he t is Newey-West to lag h, but z is persistent, and due to this they stay autocorrelated past h. That results in t</w:t>
      </w:r>
      <w:r w:rsidR="0033467E">
        <w:rPr>
          <w:rFonts w:ascii="Times New Roman" w:hAnsi="Times New Roman" w:cs="Times New Roman"/>
        </w:rPr>
        <w:t xml:space="preserve"> </w:t>
      </w:r>
      <w:r w:rsidR="004B0096">
        <w:rPr>
          <w:rFonts w:ascii="Times New Roman" w:hAnsi="Times New Roman" w:cs="Times New Roman"/>
        </w:rPr>
        <w:t>overstating</w:t>
      </w:r>
      <w:r w:rsidR="0033467E">
        <w:rPr>
          <w:rFonts w:ascii="Times New Roman" w:hAnsi="Times New Roman" w:cs="Times New Roman"/>
        </w:rPr>
        <w:t xml:space="preserve"> the precision</w:t>
      </w:r>
      <w:r w:rsidR="004B0096">
        <w:rPr>
          <w:rFonts w:ascii="Times New Roman" w:hAnsi="Times New Roman" w:cs="Times New Roman"/>
        </w:rPr>
        <w:t xml:space="preserve">. </w:t>
      </w:r>
      <w:r w:rsidR="00F356EC">
        <w:rPr>
          <w:rFonts w:ascii="Times New Roman" w:hAnsi="Times New Roman" w:cs="Times New Roman"/>
        </w:rPr>
        <w:t xml:space="preserve">The non-overlapping check gives GBP </w:t>
      </w:r>
      <w:r w:rsidR="002E582A">
        <w:rPr>
          <w:rFonts w:ascii="Times New Roman" w:hAnsi="Times New Roman" w:cs="Times New Roman"/>
        </w:rPr>
        <w:t>+</w:t>
      </w:r>
      <w:r w:rsidR="00F356EC">
        <w:rPr>
          <w:rFonts w:ascii="Times New Roman" w:hAnsi="Times New Roman" w:cs="Times New Roman"/>
        </w:rPr>
        <w:t xml:space="preserve">0.32 to </w:t>
      </w:r>
      <w:r w:rsidR="002E582A">
        <w:rPr>
          <w:rFonts w:ascii="Times New Roman" w:hAnsi="Times New Roman" w:cs="Times New Roman"/>
        </w:rPr>
        <w:t>+</w:t>
      </w:r>
      <w:r w:rsidR="00F356EC">
        <w:rPr>
          <w:rFonts w:ascii="Times New Roman" w:hAnsi="Times New Roman" w:cs="Times New Roman"/>
        </w:rPr>
        <w:t xml:space="preserve">0.43, clear of zero, and USD -0.18 to -0.06. </w:t>
      </w:r>
    </w:p>
    <w:p w14:paraId="11D6C93A" w14:textId="3EB895D9" w:rsidR="00A04472" w:rsidRDefault="00A04472">
      <w:pPr>
        <w:rPr>
          <w:rFonts w:ascii="Times New Roman" w:hAnsi="Times New Roman" w:cs="Times New Roman"/>
        </w:rPr>
      </w:pPr>
      <w:r>
        <w:rPr>
          <w:rFonts w:ascii="Times New Roman" w:hAnsi="Times New Roman" w:cs="Times New Roman"/>
        </w:rPr>
        <w:t xml:space="preserve">The </w:t>
      </w:r>
      <w:r w:rsidR="001953A1">
        <w:rPr>
          <w:rFonts w:ascii="Times New Roman" w:hAnsi="Times New Roman" w:cs="Times New Roman"/>
        </w:rPr>
        <w:t>interpretation</w:t>
      </w:r>
      <w:r>
        <w:rPr>
          <w:rFonts w:ascii="Times New Roman" w:hAnsi="Times New Roman" w:cs="Times New Roman"/>
        </w:rPr>
        <w:t xml:space="preserve"> </w:t>
      </w:r>
      <w:proofErr w:type="gramStart"/>
      <w:r>
        <w:rPr>
          <w:rFonts w:ascii="Times New Roman" w:hAnsi="Times New Roman" w:cs="Times New Roman"/>
        </w:rPr>
        <w:t>from</w:t>
      </w:r>
      <w:proofErr w:type="gramEnd"/>
      <w:r>
        <w:rPr>
          <w:rFonts w:ascii="Times New Roman" w:hAnsi="Times New Roman" w:cs="Times New Roman"/>
        </w:rPr>
        <w:t xml:space="preserve"> these results is that the market leads the Fed. </w:t>
      </w:r>
      <w:r w:rsidR="00E543CF">
        <w:rPr>
          <w:rFonts w:ascii="Times New Roman" w:hAnsi="Times New Roman" w:cs="Times New Roman"/>
        </w:rPr>
        <w:t>A negative IC means that when the market sits below the rule, the rule falls towards the market over the following weeks, because the Fed’s rate moves; the market doesn’t rise toward the rule</w:t>
      </w:r>
      <w:r>
        <w:rPr>
          <w:rFonts w:ascii="Times New Roman" w:hAnsi="Times New Roman" w:cs="Times New Roman"/>
        </w:rPr>
        <w:t xml:space="preserve">. The dots move towards the market </w:t>
      </w:r>
      <w:r w:rsidR="00E543CF">
        <w:rPr>
          <w:rFonts w:ascii="Times New Roman" w:hAnsi="Times New Roman" w:cs="Times New Roman"/>
        </w:rPr>
        <w:t>(+0.68 per bp of gap over 63 sessions (t+4.7) against +0.09 (t +0.5) the other way</w:t>
      </w:r>
      <w:r>
        <w:rPr>
          <w:rFonts w:ascii="Times New Roman" w:hAnsi="Times New Roman" w:cs="Times New Roman"/>
        </w:rPr>
        <w:t xml:space="preserve">). </w:t>
      </w:r>
    </w:p>
    <w:p w14:paraId="462B207A" w14:textId="77777777" w:rsidR="00464FA0" w:rsidRDefault="00000000">
      <w:pPr>
        <w:pStyle w:val="Heading2"/>
      </w:pPr>
      <w:r>
        <w:lastRenderedPageBreak/>
        <w:t>Performance</w:t>
      </w:r>
    </w:p>
    <w:p w14:paraId="7F89CC1F" w14:textId="77777777" w:rsidR="00D039EF" w:rsidRDefault="00D039EF" w:rsidP="00FF5A7A">
      <w:pPr>
        <w:keepNext/>
        <w:spacing w:before="120" w:after="0"/>
        <w:jc w:val="center"/>
        <w:rPr>
          <w:rFonts w:ascii="Times New Roman" w:hAnsi="Times New Roman" w:cs="Times New Roman"/>
        </w:rPr>
      </w:pPr>
      <w:r>
        <w:rPr>
          <w:rFonts w:ascii="Times New Roman" w:hAnsi="Times New Roman" w:cs="Times New Roman"/>
          <w:noProof/>
        </w:rPr>
        <w:drawing>
          <wp:inline distT="0" distB="0" distL="0" distR="0" wp14:anchorId="741ED2CE" wp14:editId="47B000C9">
            <wp:extent cx="5760720" cy="2534857"/>
            <wp:effectExtent l="0" t="0" r="0" b="0"/>
            <wp:docPr id="1441700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00531" name="Picture 14417005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534857"/>
                    </a:xfrm>
                    <a:prstGeom prst="rect">
                      <a:avLst/>
                    </a:prstGeom>
                  </pic:spPr>
                </pic:pic>
              </a:graphicData>
            </a:graphic>
          </wp:inline>
        </w:drawing>
      </w:r>
    </w:p>
    <w:p w14:paraId="6468BF5D" w14:textId="796CF71A" w:rsidR="00464FA0" w:rsidRDefault="00000000">
      <w:pPr>
        <w:pStyle w:val="Caption"/>
      </w:pPr>
      <w:r>
        <w:rPr>
          <w:b/>
          <w:i w:val="0"/>
        </w:rPr>
        <w:t xml:space="preserve">Figure </w:t>
      </w:r>
      <w:fldSimple w:instr=" SEQ Figure \* ARABIC ">
        <w:r w:rsidR="00A50EFD">
          <w:rPr>
            <w:noProof/>
          </w:rPr>
          <w:t>9</w:t>
        </w:r>
      </w:fldSimple>
      <w:r>
        <w:rPr>
          <w:b/>
          <w:i w:val="0"/>
        </w:rPr>
        <w:t xml:space="preserve">. </w:t>
      </w:r>
      <w:r>
        <w:t>Net equity of the book by construction, and the headline book’s net P&amp;L by sleeve.</w:t>
      </w:r>
    </w:p>
    <w:p w14:paraId="2182479A" w14:textId="4236C980" w:rsidR="00464FA0" w:rsidRDefault="00000000">
      <w:pPr>
        <w:pStyle w:val="Caption"/>
        <w:keepNext/>
      </w:pPr>
      <w:r>
        <w:rPr>
          <w:b/>
          <w:i w:val="0"/>
        </w:rPr>
        <w:t xml:space="preserve">Table </w:t>
      </w:r>
      <w:fldSimple w:instr=" SEQ Table \* ARABIC ">
        <w:r w:rsidR="00A50EFD">
          <w:rPr>
            <w:noProof/>
          </w:rPr>
          <w:t>2</w:t>
        </w:r>
      </w:fldSimple>
      <w:r>
        <w:rPr>
          <w:b/>
          <w:i w:val="0"/>
        </w:rPr>
        <w:t xml:space="preserve">. </w:t>
      </w:r>
      <w:r>
        <w:t>Sharpe ratios (SE), gross and net of costs, and net with 2022 and 2022–23 left out.</w:t>
      </w:r>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1860"/>
        <w:gridCol w:w="1500"/>
        <w:gridCol w:w="1500"/>
        <w:gridCol w:w="1500"/>
        <w:gridCol w:w="1500"/>
        <w:gridCol w:w="1500"/>
      </w:tblGrid>
      <w:tr w:rsidR="00464FA0" w14:paraId="436E62D9" w14:textId="77777777">
        <w:trPr>
          <w:cantSplit/>
          <w:tblHeader/>
          <w:jc w:val="center"/>
        </w:trPr>
        <w:tc>
          <w:tcPr>
            <w:tcW w:w="1860" w:type="dxa"/>
            <w:shd w:val="clear" w:color="auto" w:fill="E7E6E6"/>
            <w:vAlign w:val="center"/>
          </w:tcPr>
          <w:p w14:paraId="1E01993E" w14:textId="77777777" w:rsidR="00464FA0" w:rsidRDefault="00464FA0">
            <w:pPr>
              <w:keepNext/>
              <w:spacing w:before="20" w:after="20" w:line="240" w:lineRule="auto"/>
            </w:pPr>
          </w:p>
        </w:tc>
        <w:tc>
          <w:tcPr>
            <w:tcW w:w="1500" w:type="dxa"/>
            <w:shd w:val="clear" w:color="auto" w:fill="E7E6E6"/>
            <w:vAlign w:val="center"/>
          </w:tcPr>
          <w:p w14:paraId="3E609F23" w14:textId="77777777" w:rsidR="00464FA0" w:rsidRDefault="00000000">
            <w:pPr>
              <w:keepNext/>
              <w:spacing w:before="20" w:after="20" w:line="240" w:lineRule="auto"/>
              <w:jc w:val="center"/>
            </w:pPr>
            <w:r>
              <w:rPr>
                <w:rFonts w:ascii="Times New Roman" w:hAnsi="Times New Roman" w:cs="Times New Roman"/>
                <w:b/>
                <w:bCs/>
                <w:sz w:val="19"/>
                <w:szCs w:val="19"/>
              </w:rPr>
              <w:t>Gross SR</w:t>
            </w:r>
          </w:p>
        </w:tc>
        <w:tc>
          <w:tcPr>
            <w:tcW w:w="1500" w:type="dxa"/>
            <w:shd w:val="clear" w:color="auto" w:fill="E7E6E6"/>
            <w:vAlign w:val="center"/>
          </w:tcPr>
          <w:p w14:paraId="1BC5E3B9" w14:textId="77777777" w:rsidR="00464FA0" w:rsidRDefault="00000000">
            <w:pPr>
              <w:keepNext/>
              <w:spacing w:before="20" w:after="20" w:line="240" w:lineRule="auto"/>
              <w:jc w:val="center"/>
            </w:pPr>
            <w:r>
              <w:rPr>
                <w:rFonts w:ascii="Times New Roman" w:hAnsi="Times New Roman" w:cs="Times New Roman"/>
                <w:b/>
                <w:bCs/>
                <w:sz w:val="19"/>
                <w:szCs w:val="19"/>
              </w:rPr>
              <w:t>Net SR</w:t>
            </w:r>
          </w:p>
        </w:tc>
        <w:tc>
          <w:tcPr>
            <w:tcW w:w="1500" w:type="dxa"/>
            <w:shd w:val="clear" w:color="auto" w:fill="E7E6E6"/>
            <w:vAlign w:val="center"/>
          </w:tcPr>
          <w:p w14:paraId="11BDFA2A" w14:textId="77777777" w:rsidR="00464FA0" w:rsidRDefault="00000000">
            <w:pPr>
              <w:keepNext/>
              <w:spacing w:before="20" w:after="20" w:line="240" w:lineRule="auto"/>
              <w:jc w:val="center"/>
            </w:pPr>
            <w:r>
              <w:rPr>
                <w:rFonts w:ascii="Times New Roman" w:hAnsi="Times New Roman" w:cs="Times New Roman"/>
                <w:b/>
                <w:bCs/>
                <w:sz w:val="19"/>
                <w:szCs w:val="19"/>
              </w:rPr>
              <w:t>Net a year</w:t>
            </w:r>
          </w:p>
        </w:tc>
        <w:tc>
          <w:tcPr>
            <w:tcW w:w="1500" w:type="dxa"/>
            <w:shd w:val="clear" w:color="auto" w:fill="E7E6E6"/>
            <w:vAlign w:val="center"/>
          </w:tcPr>
          <w:p w14:paraId="4032DB73" w14:textId="77777777" w:rsidR="00464FA0" w:rsidRDefault="00000000">
            <w:pPr>
              <w:keepNext/>
              <w:spacing w:before="20" w:after="20" w:line="240" w:lineRule="auto"/>
              <w:jc w:val="center"/>
            </w:pPr>
            <w:r>
              <w:rPr>
                <w:rFonts w:ascii="Times New Roman" w:hAnsi="Times New Roman" w:cs="Times New Roman"/>
                <w:b/>
                <w:bCs/>
                <w:sz w:val="19"/>
                <w:szCs w:val="19"/>
              </w:rPr>
              <w:t>Ex-2022</w:t>
            </w:r>
          </w:p>
        </w:tc>
        <w:tc>
          <w:tcPr>
            <w:tcW w:w="1500" w:type="dxa"/>
            <w:shd w:val="clear" w:color="auto" w:fill="E7E6E6"/>
            <w:vAlign w:val="center"/>
          </w:tcPr>
          <w:p w14:paraId="7A199B79" w14:textId="77777777" w:rsidR="00464FA0" w:rsidRDefault="00000000">
            <w:pPr>
              <w:keepNext/>
              <w:spacing w:before="20" w:after="20" w:line="240" w:lineRule="auto"/>
              <w:jc w:val="center"/>
            </w:pPr>
            <w:r>
              <w:rPr>
                <w:rFonts w:ascii="Times New Roman" w:hAnsi="Times New Roman" w:cs="Times New Roman"/>
                <w:b/>
                <w:bCs/>
                <w:sz w:val="19"/>
                <w:szCs w:val="19"/>
              </w:rPr>
              <w:t>Ex-2022–23</w:t>
            </w:r>
          </w:p>
        </w:tc>
      </w:tr>
      <w:tr w:rsidR="00464FA0" w14:paraId="28FAC732" w14:textId="77777777">
        <w:trPr>
          <w:cantSplit/>
          <w:jc w:val="center"/>
        </w:trPr>
        <w:tc>
          <w:tcPr>
            <w:tcW w:w="1860" w:type="dxa"/>
            <w:vAlign w:val="center"/>
          </w:tcPr>
          <w:p w14:paraId="7CD2FC44" w14:textId="77777777" w:rsidR="00464FA0" w:rsidRDefault="00000000">
            <w:pPr>
              <w:keepNext/>
              <w:spacing w:before="20" w:after="20" w:line="240" w:lineRule="auto"/>
            </w:pPr>
            <w:r>
              <w:rPr>
                <w:rFonts w:ascii="Times New Roman" w:hAnsi="Times New Roman" w:cs="Times New Roman"/>
                <w:b/>
                <w:bCs/>
                <w:sz w:val="19"/>
                <w:szCs w:val="19"/>
              </w:rPr>
              <w:t>Book</w:t>
            </w:r>
          </w:p>
        </w:tc>
        <w:tc>
          <w:tcPr>
            <w:tcW w:w="1500" w:type="dxa"/>
            <w:vAlign w:val="center"/>
          </w:tcPr>
          <w:p w14:paraId="4524A9F3" w14:textId="77777777" w:rsidR="00464FA0" w:rsidRDefault="00000000">
            <w:pPr>
              <w:keepNext/>
              <w:spacing w:before="20" w:after="20" w:line="240" w:lineRule="auto"/>
              <w:jc w:val="center"/>
            </w:pPr>
            <w:r>
              <w:rPr>
                <w:rFonts w:ascii="Times New Roman" w:hAnsi="Times New Roman" w:cs="Times New Roman"/>
                <w:b/>
                <w:bCs/>
                <w:sz w:val="19"/>
                <w:szCs w:val="19"/>
              </w:rPr>
              <w:t>−0.14 (0.29)</w:t>
            </w:r>
          </w:p>
        </w:tc>
        <w:tc>
          <w:tcPr>
            <w:tcW w:w="1500" w:type="dxa"/>
            <w:vAlign w:val="center"/>
          </w:tcPr>
          <w:p w14:paraId="2A98A2D3" w14:textId="77777777" w:rsidR="00464FA0" w:rsidRDefault="00000000">
            <w:pPr>
              <w:keepNext/>
              <w:spacing w:before="20" w:after="20" w:line="240" w:lineRule="auto"/>
              <w:jc w:val="center"/>
            </w:pPr>
            <w:r>
              <w:rPr>
                <w:rFonts w:ascii="Times New Roman" w:hAnsi="Times New Roman" w:cs="Times New Roman"/>
                <w:b/>
                <w:bCs/>
                <w:sz w:val="19"/>
                <w:szCs w:val="19"/>
              </w:rPr>
              <w:t>−0.60 (0.32)</w:t>
            </w:r>
          </w:p>
        </w:tc>
        <w:tc>
          <w:tcPr>
            <w:tcW w:w="1500" w:type="dxa"/>
            <w:vAlign w:val="center"/>
          </w:tcPr>
          <w:p w14:paraId="3CAB406F" w14:textId="77777777" w:rsidR="00464FA0" w:rsidRDefault="00000000">
            <w:pPr>
              <w:keepNext/>
              <w:spacing w:before="20" w:after="20" w:line="240" w:lineRule="auto"/>
              <w:jc w:val="center"/>
            </w:pPr>
            <w:r>
              <w:rPr>
                <w:rFonts w:ascii="Times New Roman" w:hAnsi="Times New Roman" w:cs="Times New Roman"/>
                <w:b/>
                <w:bCs/>
                <w:sz w:val="19"/>
                <w:szCs w:val="19"/>
              </w:rPr>
              <w:t>−3.19%</w:t>
            </w:r>
          </w:p>
        </w:tc>
        <w:tc>
          <w:tcPr>
            <w:tcW w:w="1500" w:type="dxa"/>
            <w:vAlign w:val="center"/>
          </w:tcPr>
          <w:p w14:paraId="10D3BC9E" w14:textId="77777777" w:rsidR="00464FA0" w:rsidRDefault="00000000">
            <w:pPr>
              <w:keepNext/>
              <w:spacing w:before="20" w:after="20" w:line="240" w:lineRule="auto"/>
              <w:jc w:val="center"/>
            </w:pPr>
            <w:r>
              <w:rPr>
                <w:rFonts w:ascii="Times New Roman" w:hAnsi="Times New Roman" w:cs="Times New Roman"/>
                <w:b/>
                <w:bCs/>
                <w:sz w:val="19"/>
                <w:szCs w:val="19"/>
              </w:rPr>
              <w:t>−0.98 (0.37)</w:t>
            </w:r>
          </w:p>
        </w:tc>
        <w:tc>
          <w:tcPr>
            <w:tcW w:w="1500" w:type="dxa"/>
            <w:vAlign w:val="center"/>
          </w:tcPr>
          <w:p w14:paraId="25F7A828" w14:textId="77777777" w:rsidR="00464FA0" w:rsidRDefault="00000000">
            <w:pPr>
              <w:keepNext/>
              <w:spacing w:before="20" w:after="20" w:line="240" w:lineRule="auto"/>
              <w:jc w:val="center"/>
            </w:pPr>
            <w:r>
              <w:rPr>
                <w:rFonts w:ascii="Times New Roman" w:hAnsi="Times New Roman" w:cs="Times New Roman"/>
                <w:b/>
                <w:bCs/>
                <w:sz w:val="19"/>
                <w:szCs w:val="19"/>
              </w:rPr>
              <w:t>−1.11 (0.40)</w:t>
            </w:r>
          </w:p>
        </w:tc>
      </w:tr>
      <w:tr w:rsidR="00464FA0" w14:paraId="03B4AFC8" w14:textId="77777777">
        <w:trPr>
          <w:cantSplit/>
          <w:jc w:val="center"/>
        </w:trPr>
        <w:tc>
          <w:tcPr>
            <w:tcW w:w="1860" w:type="dxa"/>
            <w:vAlign w:val="center"/>
          </w:tcPr>
          <w:p w14:paraId="37B899A3" w14:textId="77777777" w:rsidR="00464FA0" w:rsidRDefault="00000000">
            <w:pPr>
              <w:keepNext/>
              <w:spacing w:before="20" w:after="20" w:line="240" w:lineRule="auto"/>
            </w:pPr>
            <w:r>
              <w:rPr>
                <w:rFonts w:ascii="Times New Roman" w:hAnsi="Times New Roman" w:cs="Times New Roman"/>
                <w:sz w:val="19"/>
                <w:szCs w:val="19"/>
              </w:rPr>
              <w:t>USD outright</w:t>
            </w:r>
          </w:p>
        </w:tc>
        <w:tc>
          <w:tcPr>
            <w:tcW w:w="1500" w:type="dxa"/>
            <w:vAlign w:val="center"/>
          </w:tcPr>
          <w:p w14:paraId="3FEADF34" w14:textId="77777777" w:rsidR="00464FA0" w:rsidRDefault="00000000">
            <w:pPr>
              <w:keepNext/>
              <w:spacing w:before="20" w:after="20" w:line="240" w:lineRule="auto"/>
              <w:jc w:val="center"/>
            </w:pPr>
            <w:r>
              <w:rPr>
                <w:rFonts w:ascii="Times New Roman" w:hAnsi="Times New Roman" w:cs="Times New Roman"/>
                <w:sz w:val="19"/>
                <w:szCs w:val="19"/>
              </w:rPr>
              <w:t>−0.50 (0.31)</w:t>
            </w:r>
          </w:p>
        </w:tc>
        <w:tc>
          <w:tcPr>
            <w:tcW w:w="1500" w:type="dxa"/>
            <w:vAlign w:val="center"/>
          </w:tcPr>
          <w:p w14:paraId="30819154" w14:textId="77777777" w:rsidR="00464FA0" w:rsidRDefault="00000000">
            <w:pPr>
              <w:keepNext/>
              <w:spacing w:before="20" w:after="20" w:line="240" w:lineRule="auto"/>
              <w:jc w:val="center"/>
            </w:pPr>
            <w:r>
              <w:rPr>
                <w:rFonts w:ascii="Times New Roman" w:hAnsi="Times New Roman" w:cs="Times New Roman"/>
                <w:sz w:val="19"/>
                <w:szCs w:val="19"/>
              </w:rPr>
              <w:t>−0.88 (0.34)</w:t>
            </w:r>
          </w:p>
        </w:tc>
        <w:tc>
          <w:tcPr>
            <w:tcW w:w="1500" w:type="dxa"/>
            <w:vAlign w:val="center"/>
          </w:tcPr>
          <w:p w14:paraId="75B10945" w14:textId="77777777" w:rsidR="00464FA0" w:rsidRDefault="00000000">
            <w:pPr>
              <w:keepNext/>
              <w:spacing w:before="20" w:after="20" w:line="240" w:lineRule="auto"/>
              <w:jc w:val="center"/>
            </w:pPr>
            <w:r>
              <w:rPr>
                <w:rFonts w:ascii="Times New Roman" w:hAnsi="Times New Roman" w:cs="Times New Roman"/>
                <w:sz w:val="19"/>
                <w:szCs w:val="19"/>
              </w:rPr>
              <w:t>−2.19%</w:t>
            </w:r>
          </w:p>
        </w:tc>
        <w:tc>
          <w:tcPr>
            <w:tcW w:w="1500" w:type="dxa"/>
            <w:vAlign w:val="center"/>
          </w:tcPr>
          <w:p w14:paraId="23BDA064" w14:textId="77777777" w:rsidR="00464FA0" w:rsidRDefault="00000000">
            <w:pPr>
              <w:keepNext/>
              <w:spacing w:before="20" w:after="20" w:line="240" w:lineRule="auto"/>
              <w:jc w:val="center"/>
            </w:pPr>
            <w:r>
              <w:rPr>
                <w:rFonts w:ascii="Times New Roman" w:hAnsi="Times New Roman" w:cs="Times New Roman"/>
                <w:sz w:val="19"/>
                <w:szCs w:val="19"/>
              </w:rPr>
              <w:t>−1.09 (0.38)</w:t>
            </w:r>
          </w:p>
        </w:tc>
        <w:tc>
          <w:tcPr>
            <w:tcW w:w="1500" w:type="dxa"/>
            <w:vAlign w:val="center"/>
          </w:tcPr>
          <w:p w14:paraId="3CBEEDC7" w14:textId="77777777" w:rsidR="00464FA0" w:rsidRDefault="00000000">
            <w:pPr>
              <w:keepNext/>
              <w:spacing w:before="20" w:after="20" w:line="240" w:lineRule="auto"/>
              <w:jc w:val="center"/>
            </w:pPr>
            <w:r>
              <w:rPr>
                <w:rFonts w:ascii="Times New Roman" w:hAnsi="Times New Roman" w:cs="Times New Roman"/>
                <w:sz w:val="19"/>
                <w:szCs w:val="19"/>
              </w:rPr>
              <w:t>−1.23 (0.42)</w:t>
            </w:r>
          </w:p>
        </w:tc>
      </w:tr>
      <w:tr w:rsidR="00464FA0" w14:paraId="6326541C" w14:textId="77777777">
        <w:trPr>
          <w:cantSplit/>
          <w:jc w:val="center"/>
        </w:trPr>
        <w:tc>
          <w:tcPr>
            <w:tcW w:w="1860" w:type="dxa"/>
            <w:vAlign w:val="center"/>
          </w:tcPr>
          <w:p w14:paraId="45C83FE2" w14:textId="77777777" w:rsidR="00464FA0" w:rsidRDefault="00000000">
            <w:pPr>
              <w:keepNext/>
              <w:spacing w:before="20" w:after="20" w:line="240" w:lineRule="auto"/>
            </w:pPr>
            <w:r>
              <w:rPr>
                <w:rFonts w:ascii="Times New Roman" w:hAnsi="Times New Roman" w:cs="Times New Roman"/>
                <w:sz w:val="19"/>
                <w:szCs w:val="19"/>
              </w:rPr>
              <w:t>GBP outright</w:t>
            </w:r>
          </w:p>
        </w:tc>
        <w:tc>
          <w:tcPr>
            <w:tcW w:w="1500" w:type="dxa"/>
            <w:vAlign w:val="center"/>
          </w:tcPr>
          <w:p w14:paraId="2E478BBB" w14:textId="77777777" w:rsidR="00464FA0" w:rsidRDefault="00000000">
            <w:pPr>
              <w:keepNext/>
              <w:spacing w:before="20" w:after="20" w:line="240" w:lineRule="auto"/>
              <w:jc w:val="center"/>
            </w:pPr>
            <w:r>
              <w:rPr>
                <w:rFonts w:ascii="Times New Roman" w:hAnsi="Times New Roman" w:cs="Times New Roman"/>
                <w:sz w:val="19"/>
                <w:szCs w:val="19"/>
              </w:rPr>
              <w:t>+0.73 (0.33)</w:t>
            </w:r>
          </w:p>
        </w:tc>
        <w:tc>
          <w:tcPr>
            <w:tcW w:w="1500" w:type="dxa"/>
            <w:vAlign w:val="center"/>
          </w:tcPr>
          <w:p w14:paraId="09C85B7B" w14:textId="77777777" w:rsidR="00464FA0" w:rsidRDefault="00000000">
            <w:pPr>
              <w:keepNext/>
              <w:spacing w:before="20" w:after="20" w:line="240" w:lineRule="auto"/>
              <w:jc w:val="center"/>
            </w:pPr>
            <w:r>
              <w:rPr>
                <w:rFonts w:ascii="Times New Roman" w:hAnsi="Times New Roman" w:cs="Times New Roman"/>
                <w:sz w:val="19"/>
                <w:szCs w:val="19"/>
              </w:rPr>
              <w:t>+0.50 (0.31)</w:t>
            </w:r>
          </w:p>
        </w:tc>
        <w:tc>
          <w:tcPr>
            <w:tcW w:w="1500" w:type="dxa"/>
            <w:vAlign w:val="center"/>
          </w:tcPr>
          <w:p w14:paraId="666A294A" w14:textId="77777777" w:rsidR="00464FA0" w:rsidRDefault="00000000">
            <w:pPr>
              <w:keepNext/>
              <w:spacing w:before="20" w:after="20" w:line="240" w:lineRule="auto"/>
              <w:jc w:val="center"/>
            </w:pPr>
            <w:r>
              <w:rPr>
                <w:rFonts w:ascii="Times New Roman" w:hAnsi="Times New Roman" w:cs="Times New Roman"/>
                <w:sz w:val="19"/>
                <w:szCs w:val="19"/>
              </w:rPr>
              <w:t>+0.99%</w:t>
            </w:r>
          </w:p>
        </w:tc>
        <w:tc>
          <w:tcPr>
            <w:tcW w:w="1500" w:type="dxa"/>
            <w:vAlign w:val="center"/>
          </w:tcPr>
          <w:p w14:paraId="11BEF126" w14:textId="77777777" w:rsidR="00464FA0" w:rsidRDefault="00000000">
            <w:pPr>
              <w:keepNext/>
              <w:spacing w:before="20" w:after="20" w:line="240" w:lineRule="auto"/>
              <w:jc w:val="center"/>
            </w:pPr>
            <w:r>
              <w:rPr>
                <w:rFonts w:ascii="Times New Roman" w:hAnsi="Times New Roman" w:cs="Times New Roman"/>
                <w:sz w:val="19"/>
                <w:szCs w:val="19"/>
              </w:rPr>
              <w:t>+0.15 (0.31)</w:t>
            </w:r>
          </w:p>
        </w:tc>
        <w:tc>
          <w:tcPr>
            <w:tcW w:w="1500" w:type="dxa"/>
            <w:vAlign w:val="center"/>
          </w:tcPr>
          <w:p w14:paraId="6535FC8B" w14:textId="77777777" w:rsidR="00464FA0" w:rsidRDefault="00000000">
            <w:pPr>
              <w:keepNext/>
              <w:spacing w:before="20" w:after="20" w:line="240" w:lineRule="auto"/>
              <w:jc w:val="center"/>
            </w:pPr>
            <w:r>
              <w:rPr>
                <w:rFonts w:ascii="Times New Roman" w:hAnsi="Times New Roman" w:cs="Times New Roman"/>
                <w:sz w:val="19"/>
                <w:szCs w:val="19"/>
              </w:rPr>
              <w:t>+0.04 (0.32)</w:t>
            </w:r>
          </w:p>
        </w:tc>
      </w:tr>
      <w:tr w:rsidR="00464FA0" w14:paraId="1623DE03" w14:textId="77777777">
        <w:trPr>
          <w:cantSplit/>
          <w:jc w:val="center"/>
        </w:trPr>
        <w:tc>
          <w:tcPr>
            <w:tcW w:w="1860" w:type="dxa"/>
            <w:vAlign w:val="center"/>
          </w:tcPr>
          <w:p w14:paraId="50759A6D" w14:textId="77777777" w:rsidR="00464FA0" w:rsidRDefault="00000000">
            <w:pPr>
              <w:keepNext/>
              <w:spacing w:before="20" w:after="20" w:line="240" w:lineRule="auto"/>
            </w:pPr>
            <w:r>
              <w:rPr>
                <w:rFonts w:ascii="Times New Roman" w:hAnsi="Times New Roman" w:cs="Times New Roman"/>
                <w:sz w:val="19"/>
                <w:szCs w:val="19"/>
              </w:rPr>
              <w:t>USD 2s10s</w:t>
            </w:r>
          </w:p>
        </w:tc>
        <w:tc>
          <w:tcPr>
            <w:tcW w:w="1500" w:type="dxa"/>
            <w:vAlign w:val="center"/>
          </w:tcPr>
          <w:p w14:paraId="4AB222C9" w14:textId="77777777" w:rsidR="00464FA0" w:rsidRDefault="00000000">
            <w:pPr>
              <w:keepNext/>
              <w:spacing w:before="20" w:after="20" w:line="240" w:lineRule="auto"/>
              <w:jc w:val="center"/>
            </w:pPr>
            <w:r>
              <w:rPr>
                <w:rFonts w:ascii="Times New Roman" w:hAnsi="Times New Roman" w:cs="Times New Roman"/>
                <w:sz w:val="19"/>
                <w:szCs w:val="19"/>
              </w:rPr>
              <w:t>+0.01 (0.29)</w:t>
            </w:r>
          </w:p>
        </w:tc>
        <w:tc>
          <w:tcPr>
            <w:tcW w:w="1500" w:type="dxa"/>
            <w:vAlign w:val="center"/>
          </w:tcPr>
          <w:p w14:paraId="2EED5508" w14:textId="77777777" w:rsidR="00464FA0" w:rsidRDefault="00000000">
            <w:pPr>
              <w:keepNext/>
              <w:spacing w:before="20" w:after="20" w:line="240" w:lineRule="auto"/>
              <w:jc w:val="center"/>
            </w:pPr>
            <w:r>
              <w:rPr>
                <w:rFonts w:ascii="Times New Roman" w:hAnsi="Times New Roman" w:cs="Times New Roman"/>
                <w:sz w:val="19"/>
                <w:szCs w:val="19"/>
              </w:rPr>
              <w:t>−0.12 (0.29)</w:t>
            </w:r>
          </w:p>
        </w:tc>
        <w:tc>
          <w:tcPr>
            <w:tcW w:w="1500" w:type="dxa"/>
            <w:vAlign w:val="center"/>
          </w:tcPr>
          <w:p w14:paraId="61E3EFD7" w14:textId="77777777" w:rsidR="00464FA0" w:rsidRDefault="00000000">
            <w:pPr>
              <w:keepNext/>
              <w:spacing w:before="20" w:after="20" w:line="240" w:lineRule="auto"/>
              <w:jc w:val="center"/>
            </w:pPr>
            <w:r>
              <w:rPr>
                <w:rFonts w:ascii="Times New Roman" w:hAnsi="Times New Roman" w:cs="Times New Roman"/>
                <w:sz w:val="19"/>
                <w:szCs w:val="19"/>
              </w:rPr>
              <w:t>−0.29%</w:t>
            </w:r>
          </w:p>
        </w:tc>
        <w:tc>
          <w:tcPr>
            <w:tcW w:w="1500" w:type="dxa"/>
            <w:vAlign w:val="center"/>
          </w:tcPr>
          <w:p w14:paraId="00750671" w14:textId="77777777" w:rsidR="00464FA0" w:rsidRDefault="00000000">
            <w:pPr>
              <w:keepNext/>
              <w:spacing w:before="20" w:after="20" w:line="240" w:lineRule="auto"/>
              <w:jc w:val="center"/>
            </w:pPr>
            <w:r>
              <w:rPr>
                <w:rFonts w:ascii="Times New Roman" w:hAnsi="Times New Roman" w:cs="Times New Roman"/>
                <w:sz w:val="19"/>
                <w:szCs w:val="19"/>
              </w:rPr>
              <w:t>−0.15 (0.31)</w:t>
            </w:r>
          </w:p>
        </w:tc>
        <w:tc>
          <w:tcPr>
            <w:tcW w:w="1500" w:type="dxa"/>
            <w:vAlign w:val="center"/>
          </w:tcPr>
          <w:p w14:paraId="2484CFC7" w14:textId="77777777" w:rsidR="00464FA0" w:rsidRDefault="00000000">
            <w:pPr>
              <w:keepNext/>
              <w:spacing w:before="20" w:after="20" w:line="240" w:lineRule="auto"/>
              <w:jc w:val="center"/>
            </w:pPr>
            <w:r>
              <w:rPr>
                <w:rFonts w:ascii="Times New Roman" w:hAnsi="Times New Roman" w:cs="Times New Roman"/>
                <w:sz w:val="19"/>
                <w:szCs w:val="19"/>
              </w:rPr>
              <w:t>−0.19 (0.32)</w:t>
            </w:r>
          </w:p>
        </w:tc>
      </w:tr>
      <w:tr w:rsidR="00464FA0" w14:paraId="2A137ABE" w14:textId="77777777">
        <w:trPr>
          <w:cantSplit/>
          <w:jc w:val="center"/>
        </w:trPr>
        <w:tc>
          <w:tcPr>
            <w:tcW w:w="1860" w:type="dxa"/>
            <w:vAlign w:val="center"/>
          </w:tcPr>
          <w:p w14:paraId="7908DA76" w14:textId="77777777" w:rsidR="00464FA0" w:rsidRDefault="00000000">
            <w:pPr>
              <w:keepNext/>
              <w:spacing w:before="20" w:after="20" w:line="240" w:lineRule="auto"/>
            </w:pPr>
            <w:r>
              <w:rPr>
                <w:rFonts w:ascii="Times New Roman" w:hAnsi="Times New Roman" w:cs="Times New Roman"/>
                <w:sz w:val="19"/>
                <w:szCs w:val="19"/>
              </w:rPr>
              <w:t>GBP 2s10s</w:t>
            </w:r>
          </w:p>
        </w:tc>
        <w:tc>
          <w:tcPr>
            <w:tcW w:w="1500" w:type="dxa"/>
            <w:vAlign w:val="center"/>
          </w:tcPr>
          <w:p w14:paraId="63B1E05B" w14:textId="77777777" w:rsidR="00464FA0" w:rsidRDefault="00000000">
            <w:pPr>
              <w:keepNext/>
              <w:spacing w:before="20" w:after="20" w:line="240" w:lineRule="auto"/>
              <w:jc w:val="center"/>
            </w:pPr>
            <w:r>
              <w:rPr>
                <w:rFonts w:ascii="Times New Roman" w:hAnsi="Times New Roman" w:cs="Times New Roman"/>
                <w:sz w:val="19"/>
                <w:szCs w:val="19"/>
              </w:rPr>
              <w:t>−0.36 (0.30)</w:t>
            </w:r>
          </w:p>
        </w:tc>
        <w:tc>
          <w:tcPr>
            <w:tcW w:w="1500" w:type="dxa"/>
            <w:vAlign w:val="center"/>
          </w:tcPr>
          <w:p w14:paraId="39F8F27A" w14:textId="77777777" w:rsidR="00464FA0" w:rsidRDefault="00000000">
            <w:pPr>
              <w:keepNext/>
              <w:spacing w:before="20" w:after="20" w:line="240" w:lineRule="auto"/>
              <w:jc w:val="center"/>
            </w:pPr>
            <w:r>
              <w:rPr>
                <w:rFonts w:ascii="Times New Roman" w:hAnsi="Times New Roman" w:cs="Times New Roman"/>
                <w:sz w:val="19"/>
                <w:szCs w:val="19"/>
              </w:rPr>
              <w:t>−0.62 (0.32)</w:t>
            </w:r>
          </w:p>
        </w:tc>
        <w:tc>
          <w:tcPr>
            <w:tcW w:w="1500" w:type="dxa"/>
            <w:vAlign w:val="center"/>
          </w:tcPr>
          <w:p w14:paraId="1E7B0FFC" w14:textId="77777777" w:rsidR="00464FA0" w:rsidRDefault="00000000">
            <w:pPr>
              <w:keepNext/>
              <w:spacing w:before="20" w:after="20" w:line="240" w:lineRule="auto"/>
              <w:jc w:val="center"/>
            </w:pPr>
            <w:r>
              <w:rPr>
                <w:rFonts w:ascii="Times New Roman" w:hAnsi="Times New Roman" w:cs="Times New Roman"/>
                <w:sz w:val="19"/>
                <w:szCs w:val="19"/>
              </w:rPr>
              <w:t>−1.15%</w:t>
            </w:r>
          </w:p>
        </w:tc>
        <w:tc>
          <w:tcPr>
            <w:tcW w:w="1500" w:type="dxa"/>
            <w:vAlign w:val="center"/>
          </w:tcPr>
          <w:p w14:paraId="7220EBF8" w14:textId="77777777" w:rsidR="00464FA0" w:rsidRDefault="00000000">
            <w:pPr>
              <w:keepNext/>
              <w:spacing w:before="20" w:after="20" w:line="240" w:lineRule="auto"/>
              <w:jc w:val="center"/>
            </w:pPr>
            <w:r>
              <w:rPr>
                <w:rFonts w:ascii="Times New Roman" w:hAnsi="Times New Roman" w:cs="Times New Roman"/>
                <w:sz w:val="19"/>
                <w:szCs w:val="19"/>
              </w:rPr>
              <w:t>−0.73 (0.34)</w:t>
            </w:r>
          </w:p>
        </w:tc>
        <w:tc>
          <w:tcPr>
            <w:tcW w:w="1500" w:type="dxa"/>
            <w:vAlign w:val="center"/>
          </w:tcPr>
          <w:p w14:paraId="7409767C" w14:textId="77777777" w:rsidR="00464FA0" w:rsidRDefault="00000000">
            <w:pPr>
              <w:keepNext/>
              <w:spacing w:before="20" w:after="20" w:line="240" w:lineRule="auto"/>
              <w:jc w:val="center"/>
            </w:pPr>
            <w:r>
              <w:rPr>
                <w:rFonts w:ascii="Times New Roman" w:hAnsi="Times New Roman" w:cs="Times New Roman"/>
                <w:sz w:val="19"/>
                <w:szCs w:val="19"/>
              </w:rPr>
              <w:t>−0.58 (0.34)</w:t>
            </w:r>
          </w:p>
        </w:tc>
      </w:tr>
      <w:tr w:rsidR="00464FA0" w14:paraId="7B508E10" w14:textId="77777777">
        <w:trPr>
          <w:cantSplit/>
          <w:jc w:val="center"/>
        </w:trPr>
        <w:tc>
          <w:tcPr>
            <w:tcW w:w="1860" w:type="dxa"/>
            <w:vAlign w:val="center"/>
          </w:tcPr>
          <w:p w14:paraId="4858A310" w14:textId="77777777" w:rsidR="00464FA0" w:rsidRDefault="00000000">
            <w:pPr>
              <w:spacing w:before="20" w:after="20" w:line="240" w:lineRule="auto"/>
            </w:pPr>
            <w:r>
              <w:rPr>
                <w:rFonts w:ascii="Times New Roman" w:hAnsi="Times New Roman" w:cs="Times New Roman"/>
                <w:sz w:val="19"/>
                <w:szCs w:val="19"/>
              </w:rPr>
              <w:t>GBP − USD 2y</w:t>
            </w:r>
          </w:p>
        </w:tc>
        <w:tc>
          <w:tcPr>
            <w:tcW w:w="1500" w:type="dxa"/>
            <w:vAlign w:val="center"/>
          </w:tcPr>
          <w:p w14:paraId="0B748710" w14:textId="77777777" w:rsidR="00464FA0" w:rsidRDefault="00000000">
            <w:pPr>
              <w:spacing w:before="20" w:after="20" w:line="240" w:lineRule="auto"/>
              <w:jc w:val="center"/>
            </w:pPr>
            <w:r>
              <w:rPr>
                <w:rFonts w:ascii="Times New Roman" w:hAnsi="Times New Roman" w:cs="Times New Roman"/>
                <w:sz w:val="19"/>
                <w:szCs w:val="19"/>
              </w:rPr>
              <w:t>−0.15 (0.29)</w:t>
            </w:r>
          </w:p>
        </w:tc>
        <w:tc>
          <w:tcPr>
            <w:tcW w:w="1500" w:type="dxa"/>
            <w:vAlign w:val="center"/>
          </w:tcPr>
          <w:p w14:paraId="106E3A05" w14:textId="77777777" w:rsidR="00464FA0" w:rsidRDefault="00000000">
            <w:pPr>
              <w:spacing w:before="20" w:after="20" w:line="240" w:lineRule="auto"/>
              <w:jc w:val="center"/>
            </w:pPr>
            <w:r>
              <w:rPr>
                <w:rFonts w:ascii="Times New Roman" w:hAnsi="Times New Roman" w:cs="Times New Roman"/>
                <w:sz w:val="19"/>
                <w:szCs w:val="19"/>
              </w:rPr>
              <w:t>−0.27 (0.30)</w:t>
            </w:r>
          </w:p>
        </w:tc>
        <w:tc>
          <w:tcPr>
            <w:tcW w:w="1500" w:type="dxa"/>
            <w:vAlign w:val="center"/>
          </w:tcPr>
          <w:p w14:paraId="6FB4970C" w14:textId="77777777" w:rsidR="00464FA0" w:rsidRDefault="00000000">
            <w:pPr>
              <w:spacing w:before="20" w:after="20" w:line="240" w:lineRule="auto"/>
              <w:jc w:val="center"/>
            </w:pPr>
            <w:r>
              <w:rPr>
                <w:rFonts w:ascii="Times New Roman" w:hAnsi="Times New Roman" w:cs="Times New Roman"/>
                <w:sz w:val="19"/>
                <w:szCs w:val="19"/>
              </w:rPr>
              <w:t>−0.54%</w:t>
            </w:r>
          </w:p>
        </w:tc>
        <w:tc>
          <w:tcPr>
            <w:tcW w:w="1500" w:type="dxa"/>
            <w:vAlign w:val="center"/>
          </w:tcPr>
          <w:p w14:paraId="7E13A144" w14:textId="77777777" w:rsidR="00464FA0" w:rsidRDefault="00000000">
            <w:pPr>
              <w:spacing w:before="20" w:after="20" w:line="240" w:lineRule="auto"/>
              <w:jc w:val="center"/>
            </w:pPr>
            <w:r>
              <w:rPr>
                <w:rFonts w:ascii="Times New Roman" w:hAnsi="Times New Roman" w:cs="Times New Roman"/>
                <w:sz w:val="19"/>
                <w:szCs w:val="19"/>
              </w:rPr>
              <w:t>−0.48 (0.32)</w:t>
            </w:r>
          </w:p>
        </w:tc>
        <w:tc>
          <w:tcPr>
            <w:tcW w:w="1500" w:type="dxa"/>
            <w:vAlign w:val="center"/>
          </w:tcPr>
          <w:p w14:paraId="521E9BEC" w14:textId="77777777" w:rsidR="00464FA0" w:rsidRDefault="00000000">
            <w:pPr>
              <w:spacing w:before="20" w:after="20" w:line="240" w:lineRule="auto"/>
              <w:jc w:val="center"/>
            </w:pPr>
            <w:r>
              <w:rPr>
                <w:rFonts w:ascii="Times New Roman" w:hAnsi="Times New Roman" w:cs="Times New Roman"/>
                <w:sz w:val="19"/>
                <w:szCs w:val="19"/>
              </w:rPr>
              <w:t>−0.62 (0.34)</w:t>
            </w:r>
          </w:p>
        </w:tc>
      </w:tr>
    </w:tbl>
    <w:p w14:paraId="6DD16244" w14:textId="743FE7D8" w:rsidR="004B5B13" w:rsidRDefault="004B5B13">
      <w:pPr>
        <w:spacing w:after="0"/>
      </w:pPr>
    </w:p>
    <w:p w14:paraId="658A307F" w14:textId="054420AB" w:rsidR="004B5B13" w:rsidRDefault="004B5B13">
      <w:pPr>
        <w:spacing w:after="0"/>
        <w:rPr>
          <w:rFonts w:ascii="Times New Roman" w:hAnsi="Times New Roman" w:cs="Times New Roman"/>
        </w:rPr>
      </w:pPr>
      <w:r w:rsidRPr="004B5B13">
        <w:rPr>
          <w:rFonts w:ascii="Times New Roman" w:hAnsi="Times New Roman" w:cs="Times New Roman"/>
        </w:rPr>
        <w:t>Gross</w:t>
      </w:r>
      <w:r>
        <w:rPr>
          <w:rFonts w:ascii="Times New Roman" w:hAnsi="Times New Roman" w:cs="Times New Roman"/>
        </w:rPr>
        <w:t xml:space="preserve"> -0.14, net -0.60 (standard error 0.32), -3.19% of capital per year. The worst drawdown was fierce, but more reflective of a grind than of a break, 57.5%: April 2014 to September 2021. The worst 21 session loss is only 10.8%. The losses in the book are concentrated in the USD outright, which accounts for -25.9% cumulative.</w:t>
      </w:r>
    </w:p>
    <w:p w14:paraId="4E82EA36" w14:textId="6FCC3882" w:rsidR="00487D4F" w:rsidRDefault="00487D4F">
      <w:pPr>
        <w:spacing w:after="0"/>
        <w:rPr>
          <w:rFonts w:ascii="Times New Roman" w:hAnsi="Times New Roman" w:cs="Times New Roman"/>
        </w:rPr>
      </w:pPr>
    </w:p>
    <w:p w14:paraId="1BA86279" w14:textId="354B0A61" w:rsidR="00487D4F" w:rsidRPr="004B5B13" w:rsidRDefault="00487D4F">
      <w:pPr>
        <w:spacing w:after="0"/>
        <w:rPr>
          <w:rFonts w:ascii="Times New Roman" w:hAnsi="Times New Roman" w:cs="Times New Roman"/>
        </w:rPr>
      </w:pPr>
      <w:r>
        <w:rPr>
          <w:rFonts w:ascii="Times New Roman" w:hAnsi="Times New Roman" w:cs="Times New Roman"/>
        </w:rPr>
        <w:t xml:space="preserve">GBP </w:t>
      </w:r>
      <w:r w:rsidR="00086B83">
        <w:rPr>
          <w:rFonts w:ascii="Times New Roman" w:hAnsi="Times New Roman" w:cs="Times New Roman"/>
        </w:rPr>
        <w:t xml:space="preserve">outright is the only sleeve that earns, and it earns in one window: net Sharpe Ratio +1.76 while hiking, on 4 trades; excluding this winning period (2022 – 2023) it nets +0.04. GBP </w:t>
      </w:r>
      <w:proofErr w:type="spellStart"/>
      <w:r w:rsidR="00086B83">
        <w:rPr>
          <w:rFonts w:ascii="Times New Roman" w:hAnsi="Times New Roman" w:cs="Times New Roman"/>
        </w:rPr>
        <w:t>outright’s</w:t>
      </w:r>
      <w:proofErr w:type="spellEnd"/>
      <w:r w:rsidR="00086B83">
        <w:rPr>
          <w:rFonts w:ascii="Times New Roman" w:hAnsi="Times New Roman" w:cs="Times New Roman"/>
        </w:rPr>
        <w:t xml:space="preserve"> success depends on this window, a hindsight r* constant, and is sensitive to the coefficients (+0.67 -&gt; +0.13).</w:t>
      </w:r>
    </w:p>
    <w:p w14:paraId="75971A81" w14:textId="77777777" w:rsidR="007C5610" w:rsidRPr="0096356E" w:rsidRDefault="007C5610">
      <w:pPr>
        <w:pStyle w:val="Heading2"/>
      </w:pPr>
      <w:r>
        <w:t>Reaction</w:t>
      </w:r>
    </w:p>
    <w:p w14:paraId="40E0C87D" w14:textId="3B64FAC3" w:rsidR="000024B8" w:rsidRPr="000024B8" w:rsidRDefault="00383611">
      <w:pPr>
        <w:rPr>
          <w:rFonts w:ascii="Times New Roman" w:hAnsi="Times New Roman" w:cs="Times New Roman"/>
        </w:rPr>
      </w:pPr>
      <w:r>
        <w:rPr>
          <w:rFonts w:ascii="Times New Roman" w:hAnsi="Times New Roman" w:cs="Times New Roman"/>
        </w:rPr>
        <w:t>Nothing</w:t>
      </w:r>
      <w:r w:rsidR="000024B8">
        <w:rPr>
          <w:rFonts w:ascii="Times New Roman" w:hAnsi="Times New Roman" w:cs="Times New Roman"/>
        </w:rPr>
        <w:t xml:space="preserve"> was re-tuned in response. The hysteresis pair</w:t>
      </w:r>
      <w:r>
        <w:rPr>
          <w:rFonts w:ascii="Times New Roman" w:hAnsi="Times New Roman" w:cs="Times New Roman"/>
        </w:rPr>
        <w:t xml:space="preserve"> was set in config before the grid ran. Similarly, the</w:t>
      </w:r>
      <w:r w:rsidR="000024B8">
        <w:rPr>
          <w:rFonts w:ascii="Times New Roman" w:hAnsi="Times New Roman" w:cs="Times New Roman"/>
        </w:rPr>
        <w:t xml:space="preserve"> ELB treatment</w:t>
      </w:r>
      <w:r>
        <w:rPr>
          <w:rFonts w:ascii="Times New Roman" w:hAnsi="Times New Roman" w:cs="Times New Roman"/>
        </w:rPr>
        <w:t xml:space="preserve"> </w:t>
      </w:r>
      <w:r w:rsidR="000024B8">
        <w:rPr>
          <w:rFonts w:ascii="Times New Roman" w:hAnsi="Times New Roman" w:cs="Times New Roman"/>
        </w:rPr>
        <w:t xml:space="preserve">and construction were fixed before the results. </w:t>
      </w:r>
    </w:p>
    <w:p w14:paraId="0A78468B" w14:textId="77777777" w:rsidR="001A5D08" w:rsidRPr="0096356E" w:rsidRDefault="001A5D08">
      <w:pPr>
        <w:pStyle w:val="Heading1"/>
      </w:pPr>
      <w:r>
        <w:lastRenderedPageBreak/>
        <w:t>Costs, rolls and breakeven</w:t>
      </w:r>
    </w:p>
    <w:p w14:paraId="7C204574" w14:textId="3E7ADC2B" w:rsidR="00056869" w:rsidRPr="00056869" w:rsidRDefault="00000000" w:rsidP="00056869">
      <w:pPr>
        <w:pStyle w:val="Heading2"/>
      </w:pPr>
      <w:r>
        <w:t>Costs and the roll</w:t>
      </w:r>
    </w:p>
    <w:p w14:paraId="7AB39605" w14:textId="068A419E" w:rsidR="00056869" w:rsidRDefault="00056869">
      <w:pPr>
        <w:rPr>
          <w:rFonts w:ascii="Times New Roman" w:hAnsi="Times New Roman" w:cs="Times New Roman"/>
        </w:rPr>
      </w:pPr>
      <w:r>
        <w:rPr>
          <w:rFonts w:ascii="Times New Roman" w:hAnsi="Times New Roman" w:cs="Times New Roman"/>
        </w:rPr>
        <w:t xml:space="preserve">Gross is already -0.72% per year. No cost treatment makes the book pay. Even charging rolls at half prices, which saves 0.40% (-3.19% -&gt; -2.78%), is insufficient to change to the outcome. </w:t>
      </w:r>
      <w:r w:rsidR="00DF20BE">
        <w:rPr>
          <w:rFonts w:ascii="Times New Roman" w:hAnsi="Times New Roman" w:cs="Times New Roman"/>
        </w:rPr>
        <w:t>There is no breakeven for the portfolio.</w:t>
      </w:r>
    </w:p>
    <w:p w14:paraId="30502E91" w14:textId="59E67F6E" w:rsidR="000024B8" w:rsidRDefault="00305498">
      <w:pPr>
        <w:rPr>
          <w:rFonts w:ascii="Times New Roman" w:hAnsi="Times New Roman" w:cs="Times New Roman"/>
        </w:rPr>
      </w:pPr>
      <w:r>
        <w:rPr>
          <w:rFonts w:ascii="Times New Roman" w:hAnsi="Times New Roman" w:cs="Times New Roman"/>
        </w:rPr>
        <w:t>Turnover explains the costs exactly. R</w:t>
      </w:r>
      <w:r w:rsidR="000024B8">
        <w:rPr>
          <w:rFonts w:ascii="Times New Roman" w:hAnsi="Times New Roman" w:cs="Times New Roman"/>
        </w:rPr>
        <w:t xml:space="preserve">econciliation of the costs deals with turns, DV01, and </w:t>
      </w:r>
      <w:r>
        <w:rPr>
          <w:rFonts w:ascii="Times New Roman" w:hAnsi="Times New Roman" w:cs="Times New Roman"/>
        </w:rPr>
        <w:t>1-way</w:t>
      </w:r>
      <w:r w:rsidR="000024B8">
        <w:rPr>
          <w:rFonts w:ascii="Times New Roman" w:hAnsi="Times New Roman" w:cs="Times New Roman"/>
        </w:rPr>
        <w:t xml:space="preserve"> costs. In this way, you can take 19.8 turns x 284,000 gross DV01 x 0.44bp to arrive at the 2.47% capital per year. </w:t>
      </w:r>
    </w:p>
    <w:p w14:paraId="0F1746FF" w14:textId="77777777" w:rsidR="007C5610" w:rsidRDefault="00D039EF" w:rsidP="00FF5A7A">
      <w:pPr>
        <w:keepNext/>
        <w:spacing w:before="120" w:after="0"/>
        <w:jc w:val="center"/>
        <w:rPr>
          <w:rFonts w:ascii="Times New Roman" w:hAnsi="Times New Roman" w:cs="Times New Roman"/>
        </w:rPr>
      </w:pPr>
      <w:r>
        <w:rPr>
          <w:rFonts w:ascii="Times New Roman" w:hAnsi="Times New Roman" w:cs="Times New Roman"/>
          <w:noProof/>
        </w:rPr>
        <w:drawing>
          <wp:inline distT="0" distB="0" distL="0" distR="0" wp14:anchorId="0B2729C5" wp14:editId="014CE3B6">
            <wp:extent cx="3840480" cy="2598430"/>
            <wp:effectExtent l="0" t="0" r="0" b="0"/>
            <wp:docPr id="6611102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10200" name="Picture 6611102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40480" cy="2598430"/>
                    </a:xfrm>
                    <a:prstGeom prst="rect">
                      <a:avLst/>
                    </a:prstGeom>
                  </pic:spPr>
                </pic:pic>
              </a:graphicData>
            </a:graphic>
          </wp:inline>
        </w:drawing>
      </w:r>
    </w:p>
    <w:p w14:paraId="0B0B61B5" w14:textId="2388AFCB" w:rsidR="00464FA0" w:rsidRDefault="00000000">
      <w:pPr>
        <w:pStyle w:val="Caption"/>
      </w:pPr>
      <w:r>
        <w:rPr>
          <w:b/>
          <w:i w:val="0"/>
        </w:rPr>
        <w:t xml:space="preserve">Figure </w:t>
      </w:r>
      <w:fldSimple w:instr=" SEQ Figure \* ARABIC ">
        <w:r w:rsidR="00A50EFD">
          <w:rPr>
            <w:noProof/>
          </w:rPr>
          <w:t>10</w:t>
        </w:r>
      </w:fldSimple>
      <w:r>
        <w:rPr>
          <w:b/>
          <w:i w:val="0"/>
        </w:rPr>
        <w:t xml:space="preserve">. </w:t>
      </w:r>
      <w:r>
        <w:t>The book’s net Sharpe against the round-trip cost assumed.</w:t>
      </w:r>
    </w:p>
    <w:p w14:paraId="4EB011A7" w14:textId="4326EACF" w:rsidR="001A5D08" w:rsidRDefault="000024B8">
      <w:pPr>
        <w:rPr>
          <w:rFonts w:ascii="Times New Roman" w:hAnsi="Times New Roman" w:cs="Times New Roman"/>
        </w:rPr>
      </w:pPr>
      <w:r>
        <w:rPr>
          <w:rFonts w:ascii="Times New Roman" w:hAnsi="Times New Roman" w:cs="Times New Roman"/>
        </w:rPr>
        <w:t xml:space="preserve">Maintenance is a consistent and large piece of the cost, accounting for 46%. Rolls alone contributed to 33%. With </w:t>
      </w:r>
      <w:proofErr w:type="gramStart"/>
      <w:r>
        <w:rPr>
          <w:rFonts w:ascii="Times New Roman" w:hAnsi="Times New Roman" w:cs="Times New Roman"/>
        </w:rPr>
        <w:t>rolls</w:t>
      </w:r>
      <w:proofErr w:type="gramEnd"/>
      <w:r>
        <w:rPr>
          <w:rFonts w:ascii="Times New Roman" w:hAnsi="Times New Roman" w:cs="Times New Roman"/>
        </w:rPr>
        <w:t xml:space="preserve">, the actions are forced as each outright </w:t>
      </w:r>
      <w:r w:rsidR="004A05BB">
        <w:rPr>
          <w:rFonts w:ascii="Times New Roman" w:hAnsi="Times New Roman" w:cs="Times New Roman"/>
        </w:rPr>
        <w:t>trades the 4</w:t>
      </w:r>
      <w:r w:rsidR="004A05BB" w:rsidRPr="004A05BB">
        <w:rPr>
          <w:rFonts w:ascii="Times New Roman" w:hAnsi="Times New Roman" w:cs="Times New Roman"/>
          <w:vertAlign w:val="superscript"/>
        </w:rPr>
        <w:t>th</w:t>
      </w:r>
      <w:r w:rsidR="004A05BB">
        <w:rPr>
          <w:rFonts w:ascii="Times New Roman" w:hAnsi="Times New Roman" w:cs="Times New Roman"/>
        </w:rPr>
        <w:t xml:space="preserve"> meeting ahead, so every time a meeting passes the position moves to a new contract.</w:t>
      </w:r>
      <w:r>
        <w:rPr>
          <w:rFonts w:ascii="Times New Roman" w:hAnsi="Times New Roman" w:cs="Times New Roman"/>
        </w:rPr>
        <w:t xml:space="preserve"> </w:t>
      </w:r>
    </w:p>
    <w:p w14:paraId="53A216A6" w14:textId="77777777" w:rsidR="001A5D08" w:rsidRPr="0096356E" w:rsidRDefault="001A5D08">
      <w:pPr>
        <w:pStyle w:val="Heading2"/>
      </w:pPr>
      <w:r>
        <w:lastRenderedPageBreak/>
        <w:t>Breakeven</w:t>
      </w:r>
    </w:p>
    <w:p w14:paraId="0C4BB620" w14:textId="77777777" w:rsidR="00D039EF" w:rsidRDefault="00D039EF" w:rsidP="00D039EF">
      <w:pPr>
        <w:keepNext/>
        <w:spacing w:before="120" w:after="0"/>
        <w:jc w:val="center"/>
        <w:rPr>
          <w:rFonts w:ascii="Times New Roman" w:hAnsi="Times New Roman" w:cs="Times New Roman"/>
        </w:rPr>
      </w:pPr>
      <w:r>
        <w:rPr>
          <w:rFonts w:ascii="Times New Roman" w:hAnsi="Times New Roman" w:cs="Times New Roman"/>
          <w:noProof/>
        </w:rPr>
        <w:drawing>
          <wp:inline distT="0" distB="0" distL="0" distR="0" wp14:anchorId="15150214" wp14:editId="7C64F24A">
            <wp:extent cx="5486400" cy="2672208"/>
            <wp:effectExtent l="0" t="0" r="0" b="0"/>
            <wp:docPr id="2041468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68230" name="Picture 20414682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2672208"/>
                    </a:xfrm>
                    <a:prstGeom prst="rect">
                      <a:avLst/>
                    </a:prstGeom>
                  </pic:spPr>
                </pic:pic>
              </a:graphicData>
            </a:graphic>
          </wp:inline>
        </w:drawing>
      </w:r>
    </w:p>
    <w:p w14:paraId="4F96989B" w14:textId="43E42414" w:rsidR="00464FA0" w:rsidRDefault="00000000">
      <w:pPr>
        <w:pStyle w:val="Caption"/>
      </w:pPr>
      <w:r>
        <w:rPr>
          <w:b/>
          <w:i w:val="0"/>
        </w:rPr>
        <w:t xml:space="preserve">Figure </w:t>
      </w:r>
      <w:fldSimple w:instr=" SEQ Figure \* ARABIC ">
        <w:r w:rsidR="00A50EFD">
          <w:rPr>
            <w:noProof/>
          </w:rPr>
          <w:t>11</w:t>
        </w:r>
      </w:fldSimple>
      <w:r>
        <w:rPr>
          <w:b/>
          <w:i w:val="0"/>
        </w:rPr>
        <w:t xml:space="preserve">. </w:t>
      </w:r>
      <w:r>
        <w:t>Carry and roll against the side held, by sleeve, and what those signals earned.</w:t>
      </w:r>
    </w:p>
    <w:p w14:paraId="56C0F544" w14:textId="52F03147" w:rsidR="00135CF5" w:rsidRDefault="00135CF5" w:rsidP="00135CF5">
      <w:pPr>
        <w:rPr>
          <w:rFonts w:ascii="Times New Roman" w:hAnsi="Times New Roman" w:cs="Times New Roman"/>
        </w:rPr>
      </w:pPr>
      <w:proofErr w:type="gramStart"/>
      <w:r>
        <w:rPr>
          <w:rFonts w:ascii="Times New Roman" w:hAnsi="Times New Roman" w:cs="Times New Roman"/>
        </w:rPr>
        <w:t>In order for</w:t>
      </w:r>
      <w:proofErr w:type="gramEnd"/>
      <w:r>
        <w:rPr>
          <w:rFonts w:ascii="Times New Roman" w:hAnsi="Times New Roman" w:cs="Times New Roman"/>
        </w:rPr>
        <w:t xml:space="preserve"> the book to </w:t>
      </w:r>
      <w:proofErr w:type="gramStart"/>
      <w:r>
        <w:rPr>
          <w:rFonts w:ascii="Times New Roman" w:hAnsi="Times New Roman" w:cs="Times New Roman"/>
        </w:rPr>
        <w:t>net</w:t>
      </w:r>
      <w:proofErr w:type="gramEnd"/>
      <w:r>
        <w:rPr>
          <w:rFonts w:ascii="Times New Roman" w:hAnsi="Times New Roman" w:cs="Times New Roman"/>
        </w:rPr>
        <w:t xml:space="preserve"> zero, the bets that the rules take need to overcome the costs less carry and roll. Unfortunately, that isn’t the case. They earned 1.36% per year against the required return of 4.55%. This is a significant shortfall and is a theme that crosses strategies, although to varying effects. </w:t>
      </w:r>
    </w:p>
    <w:p w14:paraId="2542CA97" w14:textId="00E2416F" w:rsidR="00135CF5" w:rsidRDefault="00135CF5" w:rsidP="00135CF5">
      <w:pPr>
        <w:rPr>
          <w:rFonts w:ascii="Times New Roman" w:hAnsi="Times New Roman" w:cs="Times New Roman"/>
        </w:rPr>
      </w:pPr>
      <w:r>
        <w:rPr>
          <w:rFonts w:ascii="Times New Roman" w:hAnsi="Times New Roman" w:cs="Times New Roman"/>
        </w:rPr>
        <w:t>In fact, looking through sleeves, only GBP outright clears. It</w:t>
      </w:r>
      <w:r w:rsidR="0012426E">
        <w:rPr>
          <w:rFonts w:ascii="Times New Roman" w:hAnsi="Times New Roman" w:cs="Times New Roman"/>
        </w:rPr>
        <w:t>s position has a correlation of</w:t>
      </w:r>
      <w:r>
        <w:rPr>
          <w:rFonts w:ascii="Times New Roman" w:hAnsi="Times New Roman" w:cs="Times New Roman"/>
        </w:rPr>
        <w:t xml:space="preserve"> </w:t>
      </w:r>
      <w:r w:rsidR="0012426E">
        <w:rPr>
          <w:rFonts w:ascii="Times New Roman" w:hAnsi="Times New Roman" w:cs="Times New Roman"/>
        </w:rPr>
        <w:t>+</w:t>
      </w:r>
      <w:r>
        <w:rPr>
          <w:rFonts w:ascii="Times New Roman" w:hAnsi="Times New Roman" w:cs="Times New Roman"/>
        </w:rPr>
        <w:t>0.036</w:t>
      </w:r>
      <w:r w:rsidR="0012426E">
        <w:rPr>
          <w:rFonts w:ascii="Times New Roman" w:hAnsi="Times New Roman" w:cs="Times New Roman"/>
        </w:rPr>
        <w:t xml:space="preserve"> with the daily rate move,</w:t>
      </w:r>
      <w:r>
        <w:rPr>
          <w:rFonts w:ascii="Times New Roman" w:hAnsi="Times New Roman" w:cs="Times New Roman"/>
        </w:rPr>
        <w:t xml:space="preserve"> against a needed </w:t>
      </w:r>
      <w:r w:rsidR="0012426E">
        <w:rPr>
          <w:rFonts w:ascii="Times New Roman" w:hAnsi="Times New Roman" w:cs="Times New Roman"/>
        </w:rPr>
        <w:t>+</w:t>
      </w:r>
      <w:r>
        <w:rPr>
          <w:rFonts w:ascii="Times New Roman" w:hAnsi="Times New Roman" w:cs="Times New Roman"/>
        </w:rPr>
        <w:t xml:space="preserve">0.022. </w:t>
      </w:r>
    </w:p>
    <w:p w14:paraId="4053B7A9" w14:textId="6ED063F1" w:rsidR="00135CF5" w:rsidRPr="00135CF5" w:rsidRDefault="006E2459" w:rsidP="00135CF5">
      <w:r>
        <w:rPr>
          <w:rFonts w:ascii="Times New Roman" w:hAnsi="Times New Roman" w:cs="Times New Roman"/>
        </w:rPr>
        <w:t xml:space="preserve">The figure shows that carry and roll ran against 53% of the signals. The right but bleeding moniker best applies to GBP </w:t>
      </w:r>
      <w:proofErr w:type="spellStart"/>
      <w:r>
        <w:rPr>
          <w:rFonts w:ascii="Times New Roman" w:hAnsi="Times New Roman" w:cs="Times New Roman"/>
        </w:rPr>
        <w:t>outrights</w:t>
      </w:r>
      <w:proofErr w:type="spellEnd"/>
      <w:r>
        <w:rPr>
          <w:rFonts w:ascii="Times New Roman" w:hAnsi="Times New Roman" w:cs="Times New Roman"/>
        </w:rPr>
        <w:t xml:space="preserve"> and USD 2s10s. For others, such as USD outright and GBP 2s10s, they are wrong and bleeding. Only GBP – USD 2y collected carry. </w:t>
      </w:r>
    </w:p>
    <w:p w14:paraId="5F6947E0" w14:textId="77777777" w:rsidR="001A5D08" w:rsidRDefault="001A5D08">
      <w:pPr>
        <w:pStyle w:val="Heading1"/>
      </w:pPr>
      <w:r>
        <w:t>Carry filter</w:t>
      </w:r>
    </w:p>
    <w:p w14:paraId="64F746D9" w14:textId="2A307E7D" w:rsidR="008166A4" w:rsidRPr="009D11AA" w:rsidRDefault="008166A4">
      <w:pPr>
        <w:rPr>
          <w:rFonts w:ascii="Times New Roman" w:hAnsi="Times New Roman" w:cs="Times New Roman"/>
        </w:rPr>
      </w:pPr>
      <w:r w:rsidRPr="009D11AA">
        <w:rPr>
          <w:rFonts w:ascii="Times New Roman" w:hAnsi="Times New Roman" w:cs="Times New Roman"/>
        </w:rPr>
        <w:t>One of the tested beliefs was the carry filter.</w:t>
      </w:r>
      <w:r w:rsidR="00C917A5" w:rsidRPr="009D11AA">
        <w:rPr>
          <w:rFonts w:ascii="Times New Roman" w:hAnsi="Times New Roman" w:cs="Times New Roman"/>
        </w:rPr>
        <w:t xml:space="preserve"> </w:t>
      </w:r>
      <w:r w:rsidR="009D11AA">
        <w:rPr>
          <w:rFonts w:ascii="Times New Roman" w:hAnsi="Times New Roman" w:cs="Times New Roman"/>
        </w:rPr>
        <w:t>The filter screens bet to see if the expectation of holding the position is too significant for the expected return.</w:t>
      </w:r>
      <w:r w:rsidR="009D11AA" w:rsidRPr="009D11AA">
        <w:rPr>
          <w:rFonts w:ascii="Times New Roman" w:hAnsi="Times New Roman" w:cs="Times New Roman"/>
        </w:rPr>
        <w:t xml:space="preserve"> </w:t>
      </w:r>
      <w:r w:rsidR="009D11AA">
        <w:rPr>
          <w:rFonts w:ascii="Times New Roman" w:hAnsi="Times New Roman" w:cs="Times New Roman"/>
        </w:rPr>
        <w:t xml:space="preserve">In testing, </w:t>
      </w:r>
      <w:r w:rsidR="009D11AA" w:rsidRPr="009D11AA">
        <w:rPr>
          <w:rFonts w:ascii="Times New Roman" w:hAnsi="Times New Roman" w:cs="Times New Roman"/>
        </w:rPr>
        <w:t>16</w:t>
      </w:r>
      <w:r w:rsidRPr="009D11AA">
        <w:rPr>
          <w:rFonts w:ascii="Times New Roman" w:hAnsi="Times New Roman" w:cs="Times New Roman"/>
        </w:rPr>
        <w:t xml:space="preserve"> of the 104 entries do just that,</w:t>
      </w:r>
      <w:r w:rsidR="009D11AA">
        <w:rPr>
          <w:rFonts w:ascii="Times New Roman" w:hAnsi="Times New Roman" w:cs="Times New Roman"/>
        </w:rPr>
        <w:t xml:space="preserve"> and if they are omitted then t</w:t>
      </w:r>
      <w:r w:rsidRPr="009D11AA">
        <w:rPr>
          <w:rFonts w:ascii="Times New Roman" w:hAnsi="Times New Roman" w:cs="Times New Roman"/>
        </w:rPr>
        <w:t xml:space="preserve">his improves the Sharpe Ratio of the book by 0.10. Although this doesn’t create a winning book, this is </w:t>
      </w:r>
      <w:r w:rsidR="00BA54EB" w:rsidRPr="009D11AA">
        <w:rPr>
          <w:rFonts w:ascii="Times New Roman" w:hAnsi="Times New Roman" w:cs="Times New Roman"/>
        </w:rPr>
        <w:t>an</w:t>
      </w:r>
      <w:r w:rsidRPr="009D11AA">
        <w:rPr>
          <w:rFonts w:ascii="Times New Roman" w:hAnsi="Times New Roman" w:cs="Times New Roman"/>
        </w:rPr>
        <w:t xml:space="preserve"> improvement to outcomes.</w:t>
      </w:r>
      <w:r w:rsidR="009D11AA">
        <w:rPr>
          <w:rFonts w:ascii="Times New Roman" w:hAnsi="Times New Roman" w:cs="Times New Roman"/>
        </w:rPr>
        <w:t xml:space="preserve"> The headline numbers do not include this filter.</w:t>
      </w:r>
    </w:p>
    <w:p w14:paraId="7D65D0F0" w14:textId="77777777" w:rsidR="001A5D08" w:rsidRPr="00B2013F" w:rsidRDefault="00B2013F">
      <w:pPr>
        <w:pStyle w:val="Heading1"/>
      </w:pPr>
      <w:r>
        <w:t>Robustness</w:t>
      </w:r>
    </w:p>
    <w:p w14:paraId="460D8CC9" w14:textId="4EB7DDD5" w:rsidR="00385AD6" w:rsidRDefault="00385AD6">
      <w:pPr>
        <w:rPr>
          <w:rFonts w:ascii="Times New Roman" w:hAnsi="Times New Roman" w:cs="Times New Roman"/>
        </w:rPr>
      </w:pPr>
      <w:r>
        <w:rPr>
          <w:rFonts w:ascii="Times New Roman" w:hAnsi="Times New Roman" w:cs="Times New Roman"/>
        </w:rPr>
        <w:t>Varying the strategy or choices does not change the outcomes of the study. In fact, the Sharpe Ratio remains well maintained at -0.70 to -0.29</w:t>
      </w:r>
      <w:r w:rsidR="000831E2">
        <w:rPr>
          <w:rFonts w:ascii="Times New Roman" w:hAnsi="Times New Roman" w:cs="Times New Roman"/>
        </w:rPr>
        <w:t>. No single choice turns the loss into a gain: across 13 rows the net Sharpe Ratio runs from -0.70 to -0.29.</w:t>
      </w:r>
      <w:r>
        <w:rPr>
          <w:rFonts w:ascii="Times New Roman" w:hAnsi="Times New Roman" w:cs="Times New Roman"/>
        </w:rPr>
        <w:t xml:space="preserve"> Even focusing on the best performing choice, GBP </w:t>
      </w:r>
      <w:proofErr w:type="spellStart"/>
      <w:r>
        <w:rPr>
          <w:rFonts w:ascii="Times New Roman" w:hAnsi="Times New Roman" w:cs="Times New Roman"/>
        </w:rPr>
        <w:t>outright’s</w:t>
      </w:r>
      <w:proofErr w:type="spellEnd"/>
      <w:r>
        <w:rPr>
          <w:rFonts w:ascii="Times New Roman" w:hAnsi="Times New Roman" w:cs="Times New Roman"/>
        </w:rPr>
        <w:t xml:space="preserve"> sensitivity moves </w:t>
      </w:r>
      <w:r w:rsidR="00A11BEF">
        <w:rPr>
          <w:rFonts w:ascii="Times New Roman" w:hAnsi="Times New Roman" w:cs="Times New Roman"/>
        </w:rPr>
        <w:t>Sharpe</w:t>
      </w:r>
      <w:r>
        <w:rPr>
          <w:rFonts w:ascii="Times New Roman" w:hAnsi="Times New Roman" w:cs="Times New Roman"/>
        </w:rPr>
        <w:t xml:space="preserve"> from </w:t>
      </w:r>
      <w:r w:rsidR="002E582A">
        <w:rPr>
          <w:rFonts w:ascii="Times New Roman" w:hAnsi="Times New Roman" w:cs="Times New Roman"/>
        </w:rPr>
        <w:t>+</w:t>
      </w:r>
      <w:r>
        <w:rPr>
          <w:rFonts w:ascii="Times New Roman" w:hAnsi="Times New Roman" w:cs="Times New Roman"/>
        </w:rPr>
        <w:t>0.6</w:t>
      </w:r>
      <w:r w:rsidR="002F34B8">
        <w:rPr>
          <w:rFonts w:ascii="Times New Roman" w:hAnsi="Times New Roman" w:cs="Times New Roman"/>
        </w:rPr>
        <w:t>7</w:t>
      </w:r>
      <w:r>
        <w:rPr>
          <w:rFonts w:ascii="Times New Roman" w:hAnsi="Times New Roman" w:cs="Times New Roman"/>
        </w:rPr>
        <w:t xml:space="preserve"> to </w:t>
      </w:r>
      <w:r w:rsidR="002E582A">
        <w:rPr>
          <w:rFonts w:ascii="Times New Roman" w:hAnsi="Times New Roman" w:cs="Times New Roman"/>
        </w:rPr>
        <w:t>+</w:t>
      </w:r>
      <w:r>
        <w:rPr>
          <w:rFonts w:ascii="Times New Roman" w:hAnsi="Times New Roman" w:cs="Times New Roman"/>
        </w:rPr>
        <w:t>0.1</w:t>
      </w:r>
      <w:r w:rsidR="000831E2">
        <w:rPr>
          <w:rFonts w:ascii="Times New Roman" w:hAnsi="Times New Roman" w:cs="Times New Roman"/>
        </w:rPr>
        <w:t>3</w:t>
      </w:r>
      <w:r>
        <w:rPr>
          <w:rFonts w:ascii="Times New Roman" w:hAnsi="Times New Roman" w:cs="Times New Roman"/>
        </w:rPr>
        <w:t>.</w:t>
      </w:r>
    </w:p>
    <w:p w14:paraId="10DECFC4" w14:textId="77777777" w:rsidR="00D039EF" w:rsidRDefault="00D039EF" w:rsidP="00D039EF">
      <w:pPr>
        <w:keepNext/>
        <w:spacing w:before="120"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51C8140E" wp14:editId="3C935D09">
            <wp:extent cx="5120640" cy="3658128"/>
            <wp:effectExtent l="0" t="0" r="0" b="0"/>
            <wp:docPr id="5489344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34470" name="Picture 5489344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20640" cy="3658128"/>
                    </a:xfrm>
                    <a:prstGeom prst="rect">
                      <a:avLst/>
                    </a:prstGeom>
                  </pic:spPr>
                </pic:pic>
              </a:graphicData>
            </a:graphic>
          </wp:inline>
        </w:drawing>
      </w:r>
    </w:p>
    <w:p w14:paraId="4ED55663" w14:textId="184E13EA" w:rsidR="00464FA0" w:rsidRDefault="00000000">
      <w:pPr>
        <w:pStyle w:val="Caption"/>
      </w:pPr>
      <w:r>
        <w:rPr>
          <w:b/>
          <w:i w:val="0"/>
        </w:rPr>
        <w:t xml:space="preserve">Figure </w:t>
      </w:r>
      <w:fldSimple w:instr=" SEQ Figure \* ARABIC ">
        <w:r w:rsidR="00A50EFD">
          <w:rPr>
            <w:noProof/>
          </w:rPr>
          <w:t>12</w:t>
        </w:r>
      </w:fldSimple>
      <w:r>
        <w:rPr>
          <w:b/>
          <w:i w:val="0"/>
        </w:rPr>
        <w:t xml:space="preserve">. </w:t>
      </w:r>
      <w:r>
        <w:t>The headline book’s net Sharpe with one choice at a time moved off the chosen specification.</w:t>
      </w:r>
    </w:p>
    <w:p w14:paraId="695FF90A" w14:textId="77777777" w:rsidR="001A5D08" w:rsidRDefault="001A5D08">
      <w:pPr>
        <w:pStyle w:val="Heading1"/>
      </w:pPr>
      <w:r>
        <w:t>What would change my view</w:t>
      </w:r>
    </w:p>
    <w:p w14:paraId="2CB39B53" w14:textId="5910F6D1" w:rsidR="00641A34" w:rsidRDefault="00641A34" w:rsidP="00641A34">
      <w:pPr>
        <w:rPr>
          <w:rFonts w:ascii="Times New Roman" w:hAnsi="Times New Roman" w:cs="Times New Roman"/>
        </w:rPr>
      </w:pPr>
      <w:r w:rsidRPr="00641A34">
        <w:rPr>
          <w:rFonts w:ascii="Times New Roman" w:hAnsi="Times New Roman" w:cs="Times New Roman"/>
        </w:rPr>
        <w:t xml:space="preserve">There are several details that would change the paper’s view on this matter. </w:t>
      </w:r>
      <w:r>
        <w:rPr>
          <w:rFonts w:ascii="Times New Roman" w:hAnsi="Times New Roman" w:cs="Times New Roman"/>
        </w:rPr>
        <w:t xml:space="preserve">In no </w:t>
      </w:r>
      <w:r w:rsidR="00962923">
        <w:rPr>
          <w:rFonts w:ascii="Times New Roman" w:hAnsi="Times New Roman" w:cs="Times New Roman"/>
        </w:rPr>
        <w:t>order</w:t>
      </w:r>
      <w:r>
        <w:rPr>
          <w:rFonts w:ascii="Times New Roman" w:hAnsi="Times New Roman" w:cs="Times New Roman"/>
        </w:rPr>
        <w:t>:</w:t>
      </w:r>
    </w:p>
    <w:p w14:paraId="0C288EC2" w14:textId="53A120A9" w:rsidR="00CD7765" w:rsidRDefault="00CD7765" w:rsidP="00641A34">
      <w:pPr>
        <w:pStyle w:val="ListParagraph"/>
        <w:numPr>
          <w:ilvl w:val="0"/>
          <w:numId w:val="3"/>
        </w:numPr>
        <w:rPr>
          <w:rFonts w:ascii="Times New Roman" w:hAnsi="Times New Roman" w:cs="Times New Roman"/>
        </w:rPr>
      </w:pPr>
      <w:r>
        <w:rPr>
          <w:rFonts w:ascii="Times New Roman" w:hAnsi="Times New Roman" w:cs="Times New Roman"/>
        </w:rPr>
        <w:t>GBP outright holding up outside 2021 – 2023</w:t>
      </w:r>
    </w:p>
    <w:p w14:paraId="488B4848" w14:textId="05548A77" w:rsidR="00FB1415" w:rsidRDefault="00FB1415" w:rsidP="00641A34">
      <w:pPr>
        <w:pStyle w:val="ListParagraph"/>
        <w:numPr>
          <w:ilvl w:val="0"/>
          <w:numId w:val="3"/>
        </w:numPr>
        <w:rPr>
          <w:rFonts w:ascii="Times New Roman" w:hAnsi="Times New Roman" w:cs="Times New Roman"/>
        </w:rPr>
      </w:pPr>
      <w:r>
        <w:rPr>
          <w:rFonts w:ascii="Times New Roman" w:hAnsi="Times New Roman" w:cs="Times New Roman"/>
        </w:rPr>
        <w:t>Quote-based ZQ costs, or calendar-spread roll pricing, that turn GBP net clearly positive</w:t>
      </w:r>
    </w:p>
    <w:p w14:paraId="7FD4E509" w14:textId="43D98DFA" w:rsidR="00641A34" w:rsidRDefault="00641A34" w:rsidP="00641A34">
      <w:pPr>
        <w:pStyle w:val="ListParagraph"/>
        <w:numPr>
          <w:ilvl w:val="0"/>
          <w:numId w:val="3"/>
        </w:numPr>
        <w:rPr>
          <w:rFonts w:ascii="Times New Roman" w:hAnsi="Times New Roman" w:cs="Times New Roman"/>
        </w:rPr>
      </w:pPr>
      <w:r>
        <w:rPr>
          <w:rFonts w:ascii="Times New Roman" w:hAnsi="Times New Roman" w:cs="Times New Roman"/>
        </w:rPr>
        <w:t xml:space="preserve">A USD trade that has the sign flipped demonstrating that the </w:t>
      </w:r>
      <w:r w:rsidR="0012426E">
        <w:rPr>
          <w:rFonts w:ascii="Times New Roman" w:hAnsi="Times New Roman" w:cs="Times New Roman"/>
        </w:rPr>
        <w:t>market</w:t>
      </w:r>
      <w:r>
        <w:rPr>
          <w:rFonts w:ascii="Times New Roman" w:hAnsi="Times New Roman" w:cs="Times New Roman"/>
        </w:rPr>
        <w:t xml:space="preserve"> leads the </w:t>
      </w:r>
      <w:r w:rsidR="0012426E">
        <w:rPr>
          <w:rFonts w:ascii="Times New Roman" w:hAnsi="Times New Roman" w:cs="Times New Roman"/>
        </w:rPr>
        <w:t>Fed</w:t>
      </w:r>
      <w:r>
        <w:rPr>
          <w:rFonts w:ascii="Times New Roman" w:hAnsi="Times New Roman" w:cs="Times New Roman"/>
        </w:rPr>
        <w:t>, crucially registered before it is judged</w:t>
      </w:r>
    </w:p>
    <w:p w14:paraId="653DB91E" w14:textId="6B1F4712" w:rsidR="00641A34" w:rsidRDefault="00641A34" w:rsidP="00641A34">
      <w:pPr>
        <w:pStyle w:val="ListParagraph"/>
        <w:numPr>
          <w:ilvl w:val="0"/>
          <w:numId w:val="3"/>
        </w:numPr>
        <w:rPr>
          <w:rFonts w:ascii="Times New Roman" w:hAnsi="Times New Roman" w:cs="Times New Roman"/>
        </w:rPr>
      </w:pPr>
      <w:r>
        <w:rPr>
          <w:rFonts w:ascii="Times New Roman" w:hAnsi="Times New Roman" w:cs="Times New Roman"/>
        </w:rPr>
        <w:t>A more harmonized r* across currencies</w:t>
      </w:r>
      <w:r w:rsidR="005E78FC">
        <w:rPr>
          <w:rFonts w:ascii="Times New Roman" w:hAnsi="Times New Roman" w:cs="Times New Roman"/>
        </w:rPr>
        <w:t xml:space="preserve"> or calendar-anchored signal which would remove the forced roll</w:t>
      </w:r>
    </w:p>
    <w:p w14:paraId="21E1F61C" w14:textId="7D32304F" w:rsidR="00385AD6" w:rsidRPr="00487D4F" w:rsidRDefault="00641A34" w:rsidP="00487D4F">
      <w:pPr>
        <w:pStyle w:val="ListParagraph"/>
        <w:numPr>
          <w:ilvl w:val="0"/>
          <w:numId w:val="3"/>
        </w:numPr>
        <w:rPr>
          <w:rFonts w:ascii="Times New Roman" w:hAnsi="Times New Roman" w:cs="Times New Roman"/>
        </w:rPr>
      </w:pPr>
      <w:r>
        <w:rPr>
          <w:rFonts w:ascii="Times New Roman" w:hAnsi="Times New Roman" w:cs="Times New Roman"/>
        </w:rPr>
        <w:t>More currencies such as EUR or AUD</w:t>
      </w:r>
    </w:p>
    <w:p w14:paraId="74AB6536" w14:textId="77777777" w:rsidR="001A5D08" w:rsidRPr="00385AD6" w:rsidRDefault="00FF5A7A">
      <w:pPr>
        <w:pStyle w:val="Heading1"/>
      </w:pPr>
      <w:r>
        <w:t>Limitations</w:t>
      </w:r>
    </w:p>
    <w:p w14:paraId="3F412FB3" w14:textId="42CFB9DF" w:rsidR="00437526" w:rsidRDefault="00437526" w:rsidP="00FF5A7A">
      <w:pPr>
        <w:pStyle w:val="ListParagraph"/>
        <w:numPr>
          <w:ilvl w:val="0"/>
          <w:numId w:val="2"/>
        </w:numPr>
        <w:rPr>
          <w:rFonts w:ascii="Times New Roman" w:hAnsi="Times New Roman" w:cs="Times New Roman"/>
        </w:rPr>
      </w:pPr>
      <w:r>
        <w:rPr>
          <w:rFonts w:ascii="Times New Roman" w:hAnsi="Times New Roman" w:cs="Times New Roman"/>
        </w:rPr>
        <w:t>GBP’s u* is a constant 4.5%, not a real-time estimate.</w:t>
      </w:r>
    </w:p>
    <w:p w14:paraId="13518761" w14:textId="77777777" w:rsidR="00FF5A7A" w:rsidRDefault="00FF5A7A" w:rsidP="00FF5A7A">
      <w:pPr>
        <w:pStyle w:val="ListParagraph"/>
        <w:numPr>
          <w:ilvl w:val="0"/>
          <w:numId w:val="2"/>
        </w:numPr>
        <w:rPr>
          <w:rFonts w:ascii="Times New Roman" w:hAnsi="Times New Roman" w:cs="Times New Roman"/>
        </w:rPr>
      </w:pPr>
      <w:r>
        <w:rPr>
          <w:rFonts w:ascii="Times New Roman" w:hAnsi="Times New Roman" w:cs="Times New Roman"/>
        </w:rPr>
        <w:t>There is no bid-offer data, ZQ’s cost is its tick</w:t>
      </w:r>
    </w:p>
    <w:p w14:paraId="39C35880" w14:textId="77777777" w:rsidR="00FF5A7A" w:rsidRDefault="00FF5A7A" w:rsidP="00FF5A7A">
      <w:pPr>
        <w:pStyle w:val="ListParagraph"/>
        <w:numPr>
          <w:ilvl w:val="0"/>
          <w:numId w:val="2"/>
        </w:numPr>
        <w:rPr>
          <w:rFonts w:ascii="Times New Roman" w:hAnsi="Times New Roman" w:cs="Times New Roman"/>
        </w:rPr>
      </w:pPr>
      <w:r>
        <w:rPr>
          <w:rFonts w:ascii="Times New Roman" w:hAnsi="Times New Roman" w:cs="Times New Roman"/>
        </w:rPr>
        <w:t>Settlements may be preliminary</w:t>
      </w:r>
    </w:p>
    <w:p w14:paraId="6E3F9E10" w14:textId="118AA11C" w:rsidR="00A15361" w:rsidRPr="00F41E87" w:rsidRDefault="00A15361" w:rsidP="00FF5A7A">
      <w:pPr>
        <w:pStyle w:val="ListParagraph"/>
        <w:numPr>
          <w:ilvl w:val="0"/>
          <w:numId w:val="2"/>
        </w:numPr>
        <w:rPr>
          <w:rFonts w:ascii="Times New Roman" w:hAnsi="Times New Roman" w:cs="Times New Roman"/>
        </w:rPr>
      </w:pPr>
      <w:r w:rsidRPr="00F41E87">
        <w:rPr>
          <w:rFonts w:ascii="Times New Roman" w:hAnsi="Times New Roman" w:cs="Times New Roman"/>
        </w:rPr>
        <w:t>Only 2 currencies currently</w:t>
      </w:r>
      <w:r w:rsidR="00F41E87" w:rsidRPr="00F41E87">
        <w:rPr>
          <w:rFonts w:ascii="Times New Roman" w:hAnsi="Times New Roman" w:cs="Times New Roman"/>
        </w:rPr>
        <w:t xml:space="preserve"> and</w:t>
      </w:r>
      <w:r w:rsidRPr="00F41E87">
        <w:rPr>
          <w:rFonts w:ascii="Times New Roman" w:hAnsi="Times New Roman" w:cs="Times New Roman"/>
        </w:rPr>
        <w:t xml:space="preserve"> 2 hiking cycles</w:t>
      </w:r>
    </w:p>
    <w:p w14:paraId="199FC799" w14:textId="77777777" w:rsidR="00FF5A7A" w:rsidRPr="00385AD6" w:rsidRDefault="00A15361" w:rsidP="00385AD6">
      <w:pPr>
        <w:pStyle w:val="ListParagraph"/>
        <w:numPr>
          <w:ilvl w:val="0"/>
          <w:numId w:val="2"/>
        </w:numPr>
        <w:rPr>
          <w:rFonts w:ascii="Times New Roman" w:hAnsi="Times New Roman" w:cs="Times New Roman"/>
        </w:rPr>
      </w:pPr>
      <w:r>
        <w:rPr>
          <w:rFonts w:ascii="Times New Roman" w:hAnsi="Times New Roman" w:cs="Times New Roman"/>
        </w:rPr>
        <w:t>Overlapping windows inflate t-stats</w:t>
      </w:r>
    </w:p>
    <w:p w14:paraId="21B8EEC2" w14:textId="77777777" w:rsidR="00D039EF" w:rsidRPr="00385AD6" w:rsidRDefault="00D039EF">
      <w:pPr>
        <w:pStyle w:val="Heading1"/>
      </w:pPr>
      <w:r>
        <w:lastRenderedPageBreak/>
        <w:t>Appendix</w:t>
      </w:r>
    </w:p>
    <w:p w14:paraId="4EAC4877" w14:textId="77777777" w:rsidR="00464FA0" w:rsidRDefault="00000000">
      <w:pPr>
        <w:keepNext/>
        <w:spacing w:before="120" w:after="0"/>
        <w:jc w:val="center"/>
        <w:rPr>
          <w:rFonts w:ascii="Times New Roman" w:hAnsi="Times New Roman" w:cs="Times New Roman"/>
        </w:rPr>
      </w:pPr>
      <w:r>
        <w:rPr>
          <w:rFonts w:ascii="Times New Roman" w:hAnsi="Times New Roman" w:cs="Times New Roman"/>
          <w:noProof/>
        </w:rPr>
        <w:drawing>
          <wp:inline distT="0" distB="0" distL="0" distR="0" wp14:anchorId="6B2636AB" wp14:editId="490A8009">
            <wp:extent cx="5486400" cy="3622183"/>
            <wp:effectExtent l="0" t="0" r="0" b="0"/>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Picture 300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622183"/>
                    </a:xfrm>
                    <a:prstGeom prst="rect">
                      <a:avLst/>
                    </a:prstGeom>
                  </pic:spPr>
                </pic:pic>
              </a:graphicData>
            </a:graphic>
          </wp:inline>
        </w:drawing>
      </w:r>
    </w:p>
    <w:p w14:paraId="4264DBB7" w14:textId="4FD18890" w:rsidR="00464FA0" w:rsidRDefault="00000000">
      <w:pPr>
        <w:pStyle w:val="Caption"/>
      </w:pPr>
      <w:r>
        <w:rPr>
          <w:b/>
          <w:i w:val="0"/>
        </w:rPr>
        <w:t xml:space="preserve">Figure </w:t>
      </w:r>
      <w:fldSimple w:instr=" SEQ Figure \* ARABIC ">
        <w:r w:rsidR="00A50EFD">
          <w:rPr>
            <w:noProof/>
          </w:rPr>
          <w:t>13</w:t>
        </w:r>
      </w:fldSimple>
      <w:r>
        <w:rPr>
          <w:b/>
          <w:i w:val="0"/>
        </w:rPr>
        <w:t xml:space="preserve">. </w:t>
      </w:r>
      <w:r>
        <w:t>Net Sharpe against a uniform round-trip cost, by sleeve (the sum of the sleeves, not the book).</w:t>
      </w:r>
    </w:p>
    <w:p w14:paraId="7CE62638" w14:textId="599A894D" w:rsidR="008F1EC6" w:rsidRDefault="008F1EC6" w:rsidP="008F1EC6">
      <w:pPr>
        <w:rPr>
          <w:rFonts w:ascii="Times New Roman" w:hAnsi="Times New Roman" w:cs="Times New Roman"/>
        </w:rPr>
      </w:pPr>
      <w:r>
        <w:rPr>
          <w:rFonts w:ascii="Times New Roman" w:hAnsi="Times New Roman" w:cs="Times New Roman"/>
        </w:rPr>
        <w:t>Coverage: ZQ 99.68% of Fed business days. 0 solver failures in either currency</w:t>
      </w:r>
    </w:p>
    <w:p w14:paraId="6D5547A6" w14:textId="77777777" w:rsidR="008F1EC6" w:rsidRPr="008F1EC6" w:rsidRDefault="008F1EC6" w:rsidP="008F1EC6">
      <w:pPr>
        <w:rPr>
          <w:rFonts w:ascii="Times New Roman" w:hAnsi="Times New Roman" w:cs="Times New Roman"/>
        </w:rPr>
      </w:pPr>
    </w:p>
    <w:sectPr w:rsidR="008F1EC6" w:rsidRPr="008F1EC6">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733E0" w14:textId="77777777" w:rsidR="00065569" w:rsidRDefault="00065569" w:rsidP="0096356E">
      <w:pPr>
        <w:spacing w:after="0" w:line="240" w:lineRule="auto"/>
      </w:pPr>
      <w:r>
        <w:separator/>
      </w:r>
    </w:p>
  </w:endnote>
  <w:endnote w:type="continuationSeparator" w:id="0">
    <w:p w14:paraId="7720D121" w14:textId="77777777" w:rsidR="00065569" w:rsidRDefault="00065569" w:rsidP="00963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A5E8" w14:textId="77777777" w:rsidR="00464FA0" w:rsidRDefault="00000000">
    <w:pPr>
      <w:jc w:val="center"/>
    </w:pPr>
    <w:r>
      <w:rPr>
        <w:rFonts w:ascii="Times New Roman" w:hAnsi="Times New Roman" w:cs="Times New Roman"/>
        <w:sz w:val="20"/>
      </w:rPr>
      <w:fldChar w:fldCharType="begin"/>
    </w:r>
    <w:r>
      <w:rPr>
        <w:rFonts w:ascii="Times New Roman" w:hAnsi="Times New Roman" w:cs="Times New Roman"/>
        <w:sz w:val="20"/>
      </w:rPr>
      <w:instrText xml:space="preserve"> PAGE </w:instrText>
    </w:r>
    <w:r>
      <w:rPr>
        <w:rFonts w:ascii="Times New Roman" w:hAnsi="Times New Roman" w:cs="Times New Roman"/>
        <w:sz w:val="20"/>
      </w:rPr>
      <w:fldChar w:fldCharType="separate"/>
    </w:r>
    <w:r>
      <w:rPr>
        <w:rFonts w:ascii="Times New Roman" w:hAnsi="Times New Roman" w:cs="Times New Roman"/>
        <w:sz w:val="20"/>
      </w:rPr>
      <w:t>1</w:t>
    </w:r>
    <w:r>
      <w:rPr>
        <w:rFonts w:ascii="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B166A" w14:textId="77777777" w:rsidR="00065569" w:rsidRDefault="00065569" w:rsidP="0096356E">
      <w:pPr>
        <w:spacing w:after="0" w:line="240" w:lineRule="auto"/>
      </w:pPr>
      <w:r>
        <w:separator/>
      </w:r>
    </w:p>
  </w:footnote>
  <w:footnote w:type="continuationSeparator" w:id="0">
    <w:p w14:paraId="34DB97DD" w14:textId="77777777" w:rsidR="00065569" w:rsidRDefault="00065569" w:rsidP="009635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A3DA8"/>
    <w:multiLevelType w:val="hybridMultilevel"/>
    <w:tmpl w:val="495CCF44"/>
    <w:lvl w:ilvl="0" w:tplc="15B8A7C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E07ECF"/>
    <w:multiLevelType w:val="hybridMultilevel"/>
    <w:tmpl w:val="EDB4B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9E1FDA"/>
    <w:multiLevelType w:val="hybridMultilevel"/>
    <w:tmpl w:val="0DE2E8F2"/>
    <w:lvl w:ilvl="0" w:tplc="EE7A66F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0813786">
    <w:abstractNumId w:val="1"/>
  </w:num>
  <w:num w:numId="2" w16cid:durableId="55592376">
    <w:abstractNumId w:val="2"/>
  </w:num>
  <w:num w:numId="3" w16cid:durableId="1255938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F8B"/>
    <w:rsid w:val="000024B8"/>
    <w:rsid w:val="00007D33"/>
    <w:rsid w:val="00016873"/>
    <w:rsid w:val="000229E7"/>
    <w:rsid w:val="00056869"/>
    <w:rsid w:val="00065569"/>
    <w:rsid w:val="00076B0B"/>
    <w:rsid w:val="0008184B"/>
    <w:rsid w:val="000831E2"/>
    <w:rsid w:val="00086B83"/>
    <w:rsid w:val="000C7137"/>
    <w:rsid w:val="000D18FB"/>
    <w:rsid w:val="000E66D3"/>
    <w:rsid w:val="000F026A"/>
    <w:rsid w:val="000F5E1E"/>
    <w:rsid w:val="001127B5"/>
    <w:rsid w:val="0012426E"/>
    <w:rsid w:val="00135CF5"/>
    <w:rsid w:val="00137B18"/>
    <w:rsid w:val="0014433F"/>
    <w:rsid w:val="00144D3A"/>
    <w:rsid w:val="001546AA"/>
    <w:rsid w:val="001627F2"/>
    <w:rsid w:val="00175B2A"/>
    <w:rsid w:val="00175F5F"/>
    <w:rsid w:val="00177B65"/>
    <w:rsid w:val="0018759B"/>
    <w:rsid w:val="001904F5"/>
    <w:rsid w:val="00192B7A"/>
    <w:rsid w:val="001953A1"/>
    <w:rsid w:val="001A5D08"/>
    <w:rsid w:val="001C7240"/>
    <w:rsid w:val="001D756A"/>
    <w:rsid w:val="001E06A1"/>
    <w:rsid w:val="001E1E94"/>
    <w:rsid w:val="001F07C9"/>
    <w:rsid w:val="00250837"/>
    <w:rsid w:val="0029481F"/>
    <w:rsid w:val="002D216F"/>
    <w:rsid w:val="002E582A"/>
    <w:rsid w:val="002F34B8"/>
    <w:rsid w:val="00305498"/>
    <w:rsid w:val="0033467E"/>
    <w:rsid w:val="00374227"/>
    <w:rsid w:val="00383611"/>
    <w:rsid w:val="003839E3"/>
    <w:rsid w:val="00385AD6"/>
    <w:rsid w:val="003A4F94"/>
    <w:rsid w:val="003B7003"/>
    <w:rsid w:val="003E2866"/>
    <w:rsid w:val="00415EFB"/>
    <w:rsid w:val="0042127A"/>
    <w:rsid w:val="00425DB2"/>
    <w:rsid w:val="00434BCD"/>
    <w:rsid w:val="004362B8"/>
    <w:rsid w:val="00437526"/>
    <w:rsid w:val="00464FA0"/>
    <w:rsid w:val="00467C01"/>
    <w:rsid w:val="00472A8E"/>
    <w:rsid w:val="00475929"/>
    <w:rsid w:val="00475D9A"/>
    <w:rsid w:val="00487D4F"/>
    <w:rsid w:val="004A05BB"/>
    <w:rsid w:val="004B0096"/>
    <w:rsid w:val="004B5B13"/>
    <w:rsid w:val="00506A10"/>
    <w:rsid w:val="00523C8C"/>
    <w:rsid w:val="00547A5A"/>
    <w:rsid w:val="00570B01"/>
    <w:rsid w:val="005765F5"/>
    <w:rsid w:val="005A6CB6"/>
    <w:rsid w:val="005C0FFE"/>
    <w:rsid w:val="005D18B0"/>
    <w:rsid w:val="005E091F"/>
    <w:rsid w:val="005E4011"/>
    <w:rsid w:val="005E78FC"/>
    <w:rsid w:val="00614025"/>
    <w:rsid w:val="0062530F"/>
    <w:rsid w:val="00641A34"/>
    <w:rsid w:val="00645E26"/>
    <w:rsid w:val="00682524"/>
    <w:rsid w:val="006D35D3"/>
    <w:rsid w:val="006E2459"/>
    <w:rsid w:val="006E2CF1"/>
    <w:rsid w:val="0070145C"/>
    <w:rsid w:val="00712BEA"/>
    <w:rsid w:val="00754649"/>
    <w:rsid w:val="00757CD9"/>
    <w:rsid w:val="00786FFD"/>
    <w:rsid w:val="007A08C3"/>
    <w:rsid w:val="007C4778"/>
    <w:rsid w:val="007C5610"/>
    <w:rsid w:val="007F1019"/>
    <w:rsid w:val="008166A4"/>
    <w:rsid w:val="00822755"/>
    <w:rsid w:val="008337D3"/>
    <w:rsid w:val="008435B0"/>
    <w:rsid w:val="008458B3"/>
    <w:rsid w:val="008463E6"/>
    <w:rsid w:val="00850797"/>
    <w:rsid w:val="008826CD"/>
    <w:rsid w:val="00896ABE"/>
    <w:rsid w:val="008D3D59"/>
    <w:rsid w:val="008F1EC6"/>
    <w:rsid w:val="0091127F"/>
    <w:rsid w:val="00923E60"/>
    <w:rsid w:val="00962923"/>
    <w:rsid w:val="0096356E"/>
    <w:rsid w:val="00991F82"/>
    <w:rsid w:val="009B24E1"/>
    <w:rsid w:val="009D11AA"/>
    <w:rsid w:val="00A04472"/>
    <w:rsid w:val="00A0788F"/>
    <w:rsid w:val="00A11BEF"/>
    <w:rsid w:val="00A14E7A"/>
    <w:rsid w:val="00A15361"/>
    <w:rsid w:val="00A50EFD"/>
    <w:rsid w:val="00A658AD"/>
    <w:rsid w:val="00A73AB3"/>
    <w:rsid w:val="00A837B4"/>
    <w:rsid w:val="00A857F4"/>
    <w:rsid w:val="00A85D5F"/>
    <w:rsid w:val="00A86479"/>
    <w:rsid w:val="00A91E21"/>
    <w:rsid w:val="00A92921"/>
    <w:rsid w:val="00A93592"/>
    <w:rsid w:val="00AA4293"/>
    <w:rsid w:val="00AB406C"/>
    <w:rsid w:val="00AD46E9"/>
    <w:rsid w:val="00AF329C"/>
    <w:rsid w:val="00AF48C0"/>
    <w:rsid w:val="00AF5C53"/>
    <w:rsid w:val="00B02D83"/>
    <w:rsid w:val="00B053DE"/>
    <w:rsid w:val="00B2013F"/>
    <w:rsid w:val="00B555F8"/>
    <w:rsid w:val="00B63D57"/>
    <w:rsid w:val="00B92805"/>
    <w:rsid w:val="00B9493B"/>
    <w:rsid w:val="00BA3143"/>
    <w:rsid w:val="00BA54EB"/>
    <w:rsid w:val="00C26B6F"/>
    <w:rsid w:val="00C574F1"/>
    <w:rsid w:val="00C601C3"/>
    <w:rsid w:val="00C77CC3"/>
    <w:rsid w:val="00C811DC"/>
    <w:rsid w:val="00C82CD7"/>
    <w:rsid w:val="00C90857"/>
    <w:rsid w:val="00C917A5"/>
    <w:rsid w:val="00CA515B"/>
    <w:rsid w:val="00CD7765"/>
    <w:rsid w:val="00CE1BC1"/>
    <w:rsid w:val="00CF3A1D"/>
    <w:rsid w:val="00D039EF"/>
    <w:rsid w:val="00D2294A"/>
    <w:rsid w:val="00D27192"/>
    <w:rsid w:val="00D52B71"/>
    <w:rsid w:val="00D60189"/>
    <w:rsid w:val="00D81F8F"/>
    <w:rsid w:val="00DE26A0"/>
    <w:rsid w:val="00DE290D"/>
    <w:rsid w:val="00DF10F8"/>
    <w:rsid w:val="00DF20BE"/>
    <w:rsid w:val="00E01C2B"/>
    <w:rsid w:val="00E0329F"/>
    <w:rsid w:val="00E14200"/>
    <w:rsid w:val="00E25245"/>
    <w:rsid w:val="00E261C1"/>
    <w:rsid w:val="00E32F8B"/>
    <w:rsid w:val="00E3577E"/>
    <w:rsid w:val="00E4686A"/>
    <w:rsid w:val="00E543CF"/>
    <w:rsid w:val="00E63D0C"/>
    <w:rsid w:val="00E7161B"/>
    <w:rsid w:val="00E76774"/>
    <w:rsid w:val="00E777C8"/>
    <w:rsid w:val="00E80B7E"/>
    <w:rsid w:val="00E84C88"/>
    <w:rsid w:val="00E96482"/>
    <w:rsid w:val="00EA5B16"/>
    <w:rsid w:val="00EB5F1D"/>
    <w:rsid w:val="00EC66C3"/>
    <w:rsid w:val="00EE129A"/>
    <w:rsid w:val="00F058AC"/>
    <w:rsid w:val="00F174B5"/>
    <w:rsid w:val="00F17D78"/>
    <w:rsid w:val="00F2184D"/>
    <w:rsid w:val="00F356EC"/>
    <w:rsid w:val="00F3738E"/>
    <w:rsid w:val="00F41E87"/>
    <w:rsid w:val="00F71C83"/>
    <w:rsid w:val="00F87C07"/>
    <w:rsid w:val="00FB1415"/>
    <w:rsid w:val="00FC1479"/>
    <w:rsid w:val="00FE2F39"/>
    <w:rsid w:val="00FF04F1"/>
    <w:rsid w:val="00FF5A7A"/>
    <w:rsid w:val="00FF7A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A717C"/>
  <w15:chartTrackingRefBased/>
  <w15:docId w15:val="{C75C57E4-F2CC-4D47-AA36-25D487B54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F8B"/>
    <w:pPr>
      <w:keepNext/>
      <w:keepLines/>
      <w:spacing w:before="320" w:after="100"/>
      <w:outlineLvl w:val="0"/>
    </w:pPr>
    <w:rPr>
      <w:rFonts w:ascii="Times New Roman" w:eastAsia="Times New Roman" w:hAnsi="Times New Roman" w:cs="Times New Roman"/>
      <w:b/>
      <w:bCs/>
      <w:color w:val="000000"/>
      <w:sz w:val="28"/>
      <w:szCs w:val="28"/>
    </w:rPr>
  </w:style>
  <w:style w:type="paragraph" w:styleId="Heading2">
    <w:name w:val="heading 2"/>
    <w:basedOn w:val="Normal"/>
    <w:next w:val="Normal"/>
    <w:link w:val="Heading2Char"/>
    <w:uiPriority w:val="9"/>
    <w:qFormat/>
    <w:rsid w:val="00E32F8B"/>
    <w:pPr>
      <w:keepNext/>
      <w:keepLines/>
      <w:spacing w:before="200" w:after="60"/>
      <w:outlineLvl w:val="1"/>
    </w:pPr>
    <w:rPr>
      <w:rFonts w:ascii="Times New Roman" w:eastAsia="Times New Roman" w:hAnsi="Times New Roman" w:cs="Times New Roman"/>
      <w:b/>
      <w:bCs/>
      <w:i/>
      <w:iCs/>
      <w:color w:val="000000"/>
    </w:rPr>
  </w:style>
  <w:style w:type="paragraph" w:styleId="Heading3">
    <w:name w:val="heading 3"/>
    <w:basedOn w:val="Normal"/>
    <w:next w:val="Normal"/>
    <w:link w:val="Heading3Char"/>
    <w:uiPriority w:val="9"/>
    <w:semiHidden/>
    <w:unhideWhenUsed/>
    <w:qFormat/>
    <w:rsid w:val="00E32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F8B"/>
    <w:rPr>
      <w:rFonts w:eastAsiaTheme="majorEastAsia" w:cstheme="majorBidi"/>
      <w:color w:val="272727" w:themeColor="text1" w:themeTint="D8"/>
    </w:rPr>
  </w:style>
  <w:style w:type="paragraph" w:styleId="Title">
    <w:name w:val="Title"/>
    <w:basedOn w:val="Normal"/>
    <w:next w:val="Normal"/>
    <w:link w:val="TitleChar"/>
    <w:uiPriority w:val="10"/>
    <w:qFormat/>
    <w:rsid w:val="00E32F8B"/>
    <w:pPr>
      <w:spacing w:after="60" w:line="240" w:lineRule="auto"/>
      <w:contextualSpacing/>
      <w:jc w:val="center"/>
    </w:pPr>
    <w:rPr>
      <w:rFonts w:ascii="Times New Roman" w:eastAsia="Times New Roman" w:hAnsi="Times New Roman" w:cs="Times New Roman"/>
      <w:b/>
      <w:bCs/>
      <w:kern w:val="28"/>
      <w:sz w:val="36"/>
      <w:szCs w:val="36"/>
    </w:rPr>
  </w:style>
  <w:style w:type="character" w:customStyle="1" w:styleId="TitleChar">
    <w:name w:val="Title Char"/>
    <w:basedOn w:val="DefaultParagraphFont"/>
    <w:link w:val="Title"/>
    <w:uiPriority w:val="10"/>
    <w:rsid w:val="00E32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F8B"/>
    <w:pPr>
      <w:spacing w:after="240"/>
      <w:jc w:val="center"/>
    </w:pPr>
    <w:rPr>
      <w:rFonts w:ascii="Times New Roman" w:eastAsia="Times New Roman" w:hAnsi="Times New Roman" w:cs="Times New Roman"/>
      <w:i/>
      <w:iCs/>
      <w:color w:val="404040"/>
    </w:rPr>
  </w:style>
  <w:style w:type="character" w:customStyle="1" w:styleId="SubtitleChar">
    <w:name w:val="Subtitle Char"/>
    <w:basedOn w:val="DefaultParagraphFont"/>
    <w:link w:val="Subtitle"/>
    <w:uiPriority w:val="11"/>
    <w:rsid w:val="00E32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F8B"/>
    <w:pPr>
      <w:spacing w:before="160"/>
      <w:jc w:val="center"/>
    </w:pPr>
    <w:rPr>
      <w:i/>
      <w:iCs/>
      <w:color w:val="404040" w:themeColor="text1" w:themeTint="BF"/>
    </w:rPr>
  </w:style>
  <w:style w:type="character" w:customStyle="1" w:styleId="QuoteChar">
    <w:name w:val="Quote Char"/>
    <w:basedOn w:val="DefaultParagraphFont"/>
    <w:link w:val="Quote"/>
    <w:uiPriority w:val="29"/>
    <w:rsid w:val="00E32F8B"/>
    <w:rPr>
      <w:i/>
      <w:iCs/>
      <w:color w:val="404040" w:themeColor="text1" w:themeTint="BF"/>
    </w:rPr>
  </w:style>
  <w:style w:type="paragraph" w:styleId="ListParagraph">
    <w:name w:val="List Paragraph"/>
    <w:basedOn w:val="Normal"/>
    <w:uiPriority w:val="34"/>
    <w:qFormat/>
    <w:rsid w:val="00E32F8B"/>
    <w:pPr>
      <w:ind w:left="720"/>
      <w:contextualSpacing/>
    </w:pPr>
  </w:style>
  <w:style w:type="character" w:styleId="IntenseEmphasis">
    <w:name w:val="Intense Emphasis"/>
    <w:basedOn w:val="DefaultParagraphFont"/>
    <w:uiPriority w:val="21"/>
    <w:qFormat/>
    <w:rsid w:val="00E32F8B"/>
    <w:rPr>
      <w:i/>
      <w:iCs/>
      <w:color w:val="0F4761" w:themeColor="accent1" w:themeShade="BF"/>
    </w:rPr>
  </w:style>
  <w:style w:type="paragraph" w:styleId="IntenseQuote">
    <w:name w:val="Intense Quote"/>
    <w:basedOn w:val="Normal"/>
    <w:next w:val="Normal"/>
    <w:link w:val="IntenseQuoteChar"/>
    <w:uiPriority w:val="30"/>
    <w:qFormat/>
    <w:rsid w:val="00E32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F8B"/>
    <w:rPr>
      <w:i/>
      <w:iCs/>
      <w:color w:val="0F4761" w:themeColor="accent1" w:themeShade="BF"/>
    </w:rPr>
  </w:style>
  <w:style w:type="character" w:styleId="IntenseReference">
    <w:name w:val="Intense Reference"/>
    <w:basedOn w:val="DefaultParagraphFont"/>
    <w:uiPriority w:val="32"/>
    <w:qFormat/>
    <w:rsid w:val="00E32F8B"/>
    <w:rPr>
      <w:b/>
      <w:bCs/>
      <w:smallCaps/>
      <w:color w:val="0F4761" w:themeColor="accent1" w:themeShade="BF"/>
      <w:spacing w:val="5"/>
    </w:rPr>
  </w:style>
  <w:style w:type="table" w:styleId="TableGrid">
    <w:name w:val="Table Grid"/>
    <w:basedOn w:val="TableNormal"/>
    <w:uiPriority w:val="39"/>
    <w:rsid w:val="00CF3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35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56E"/>
  </w:style>
  <w:style w:type="paragraph" w:styleId="Footer">
    <w:name w:val="footer"/>
    <w:basedOn w:val="Normal"/>
    <w:link w:val="FooterChar"/>
    <w:uiPriority w:val="99"/>
    <w:unhideWhenUsed/>
    <w:rsid w:val="009635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56E"/>
  </w:style>
  <w:style w:type="paragraph" w:styleId="Caption">
    <w:name w:val="caption"/>
    <w:basedOn w:val="Normal"/>
    <w:next w:val="Normal"/>
    <w:uiPriority w:val="35"/>
    <w:unhideWhenUsed/>
    <w:qFormat/>
    <w:pPr>
      <w:spacing w:before="60" w:after="240" w:line="240" w:lineRule="auto"/>
      <w:jc w:val="center"/>
    </w:pPr>
    <w:rPr>
      <w:rFonts w:ascii="Times New Roman" w:eastAsia="Times New Roman" w:hAnsi="Times New Roman" w:cs="Times New Roman"/>
      <w:i/>
      <w:iCs/>
      <w:color w:val="33333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2E176-FBEB-4158-B2AE-9555F238F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2186</TotalTime>
  <Pages>14</Pages>
  <Words>2475</Words>
  <Characters>14113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Beechen</dc:creator>
  <cp:keywords/>
  <dc:description/>
  <cp:lastModifiedBy>Eric Beechen</cp:lastModifiedBy>
  <cp:revision>180</cp:revision>
  <dcterms:created xsi:type="dcterms:W3CDTF">2026-10-01T15:44:00Z</dcterms:created>
  <dcterms:modified xsi:type="dcterms:W3CDTF">2026-10-04T18:04:00Z</dcterms:modified>
</cp:coreProperties>
</file>