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233E" w:color="auto" w:val="clear"/>
        <w:spacing w:after="60"/>
        <w:jc w:val="left"/>
      </w:pPr>
      <w:r>
        <w:rPr>
          <w:b/>
          <w:bCs/>
          <w:color w:val="FFFFFF"/>
          <w:sz w:val="18"/>
          <w:szCs w:val="18"/>
        </w:rPr>
        <w:t xml:space="preserve">FRACTURES FRANÇAISES — MOOC yapluka-edu.fr</w:t>
      </w:r>
    </w:p>
    <w:p>
      <w:pPr>
        <w:spacing w:after="200"/>
      </w:pPr>
    </w:p>
    <w:p>
      <w:pPr>
        <w:spacing w:after="100"/>
      </w:pPr>
      <w:r>
        <w:rPr>
          <w:b/>
          <w:bCs/>
          <w:color w:val="10233E"/>
          <w:sz w:val="44"/>
          <w:szCs w:val="44"/>
        </w:rPr>
        <w:t xml:space="preserve">Séquence 1</w:t>
      </w:r>
    </w:p>
    <w:p>
      <w:pPr>
        <w:spacing w:after="300"/>
      </w:pPr>
      <w:r>
        <w:rPr>
          <w:i/>
          <w:iCs/>
          <w:color w:val="444444"/>
          <w:sz w:val="26"/>
          <w:szCs w:val="26"/>
        </w:rPr>
        <w:t xml:space="preserve">Territoires et générations : la France qui se fracture dans l'espace et dans l'âge</w:t>
      </w:r>
    </w:p>
    <w:p>
      <w:pPr>
        <w:spacing w:after="140"/>
      </w:pPr>
      <w:r>
        <w:rPr>
          <w:b/>
          <w:bCs/>
          <w:sz w:val="20"/>
          <w:szCs w:val="20"/>
        </w:rPr>
        <w:t xml:space="preserve">Déroulé pédagogique — document enseignant</w:t>
      </w:r>
    </w:p>
    <w:p>
      <w:pPr>
        <w:spacing w:after="140"/>
      </w:pPr>
      <w:r>
        <w:rPr>
          <w:sz w:val="20"/>
          <w:szCs w:val="20"/>
        </w:rPr>
        <w:t xml:space="preserve">Public : Licence 1/2, filières généralistes (droit, AES, LEA)</w:t>
      </w:r>
    </w:p>
    <w:p>
      <w:pPr>
        <w:spacing w:after="140"/>
      </w:pPr>
      <w:r>
        <w:rPr>
          <w:sz w:val="20"/>
          <w:szCs w:val="20"/>
        </w:rPr>
        <w:t xml:space="preserve">Durée totale : 5h (2h CM + 1h activité en ligne + 2h CM)</w:t>
      </w:r>
    </w:p>
    <w:p>
      <w:pPr>
        <w:spacing w:after="140"/>
      </w:pPr>
      <w:r>
        <w:rPr>
          <w:sz w:val="20"/>
          <w:szCs w:val="20"/>
        </w:rPr>
        <w:t xml:space="preserve">Support en ligne : MOOC yapluka-edu.fr</w:t>
      </w:r>
    </w:p>
    <w:p>
      <w:pPr>
        <w:spacing w:after="200"/>
      </w:pPr>
    </w:p>
    <w:p>
      <w:pPr>
        <w:spacing w:after="140"/>
      </w:pPr>
      <w:r>
        <w:rPr>
          <w:b/>
          <w:bCs/>
          <w:sz w:val="20"/>
          <w:szCs w:val="20"/>
        </w:rPr>
        <w:t xml:space="preserve">Fil rouge : </w:t>
      </w:r>
      <w:r>
        <w:rPr>
          <w:sz w:val="20"/>
          <w:szCs w:val="20"/>
        </w:rPr>
        <w:t xml:space="preserve">Montrer que les fractures françaises ne sont pas une affaire d'opinion diffuse, mais s'inscrivent dans un espace (le territoire, de la démographie aux déserts médicaux et à l'immigration) et dans le temps long d'une vie (la génération, des ressources à la dette publique et aux représentations de l'âge) — et que ces deux axes se recoupent en permanence avec un troisième, la classe sociale et l'argent, au risque sinon de figer des débats qui restent scientifiquement discutés.</w:t>
      </w:r>
    </w:p>
    <w:p>
      <w:r>
        <w:br w:type="page"/>
      </w:r>
    </w:p>
    <w:p>
      <w:pPr>
        <w:pStyle w:val="Heading1"/>
        <w:spacing w:after="200" w:before="120"/>
      </w:pPr>
      <w:r>
        <w:t xml:space="preserve">Objectifs pédagogiques</w:t>
      </w:r>
    </w:p>
    <w:p>
      <w:pPr>
        <w:spacing w:after="140"/>
      </w:pPr>
      <w:r>
        <w:t xml:space="preserve">À l'issue de la séquence, l'étudiant est capable de :</w:t>
      </w:r>
    </w:p>
    <w:p>
      <w:pPr>
        <w:pStyle w:val="ListParagraph"/>
        <w:numPr>
          <w:ilvl w:val="0"/>
          <w:numId w:val="1"/>
        </w:numPr>
        <w:spacing w:after="80"/>
      </w:pPr>
      <w:r>
        <w:t xml:space="preserve">Définir et périodiser la notion de « fracture » telle qu'elle est mesurée depuis 2013 par l'enquête CEVIPOF/Ipsos Fractures françaises, et discuter sa portée méthodologique (échantillon, biais déclaratif, effets de vague).</w:t>
      </w:r>
    </w:p>
    <w:p>
      <w:pPr>
        <w:pStyle w:val="ListParagraph"/>
        <w:numPr>
          <w:ilvl w:val="0"/>
          <w:numId w:val="1"/>
        </w:numPr>
        <w:spacing w:after="80"/>
      </w:pPr>
      <w:r>
        <w:t xml:space="preserve">Caractériser la rupture démographique française de 2025-2026 (solde naturel négatif inédit, vieillissement accéléré, recul de la fécondité) en la resituant dans une tendance longue amorcée dès le milieu des années 2000, plutôt que comme un accident conjoncturel.</w:t>
      </w:r>
    </w:p>
    <w:p>
      <w:pPr>
        <w:pStyle w:val="ListParagraph"/>
        <w:numPr>
          <w:ilvl w:val="0"/>
          <w:numId w:val="1"/>
        </w:numPr>
        <w:spacing w:after="80"/>
      </w:pPr>
      <w:r>
        <w:t xml:space="preserve">Mobiliser et discuter de façon critique la cartographie sociale du territoire (Hervé Le Bras, Christophe Guilluy et ses critiques universitaires, Éric Charmes) pour expliquer la ségrégation résidentielle par catégorie socioprofessionnelle, en identifiant les limites méthodologiques de chaque approche.</w:t>
      </w:r>
    </w:p>
    <w:p>
      <w:pPr>
        <w:pStyle w:val="ListParagraph"/>
        <w:numPr>
          <w:ilvl w:val="0"/>
          <w:numId w:val="1"/>
        </w:numPr>
        <w:spacing w:after="80"/>
      </w:pPr>
      <w:r>
        <w:t xml:space="preserve">Distinguer les termes du débat scientifique sur la métropolisation (« économie d'archipel » de Pierre Veltz contre la critique du ruissellement territorial de Bouba-Olga et Grossetti) pour interroger l'opposition binaire métropoles/périphérie.</w:t>
      </w:r>
    </w:p>
    <w:p>
      <w:pPr>
        <w:pStyle w:val="ListParagraph"/>
        <w:numPr>
          <w:ilvl w:val="0"/>
          <w:numId w:val="1"/>
        </w:numPr>
        <w:spacing w:after="80"/>
      </w:pPr>
      <w:r>
        <w:t xml:space="preserve">Analyser l'accès inégal aux services (santé, mobilité, tissu associatif) et la géographie de l'immigration comme facteurs de fracture territoriale irréductibles au seul revenu.</w:t>
      </w:r>
    </w:p>
    <w:p>
      <w:pPr>
        <w:pStyle w:val="ListParagraph"/>
        <w:numPr>
          <w:ilvl w:val="0"/>
          <w:numId w:val="1"/>
        </w:numPr>
        <w:spacing w:after="80"/>
      </w:pPr>
      <w:r>
        <w:t xml:space="preserve">Interroger la pertinence scientifique de la notion même de « génération » (Karl Mannheim, David Costanza) avant de l'appliquer aux données françaises de pauvreté, de chômage et de représentations sociales.</w:t>
      </w:r>
    </w:p>
    <w:p>
      <w:pPr>
        <w:pStyle w:val="ListParagraph"/>
        <w:numPr>
          <w:ilvl w:val="0"/>
          <w:numId w:val="1"/>
        </w:numPr>
        <w:spacing w:after="80"/>
      </w:pPr>
      <w:r>
        <w:t xml:space="preserve">Analyser la fracture générationnelle comme un partage inégal des ressources (pauvreté, dette publique, budget 2026) plutôt que comme un simple conflit de valeurs, en identifiant les paradoxes empiriques (optimisme croissant des jeunes, mouvement « Bloquons tout » agrégeant plusieurs générations).</w:t>
      </w:r>
    </w:p>
    <w:p>
      <w:pPr>
        <w:pStyle w:val="ListParagraph"/>
        <w:numPr>
          <w:ilvl w:val="0"/>
          <w:numId w:val="1"/>
        </w:numPr>
        <w:spacing w:after="80"/>
      </w:pPr>
      <w:r>
        <w:t xml:space="preserve">Formuler une question de recherche personnelle articulant territoire, génération et argent, à partir d'un corpus de données sourcées.</w:t>
      </w:r>
    </w:p>
    <w:p>
      <w:pPr>
        <w:pStyle w:val="Heading1"/>
        <w:spacing w:after="200" w:before="120"/>
      </w:pPr>
      <w:r>
        <w:t xml:space="preserve">Sources mobilisées</w:t>
      </w:r>
    </w:p>
    <w:p>
      <w:pPr>
        <w:spacing w:after="140"/>
      </w:pPr>
      <w:r>
        <w:t xml:space="preserve">Le détail (chiffres, citations exactes, questions de préparation) figure dans le dossier documentaire associé à cette séquence.</w:t>
      </w:r>
    </w:p>
    <w:p>
      <w:pPr>
        <w:pStyle w:val="ListParagraph"/>
        <w:numPr>
          <w:ilvl w:val="0"/>
          <w:numId w:val="1"/>
        </w:numPr>
        <w:spacing w:after="60"/>
      </w:pPr>
      <w:r>
        <w:t xml:space="preserve">CEVIPOF/Ipsos, Fractures françaises, vague 13 (oct. 2025) et Bilan 13 ans (oct. 2025).</w:t>
      </w:r>
    </w:p>
    <w:p>
      <w:pPr>
        <w:pStyle w:val="ListParagraph"/>
        <w:numPr>
          <w:ilvl w:val="0"/>
          <w:numId w:val="1"/>
        </w:numPr>
        <w:spacing w:after="60"/>
      </w:pPr>
      <w:r>
        <w:t xml:space="preserve">Anne Muxel, « La génération est-elle encore un marqueur des fractures politiques françaises ? », Note du CEVIPOF, collection Fractures françaises n°2, oct. 2025.</w:t>
      </w:r>
    </w:p>
    <w:p>
      <w:pPr>
        <w:pStyle w:val="ListParagraph"/>
        <w:numPr>
          <w:ilvl w:val="0"/>
          <w:numId w:val="1"/>
        </w:numPr>
        <w:spacing w:after="60"/>
      </w:pPr>
      <w:r>
        <w:t xml:space="preserve">Elika Athari, Sylvain Papon, Isabelle Robert-Bobée, « Quarante ans d'évolution de la démographie française », in France, portrait social, INSEE Références, 2019.</w:t>
      </w:r>
    </w:p>
    <w:p>
      <w:pPr>
        <w:pStyle w:val="ListParagraph"/>
        <w:numPr>
          <w:ilvl w:val="0"/>
          <w:numId w:val="1"/>
        </w:numPr>
        <w:spacing w:after="60"/>
      </w:pPr>
      <w:r>
        <w:t xml:space="preserve">INSEE, « En 2025, le déficit public s'élève à 5,1 % du PIB, la dette publique à 115,6 % du PIB », Informations rapides n°78, 2026.</w:t>
      </w:r>
    </w:p>
    <w:p>
      <w:pPr>
        <w:pStyle w:val="ListParagraph"/>
        <w:numPr>
          <w:ilvl w:val="0"/>
          <w:numId w:val="1"/>
        </w:numPr>
        <w:spacing w:after="60"/>
      </w:pPr>
      <w:r>
        <w:t xml:space="preserve">INSEE, « Niveau de vie et pauvreté en 2024 », INSEE Première n°2117, 9 juillet 2026.</w:t>
      </w:r>
    </w:p>
    <w:p>
      <w:pPr>
        <w:pStyle w:val="ListParagraph"/>
        <w:numPr>
          <w:ilvl w:val="0"/>
          <w:numId w:val="1"/>
        </w:numPr>
        <w:spacing w:after="60"/>
      </w:pPr>
      <w:r>
        <w:t xml:space="preserve">INSEE, « Flux migratoires », INSEE Première n°2107, 4 juin 2026.</w:t>
      </w:r>
    </w:p>
    <w:p>
      <w:pPr>
        <w:pStyle w:val="ListParagraph"/>
        <w:numPr>
          <w:ilvl w:val="0"/>
          <w:numId w:val="1"/>
        </w:numPr>
        <w:spacing w:after="60"/>
      </w:pPr>
      <w:r>
        <w:t xml:space="preserve">INSEE, La France et ses territoires, édition 2021 (Vue d'ensemble).</w:t>
      </w:r>
    </w:p>
    <w:p>
      <w:pPr>
        <w:pStyle w:val="ListParagraph"/>
        <w:numPr>
          <w:ilvl w:val="0"/>
          <w:numId w:val="1"/>
        </w:numPr>
        <w:spacing w:after="60"/>
      </w:pPr>
      <w:r>
        <w:t xml:space="preserve">Hervé Le Bras, « La France inégale : partage social de l'espace français », The Conversation France.</w:t>
      </w:r>
    </w:p>
    <w:p>
      <w:pPr>
        <w:pStyle w:val="ListParagraph"/>
        <w:numPr>
          <w:ilvl w:val="0"/>
          <w:numId w:val="1"/>
        </w:numPr>
        <w:spacing w:after="60"/>
      </w:pPr>
      <w:r>
        <w:t xml:space="preserve">Christophe Guilluy, La France périphérique, Flammarion, 2014 — synthèse critique mobilisée en cours, sans citation étendue.</w:t>
      </w:r>
    </w:p>
    <w:p>
      <w:pPr>
        <w:pStyle w:val="ListParagraph"/>
        <w:numPr>
          <w:ilvl w:val="0"/>
          <w:numId w:val="1"/>
        </w:numPr>
        <w:spacing w:after="60"/>
      </w:pPr>
      <w:r>
        <w:t xml:space="preserve">Géoconfluences (ENS de Lyon), « La France périphérique, débat autour d'un livre » — synthèse du débat académique (M. Kokoreff, V. Girard et J. Rivière, C. Gintrac et S. Mekdjian, Observatoire des inégalités).</w:t>
      </w:r>
    </w:p>
    <w:p>
      <w:pPr>
        <w:pStyle w:val="ListParagraph"/>
        <w:numPr>
          <w:ilvl w:val="0"/>
          <w:numId w:val="1"/>
        </w:numPr>
        <w:spacing w:after="60"/>
      </w:pPr>
      <w:r>
        <w:t xml:space="preserve">Éric Charmes, « La revanche des villages », La Vie des idées, 24 oct. 2017 ; La ville émiettée. Essai sur la clubbisation de la vie urbaine, PUF, 2011.</w:t>
      </w:r>
    </w:p>
    <w:p>
      <w:pPr>
        <w:pStyle w:val="ListParagraph"/>
        <w:numPr>
          <w:ilvl w:val="0"/>
          <w:numId w:val="1"/>
        </w:numPr>
        <w:spacing w:after="60"/>
      </w:pPr>
      <w:r>
        <w:t xml:space="preserve">Olivier Bouba-Olga, Michel Grossetti, « La métropolisation, horizon indépassable de la croissance économique ? », Revue de l'OFCE, 2015/7 ; Pierre Veltz, Mondialisation, villes et territoires : l'économie d'archipel, PUF, 2014.</w:t>
      </w:r>
    </w:p>
    <w:p>
      <w:pPr>
        <w:pStyle w:val="ListParagraph"/>
        <w:numPr>
          <w:ilvl w:val="0"/>
          <w:numId w:val="1"/>
        </w:numPr>
        <w:spacing w:after="60"/>
      </w:pPr>
      <w:r>
        <w:t xml:space="preserve">Conseil national de l'Ordre des médecins, Atlas de la démographie médicale 2025, avril 2025.</w:t>
      </w:r>
    </w:p>
    <w:p>
      <w:pPr>
        <w:pStyle w:val="ListParagraph"/>
        <w:numPr>
          <w:ilvl w:val="0"/>
          <w:numId w:val="1"/>
        </w:numPr>
        <w:spacing w:after="60"/>
      </w:pPr>
      <w:r>
        <w:t xml:space="preserve">Sylvie Dumartin, Sandrine Firquet (INSEE), « 1,3 million d'associations », INSEE Première n°1857, mai 2021.</w:t>
      </w:r>
    </w:p>
    <w:p>
      <w:pPr>
        <w:pStyle w:val="ListParagraph"/>
        <w:numPr>
          <w:ilvl w:val="0"/>
          <w:numId w:val="1"/>
        </w:numPr>
        <w:spacing w:after="60"/>
      </w:pPr>
      <w:r>
        <w:t xml:space="preserve">David Costanza, « Les générations, un concept marketing sans fondement scientifique », Slate.fr, 3 mai 2018 ; The Conversation, « Génération : un concept à utiliser avec modération ? » (K. Mannheim, J.-F. Sirinelli).</w:t>
      </w:r>
    </w:p>
    <w:p>
      <w:pPr>
        <w:pStyle w:val="ListParagraph"/>
        <w:numPr>
          <w:ilvl w:val="0"/>
          <w:numId w:val="1"/>
        </w:numPr>
        <w:spacing w:after="60"/>
      </w:pPr>
      <w:r>
        <w:t xml:space="preserve">François de Closets, « La génération prédatrice du "toujours plus" », tribune, Le Monde, mai 2020, et la réponse critique de l'IREF.</w:t>
      </w:r>
    </w:p>
    <w:p>
      <w:pPr>
        <w:pStyle w:val="ListParagraph"/>
        <w:numPr>
          <w:ilvl w:val="0"/>
          <w:numId w:val="1"/>
        </w:numPr>
        <w:spacing w:after="60"/>
      </w:pPr>
      <w:r>
        <w:t xml:space="preserve">Wikipedia / Public Sénat, « Bloquons tout » : origines et journée du 10 septembre 2025.</w:t>
      </w:r>
    </w:p>
    <w:p>
      <w:pPr>
        <w:pStyle w:val="ListParagraph"/>
        <w:numPr>
          <w:ilvl w:val="0"/>
          <w:numId w:val="1"/>
        </w:numPr>
        <w:spacing w:after="60"/>
      </w:pPr>
      <w:r>
        <w:t xml:space="preserve">OFDT, Drogues et addictions, chiffres clés 2025, 15 janvier 2025 ; enquête ESPAD 2024.</w:t>
      </w:r>
    </w:p>
    <w:p>
      <w:pPr>
        <w:pStyle w:val="Heading1"/>
        <w:spacing w:after="200" w:before="120"/>
      </w:pPr>
      <w:r>
        <w:t xml:space="preserve">Bloc 1 (2h) — Géographie-démographie : une France qui se vide et se recompose</w:t>
      </w:r>
    </w:p>
    <w:p>
      <w:pPr>
        <w:spacing w:after="140"/>
      </w:pPr>
      <w:r>
        <w:t xml:space="preserve">De la bascule démographique de 2025 aux débats de géographie sociale sur la « France périphérique », ce bloc montre que le territoire n'est ni un simple décor ni une donnée brute : c'est un objet de controverse scientifique que les étudiants doivent apprendre à instruire eux-mêmes, données à l'appui.</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tcW w:type="dxa" w:w="6500"/>
            <w:shd w:fill="10233E" w:color="auto" w:val="clear"/>
            <w:tcMar>
              <w:top w:type="dxa" w:w="80"/>
              <w:left w:type="dxa" w:w="100"/>
              <w:bottom w:type="dxa" w:w="80"/>
              <w:right w:type="dxa" w:w="100"/>
            </w:tcMar>
          </w:tcPr>
          <w:p>
            <w:r>
              <w:rPr>
                <w:b/>
                <w:bCs/>
                <w:color w:val="FFFFFF"/>
                <w:sz w:val="19"/>
                <w:szCs w:val="19"/>
              </w:rPr>
              <w:t xml:space="preserve">Déroulé</w:t>
            </w:r>
          </w:p>
        </w:tc>
        <w:tc>
          <w:tcPr>
            <w:tcW w:type="dxa" w:w="2500"/>
            <w:shd w:fill="10233E" w:color="auto" w:val="clear"/>
            <w:tcMar>
              <w:top w:type="dxa" w:w="80"/>
              <w:left w:type="dxa" w:w="100"/>
              <w:bottom w:type="dxa" w:w="80"/>
              <w:right w:type="dxa" w:w="100"/>
            </w:tcMar>
          </w:tcPr>
          <w:p>
            <w:r>
              <w:rPr>
                <w:b/>
                <w:bCs/>
                <w:color w:val="FFFFFF"/>
                <w:sz w:val="19"/>
                <w:szCs w:val="19"/>
              </w:rPr>
              <w:t xml:space="preserve">Modalité</w:t>
            </w:r>
          </w:p>
        </w:tc>
      </w:tr>
      <w:tr>
        <w:tc>
          <w:tcPr>
            <w:tcW w:type="dxa" w:w="6500"/>
            <w:shd w:fill="FFFFFF" w:color="auto" w:val="clear"/>
            <w:tcMar>
              <w:top w:type="dxa" w:w="80"/>
              <w:left w:type="dxa" w:w="100"/>
              <w:bottom w:type="dxa" w:w="80"/>
              <w:right w:type="dxa" w:w="100"/>
            </w:tcMar>
          </w:tcPr>
          <w:p>
            <w:r>
              <w:rPr>
                <w:sz w:val="18"/>
                <w:szCs w:val="18"/>
              </w:rPr>
              <w:t xml:space="preserve">Accroche : projection sans commentaire de deux cartes contrastées (densité médicale par canton, fiche 23 ; soldes migratoires internes, fiche 20). Question ouverte posée à la classe : « Qu'est-ce que ces deux cartes ont en commun ? » — sans donner la réponse avant la fin du bloc.</w:t>
            </w:r>
          </w:p>
        </w:tc>
        <w:tc>
          <w:tcPr>
            <w:tcW w:type="dxa" w:w="2500"/>
            <w:shd w:fill="FFFFFF" w:color="auto" w:val="clear"/>
            <w:tcMar>
              <w:top w:type="dxa" w:w="80"/>
              <w:left w:type="dxa" w:w="100"/>
              <w:bottom w:type="dxa" w:w="80"/>
              <w:right w:type="dxa" w:w="100"/>
            </w:tcMar>
          </w:tcPr>
          <w:p>
            <w:r>
              <w:rPr>
                <w:sz w:val="18"/>
                <w:szCs w:val="18"/>
              </w:rPr>
              <w:t xml:space="preserve">Question ouverte</w:t>
            </w:r>
          </w:p>
        </w:tc>
      </w:tr>
      <w:tr>
        <w:tc>
          <w:tcPr>
            <w:tcW w:type="dxa" w:w="6500"/>
            <w:shd w:fill="E8EDF4" w:color="auto" w:val="clear"/>
            <w:tcMar>
              <w:top w:type="dxa" w:w="80"/>
              <w:left w:type="dxa" w:w="100"/>
              <w:bottom w:type="dxa" w:w="80"/>
              <w:right w:type="dxa" w:w="100"/>
            </w:tcMar>
          </w:tcPr>
          <w:p>
            <w:r>
              <w:rPr>
                <w:sz w:val="18"/>
                <w:szCs w:val="18"/>
              </w:rPr>
              <w:t xml:space="preserve">Cadrage méthodologique : qu'est-ce que l'enquête Fractures françaises ? Historique (CEVIPOF, vague 1 en 2013), méthode (3 000 personnes, panel Ipsos-BVA, terrain début octobre), portée et limites (déclaratif, absence de ventilation territoriale dans la synthèse disponible).</w:t>
            </w:r>
          </w:p>
        </w:tc>
        <w:tc>
          <w:tcPr>
            <w:tcW w:type="dxa" w:w="2500"/>
            <w:shd w:fill="E8EDF4" w:color="auto" w:val="clear"/>
            <w:tcMar>
              <w:top w:type="dxa" w:w="80"/>
              <w:left w:type="dxa" w:w="100"/>
              <w:bottom w:type="dxa" w:w="80"/>
              <w:right w:type="dxa" w:w="100"/>
            </w:tcMar>
          </w:tcPr>
          <w:p>
            <w:r>
              <w:rPr>
                <w:sz w:val="18"/>
                <w:szCs w:val="18"/>
              </w:rPr>
              <w:t xml:space="preserve">Cours magistral</w:t>
            </w:r>
          </w:p>
        </w:tc>
      </w:tr>
      <w:tr>
        <w:tc>
          <w:tcPr>
            <w:tcW w:type="dxa" w:w="6500"/>
            <w:shd w:fill="FFFFFF" w:color="auto" w:val="clear"/>
            <w:tcMar>
              <w:top w:type="dxa" w:w="80"/>
              <w:left w:type="dxa" w:w="100"/>
              <w:bottom w:type="dxa" w:w="80"/>
              <w:right w:type="dxa" w:w="100"/>
            </w:tcMar>
          </w:tcPr>
          <w:p>
            <w:r>
              <w:rPr>
                <w:sz w:val="18"/>
                <w:szCs w:val="18"/>
              </w:rPr>
              <w:t xml:space="preserve">Partie A1 — La rupture démographique de 2025-2026 : solde naturel négatif inédit depuis la Seconde Guerre mondiale, typologie des trois France urbaines en déclin (déficit migratoire, déficit naturel, cumul des deux), cas d'école de la Creuse (fiches 1-3).</w:t>
            </w:r>
          </w:p>
        </w:tc>
        <w:tc>
          <w:tcPr>
            <w:tcW w:type="dxa" w:w="2500"/>
            <w:shd w:fill="FFFFFF" w:color="auto" w:val="clear"/>
            <w:tcMar>
              <w:top w:type="dxa" w:w="80"/>
              <w:left w:type="dxa" w:w="100"/>
              <w:bottom w:type="dxa" w:w="80"/>
              <w:right w:type="dxa" w:w="100"/>
            </w:tcMar>
          </w:tcPr>
          <w:p>
            <w:r>
              <w:rPr>
                <w:sz w:val="18"/>
                <w:szCs w:val="18"/>
              </w:rPr>
              <w:t xml:space="preserve">CM + lecture de graphiques</w:t>
            </w:r>
          </w:p>
        </w:tc>
      </w:tr>
      <w:tr>
        <w:tc>
          <w:tcPr>
            <w:tcW w:type="dxa" w:w="6500"/>
            <w:shd w:fill="E8EDF4" w:color="auto" w:val="clear"/>
            <w:tcMar>
              <w:top w:type="dxa" w:w="80"/>
              <w:left w:type="dxa" w:w="100"/>
              <w:bottom w:type="dxa" w:w="80"/>
              <w:right w:type="dxa" w:w="100"/>
            </w:tcMar>
          </w:tcPr>
          <w:p>
            <w:r>
              <w:rPr>
                <w:sz w:val="18"/>
                <w:szCs w:val="18"/>
              </w:rPr>
              <w:t xml:space="preserve">Partie A2 — Tendances longues (1975-2019) : fécondité, vieillissement, espérance de vie sans incapacité, spécificité démographique des DOM (Mayotte, Guyane), actualisation par le taux de pauvreté record de 2024 (fiches 4-6, 9-10).</w:t>
            </w:r>
          </w:p>
        </w:tc>
        <w:tc>
          <w:tcPr>
            <w:tcW w:type="dxa" w:w="2500"/>
            <w:shd w:fill="E8EDF4" w:color="auto" w:val="clear"/>
            <w:tcMar>
              <w:top w:type="dxa" w:w="80"/>
              <w:left w:type="dxa" w:w="100"/>
              <w:bottom w:type="dxa" w:w="80"/>
              <w:right w:type="dxa" w:w="100"/>
            </w:tcMar>
          </w:tcPr>
          <w:p>
            <w:r>
              <w:rPr>
                <w:sz w:val="18"/>
                <w:szCs w:val="18"/>
              </w:rPr>
              <w:t xml:space="preserve">CM, données commentées</w:t>
            </w:r>
          </w:p>
        </w:tc>
      </w:tr>
      <w:tr>
        <w:tc>
          <w:tcPr>
            <w:tcW w:type="dxa" w:w="6500"/>
            <w:shd w:fill="FFFFFF" w:color="auto" w:val="clear"/>
            <w:tcMar>
              <w:top w:type="dxa" w:w="80"/>
              <w:left w:type="dxa" w:w="100"/>
              <w:bottom w:type="dxa" w:w="80"/>
              <w:right w:type="dxa" w:w="100"/>
            </w:tcMar>
          </w:tcPr>
          <w:p>
            <w:r>
              <w:rPr>
                <w:sz w:val="18"/>
                <w:szCs w:val="18"/>
              </w:rPr>
              <w:t xml:space="preserve">Ouverture du débat « réarmement démographique » : mise en tension du discours présidentiel de janvier 2024 et de la réaction du démographe Hervé Le Bras (voir encadré 1) — préparation à la discussion de fin de bloc.</w:t>
            </w:r>
          </w:p>
        </w:tc>
        <w:tc>
          <w:tcPr>
            <w:tcW w:type="dxa" w:w="2500"/>
            <w:shd w:fill="FFFFFF" w:color="auto" w:val="clear"/>
            <w:tcMar>
              <w:top w:type="dxa" w:w="80"/>
              <w:left w:type="dxa" w:w="100"/>
              <w:bottom w:type="dxa" w:w="80"/>
              <w:right w:type="dxa" w:w="100"/>
            </w:tcMar>
          </w:tcPr>
          <w:p>
            <w:r>
              <w:rPr>
                <w:sz w:val="18"/>
                <w:szCs w:val="18"/>
              </w:rPr>
              <w:t xml:space="preserve">Amorce de débat</w:t>
            </w:r>
          </w:p>
        </w:tc>
      </w:tr>
      <w:tr>
        <w:tc>
          <w:tcPr>
            <w:tcW w:type="dxa" w:w="6500"/>
            <w:shd w:fill="E8EDF4" w:color="auto" w:val="clear"/>
            <w:tcMar>
              <w:top w:type="dxa" w:w="80"/>
              <w:left w:type="dxa" w:w="100"/>
              <w:bottom w:type="dxa" w:w="80"/>
              <w:right w:type="dxa" w:w="100"/>
            </w:tcMar>
          </w:tcPr>
          <w:p>
            <w:r>
              <w:rPr>
                <w:sz w:val="18"/>
                <w:szCs w:val="18"/>
              </w:rPr>
              <w:t xml:space="preserve">Pause</w:t>
            </w:r>
          </w:p>
        </w:tc>
        <w:tc>
          <w:tcPr>
            <w:tcW w:type="dxa" w:w="2500"/>
            <w:shd w:fill="E8EDF4" w:color="auto" w:val="clear"/>
            <w:tcMar>
              <w:top w:type="dxa" w:w="80"/>
              <w:left w:type="dxa" w:w="100"/>
              <w:bottom w:type="dxa" w:w="80"/>
              <w:right w:type="dxa" w:w="100"/>
            </w:tcMar>
          </w:tcPr>
          <w:p>
            <w:r>
              <w:rPr>
                <w:sz w:val="18"/>
                <w:szCs w:val="18"/>
              </w:rPr>
              <w:t xml:space="preserve">—</w:t>
            </w:r>
          </w:p>
        </w:tc>
      </w:tr>
      <w:tr>
        <w:tc>
          <w:tcPr>
            <w:tcW w:type="dxa" w:w="6500"/>
            <w:shd w:fill="FFFFFF" w:color="auto" w:val="clear"/>
            <w:tcMar>
              <w:top w:type="dxa" w:w="80"/>
              <w:left w:type="dxa" w:w="100"/>
              <w:bottom w:type="dxa" w:w="80"/>
              <w:right w:type="dxa" w:w="100"/>
            </w:tcMar>
          </w:tcPr>
          <w:p>
            <w:r>
              <w:rPr>
                <w:sz w:val="18"/>
                <w:szCs w:val="18"/>
              </w:rPr>
              <w:t xml:space="preserve">Partie B — Cartographier la France sociale : la carte des catégories socioprofessionnelles de Hervé Le Bras (villes de commandement, relégation ouvrière, ligne nord/sud des artisans-commerçants) puis la thèse de la « France périphérique » de Christophe Guilluy (fiches 11-13).</w:t>
            </w:r>
          </w:p>
        </w:tc>
        <w:tc>
          <w:tcPr>
            <w:tcW w:type="dxa" w:w="2500"/>
            <w:shd w:fill="FFFFFF" w:color="auto" w:val="clear"/>
            <w:tcMar>
              <w:top w:type="dxa" w:w="80"/>
              <w:left w:type="dxa" w:w="100"/>
              <w:bottom w:type="dxa" w:w="80"/>
              <w:right w:type="dxa" w:w="100"/>
            </w:tcMar>
          </w:tcPr>
          <w:p>
            <w:r>
              <w:rPr>
                <w:sz w:val="18"/>
                <w:szCs w:val="18"/>
              </w:rPr>
              <w:t xml:space="preserve">CM + étude de document</w:t>
            </w:r>
          </w:p>
        </w:tc>
      </w:tr>
      <w:tr>
        <w:tc>
          <w:tcPr>
            <w:tcW w:type="dxa" w:w="6500"/>
            <w:shd w:fill="E8EDF4" w:color="auto" w:val="clear"/>
            <w:tcMar>
              <w:top w:type="dxa" w:w="80"/>
              <w:left w:type="dxa" w:w="100"/>
              <w:bottom w:type="dxa" w:w="80"/>
              <w:right w:type="dxa" w:w="100"/>
            </w:tcMar>
          </w:tcPr>
          <w:p>
            <w:r>
              <w:rPr>
                <w:sz w:val="18"/>
                <w:szCs w:val="18"/>
              </w:rPr>
              <w:t xml:space="preserve">Débat encadré : la thèse Guilluy face à ses critiques universitaires nommées (Kokoreff, Girard et Rivière, Gintrac et Mekdjian, Charmes) — voir encadré 2. Les étudiants sont invités à trancher à partir des seules données du dossier documentaire.</w:t>
            </w:r>
          </w:p>
        </w:tc>
        <w:tc>
          <w:tcPr>
            <w:tcW w:type="dxa" w:w="2500"/>
            <w:shd w:fill="E8EDF4" w:color="auto" w:val="clear"/>
            <w:tcMar>
              <w:top w:type="dxa" w:w="80"/>
              <w:left w:type="dxa" w:w="100"/>
              <w:bottom w:type="dxa" w:w="80"/>
              <w:right w:type="dxa" w:w="100"/>
            </w:tcMar>
          </w:tcPr>
          <w:p>
            <w:r>
              <w:rPr>
                <w:sz w:val="18"/>
                <w:szCs w:val="18"/>
              </w:rPr>
              <w:t xml:space="preserve">Débat encadré</w:t>
            </w:r>
          </w:p>
        </w:tc>
      </w:tr>
      <w:tr>
        <w:tc>
          <w:tcPr>
            <w:tcW w:type="dxa" w:w="6500"/>
            <w:shd w:fill="FFFFFF" w:color="auto" w:val="clear"/>
            <w:tcMar>
              <w:top w:type="dxa" w:w="80"/>
              <w:left w:type="dxa" w:w="100"/>
              <w:bottom w:type="dxa" w:w="80"/>
              <w:right w:type="dxa" w:w="100"/>
            </w:tcMar>
          </w:tcPr>
          <w:p>
            <w:r>
              <w:rPr>
                <w:sz w:val="18"/>
                <w:szCs w:val="18"/>
              </w:rPr>
              <w:t xml:space="preserve">Partie C — Au-delà du binaire métropoles/périphérie : débat Veltz / Bouba-Olga-Grossetti sur la métropolisation (voir encadré 3), typologie INSEE en sept familles de territoires, polarisation interne des métropoles (Île-de-France : 31 % du PIB mais sur-représentation simultanée pauvres/riches) (fiches 16-18, 28).</w:t>
            </w:r>
          </w:p>
        </w:tc>
        <w:tc>
          <w:tcPr>
            <w:tcW w:type="dxa" w:w="2500"/>
            <w:shd w:fill="FFFFFF" w:color="auto" w:val="clear"/>
            <w:tcMar>
              <w:top w:type="dxa" w:w="80"/>
              <w:left w:type="dxa" w:w="100"/>
              <w:bottom w:type="dxa" w:w="80"/>
              <w:right w:type="dxa" w:w="100"/>
            </w:tcMar>
          </w:tcPr>
          <w:p>
            <w:r>
              <w:rPr>
                <w:sz w:val="18"/>
                <w:szCs w:val="18"/>
              </w:rPr>
              <w:t xml:space="preserve">CM + débat encadré</w:t>
            </w:r>
          </w:p>
        </w:tc>
      </w:tr>
      <w:tr>
        <w:tc>
          <w:tcPr>
            <w:tcW w:type="dxa" w:w="6500"/>
            <w:shd w:fill="E8EDF4" w:color="auto" w:val="clear"/>
            <w:tcMar>
              <w:top w:type="dxa" w:w="80"/>
              <w:left w:type="dxa" w:w="100"/>
              <w:bottom w:type="dxa" w:w="80"/>
              <w:right w:type="dxa" w:w="100"/>
            </w:tcMar>
          </w:tcPr>
          <w:p>
            <w:r>
              <w:rPr>
                <w:sz w:val="18"/>
                <w:szCs w:val="18"/>
              </w:rPr>
              <w:t xml:space="preserve">Partie D condensée — Mobilités à deux vitesses, déserts médicaux (6,7 millions de Français sans médecin traitant), tissu associatif comme amortisseur social, puis immigration et territoire : géographie d'origine, flux 2024-2026, perception de l'islam dans l'opinion CEVIPOF (fiches 21-32).</w:t>
            </w:r>
          </w:p>
        </w:tc>
        <w:tc>
          <w:tcPr>
            <w:tcW w:type="dxa" w:w="2500"/>
            <w:shd w:fill="E8EDF4" w:color="auto" w:val="clear"/>
            <w:tcMar>
              <w:top w:type="dxa" w:w="80"/>
              <w:left w:type="dxa" w:w="100"/>
              <w:bottom w:type="dxa" w:w="80"/>
              <w:right w:type="dxa" w:w="100"/>
            </w:tcMar>
          </w:tcPr>
          <w:p>
            <w:r>
              <w:rPr>
                <w:sz w:val="18"/>
                <w:szCs w:val="18"/>
              </w:rPr>
              <w:t xml:space="preserve">CM, actualité commentée</w:t>
            </w:r>
          </w:p>
        </w:tc>
      </w:tr>
      <w:tr>
        <w:tc>
          <w:tcPr>
            <w:tcW w:type="dxa" w:w="6500"/>
            <w:shd w:fill="FFFFFF" w:color="auto" w:val="clear"/>
            <w:tcMar>
              <w:top w:type="dxa" w:w="80"/>
              <w:left w:type="dxa" w:w="100"/>
              <w:bottom w:type="dxa" w:w="80"/>
              <w:right w:type="dxa" w:w="100"/>
            </w:tcMar>
          </w:tcPr>
          <w:p>
            <w:r>
              <w:rPr>
                <w:sz w:val="18"/>
                <w:szCs w:val="18"/>
              </w:rPr>
              <w:t xml:space="preserve">Synthèse du bloc 1 : retour sur l'accroche (le lien entre densité médicale et soldes migratoires) et consignes pour l'activité en ligne.</w:t>
            </w:r>
          </w:p>
        </w:tc>
        <w:tc>
          <w:tcPr>
            <w:tcW w:type="dxa" w:w="2500"/>
            <w:shd w:fill="FFFFFF" w:color="auto" w:val="clear"/>
            <w:tcMar>
              <w:top w:type="dxa" w:w="80"/>
              <w:left w:type="dxa" w:w="100"/>
              <w:bottom w:type="dxa" w:w="80"/>
              <w:right w:type="dxa" w:w="100"/>
            </w:tcMar>
          </w:tcPr>
          <w:p>
            <w:r>
              <w:rPr>
                <w:sz w:val="18"/>
                <w:szCs w:val="18"/>
              </w:rPr>
              <w:t xml:space="preserve">Cours magistral + consignes</w:t>
            </w:r>
          </w:p>
        </w:tc>
      </w:tr>
    </w:tbl>
    <w:p>
      <w:pPr>
        <w:spacing w:after="120"/>
      </w:pPr>
    </w:p>
    <w:tbl>
      <w:tblPr>
        <w:tblW w:type="pct" w:w="100%"/>
        <w:tblBorders>
          <w:top w:val="single" w:color="10233E" w:sz="4"/>
          <w:left w:val="single" w:color="10233E" w:sz="4"/>
          <w:bottom w:val="single" w:color="10233E" w:sz="4"/>
          <w:right w:val="single" w:color="10233E" w:sz="4"/>
          <w:insideH w:val="none" w:color="FFFFFF" w:sz="0"/>
          <w:insideV w:val="none" w:color="FFFFFF" w:sz="0"/>
        </w:tblBorders>
      </w:tblPr>
      <w:tblGrid>
        <w:gridCol w:w="100"/>
      </w:tblGrid>
      <w:tr>
        <w:tc>
          <w:tcPr>
            <w:shd w:fill="E8EDF4" w:color="auto" w:val="clear"/>
            <w:tcMar>
              <w:top w:type="dxa" w:w="150"/>
              <w:left w:type="dxa" w:w="200"/>
              <w:bottom w:type="dxa" w:w="150"/>
              <w:right w:type="dxa" w:w="200"/>
            </w:tcMar>
          </w:tcPr>
          <w:p>
            <w:pPr>
              <w:spacing w:after="100"/>
            </w:pPr>
            <w:r>
              <w:rPr>
                <w:b/>
                <w:bCs/>
                <w:color w:val="10233E"/>
                <w:sz w:val="18"/>
                <w:szCs w:val="18"/>
              </w:rPr>
              <w:t xml:space="preserve">ENCADRÉ 1 — « Réarmement démographique » : la démographie comme enjeu de puissance ou comme résultat de choix individuels ?</w:t>
            </w:r>
          </w:p>
          <w:p>
            <w:pPr>
              <w:spacing w:after="80"/>
            </w:pPr>
            <w:r>
              <w:rPr>
                <w:sz w:val="20"/>
                <w:szCs w:val="20"/>
              </w:rPr>
              <w:t xml:space="preserve">En janvier 2024, l'appel présidentiel à un « réarmement démographique » a traité la natalité comme un enjeu de puissance nationale à corriger par une politique volontariste.</w:t>
            </w:r>
          </w:p>
          <w:p>
            <w:pPr>
              <w:spacing w:after="80"/>
            </w:pPr>
            <w:r>
              <w:rPr>
                <w:sz w:val="20"/>
                <w:szCs w:val="20"/>
              </w:rPr>
              <w:t xml:space="preserve">Le démographe Hervé Le Bras (EHESS-INED) a qualifié la formule de « grotesque », rappelant que la fécondité résulte avant tout de déterminants concrets — logement, modes de garde, stabilité de l'emploi, égalité professionnelle — plutôt que d'un déficit de volonté collective mobilisable par un discours martial.</w:t>
            </w:r>
          </w:p>
          <w:p>
            <w:pPr>
              <w:spacing w:after="80"/>
            </w:pPr>
            <w:r>
              <w:rPr>
                <w:sz w:val="20"/>
                <w:szCs w:val="20"/>
              </w:rPr>
              <w:t xml:space="preserve">Ce débat s'inscrit dans un contexte de recul continu de l'indicateur conjoncturel de fécondité depuis 2014 et de sentiment de déclin largement partagé dans l'opinion (67 % des Français jugent en 2025 que la violence augmente dans la société), terrain propice aux instrumentalisations politiques contrastées des mêmes chiffres démographiques.</w:t>
            </w:r>
          </w:p>
          <w:p>
            <w:pPr>
              <w:spacing w:after="80"/>
            </w:pPr>
            <w:r>
              <w:rPr>
                <w:sz w:val="20"/>
                <w:szCs w:val="20"/>
              </w:rPr>
              <w:t xml:space="preserve">Consigne de débat : demander aux étudiants d'identifier, à partir des données démographiques du dossier, quels arguments relèvent d'une logique de politique publique (incitations, aides concrètes) et lesquels relèvent d'un cadrage rhétorique de la démographie comme puissance nationale — puis de discuter si les deux registres sont conciliables.</w:t>
            </w:r>
          </w:p>
        </w:tc>
      </w:tr>
    </w:tbl>
    <w:p>
      <w:pPr>
        <w:spacing w:after="120"/>
      </w:pPr>
    </w:p>
    <w:p>
      <w:pPr>
        <w:spacing w:after="120"/>
      </w:pPr>
    </w:p>
    <w:tbl>
      <w:tblPr>
        <w:tblW w:type="pct" w:w="100%"/>
        <w:tblBorders>
          <w:top w:val="single" w:color="10233E" w:sz="4"/>
          <w:left w:val="single" w:color="10233E" w:sz="4"/>
          <w:bottom w:val="single" w:color="10233E" w:sz="4"/>
          <w:right w:val="single" w:color="10233E" w:sz="4"/>
          <w:insideH w:val="none" w:color="FFFFFF" w:sz="0"/>
          <w:insideV w:val="none" w:color="FFFFFF" w:sz="0"/>
        </w:tblBorders>
      </w:tblPr>
      <w:tblGrid>
        <w:gridCol w:w="100"/>
      </w:tblGrid>
      <w:tr>
        <w:tc>
          <w:tcPr>
            <w:shd w:fill="E8EDF4" w:color="auto" w:val="clear"/>
            <w:tcMar>
              <w:top w:type="dxa" w:w="150"/>
              <w:left w:type="dxa" w:w="200"/>
              <w:bottom w:type="dxa" w:w="150"/>
              <w:right w:type="dxa" w:w="200"/>
            </w:tcMar>
          </w:tcPr>
          <w:p>
            <w:pPr>
              <w:spacing w:after="100"/>
            </w:pPr>
            <w:r>
              <w:rPr>
                <w:b/>
                <w:bCs/>
                <w:color w:val="10233E"/>
                <w:sz w:val="18"/>
                <w:szCs w:val="18"/>
              </w:rPr>
              <w:t xml:space="preserve">ENCADRÉ 2 — La thèse Guilluy face à ses critiques universitaires : fracture réelle ou raccourci géographique ?</w:t>
            </w:r>
          </w:p>
          <w:p>
            <w:pPr>
              <w:spacing w:after="80"/>
            </w:pPr>
            <w:r>
              <w:rPr>
                <w:sz w:val="20"/>
                <w:szCs w:val="20"/>
              </w:rPr>
              <w:t xml:space="preserve">Publiée en 2014, La France périphérique de Christophe Guilluy soutient qu'environ 60 % de la population française vivrait dans des territoires exclus des dynamiques de la mondialisation, expliquant en partie la progression des votes protestataires.</w:t>
            </w:r>
          </w:p>
          <w:p>
            <w:pPr>
              <w:spacing w:after="80"/>
            </w:pPr>
            <w:r>
              <w:rPr>
                <w:sz w:val="20"/>
                <w:szCs w:val="20"/>
              </w:rPr>
              <w:t xml:space="preserve">Cette thèse a suscité une critique universitaire convergente : le sociologue Michel Kokoreff lui reproche de comparer des mailles territoriales hétérogènes ; Violaine Girard et Jean Rivière pointent une base empirique jugée faible, reposant sur des catégories sociologiques grossières ; Cécile Gintrac et Sarah Mekdjian, dans la revue Espaces et sociétés, dénoncent une approche « culturaliste et essentialisée » assignant des habitants-types à des espaces-types ; l'Observatoire des inégalités a montré dès septembre 2014 que les données INSEE contredisent en partie la thèse, la pauvreté restant concentrée avant tout en zone urbaine défavorisée.</w:t>
            </w:r>
          </w:p>
          <w:p>
            <w:pPr>
              <w:spacing w:after="80"/>
            </w:pPr>
            <w:r>
              <w:rPr>
                <w:sz w:val="20"/>
                <w:szCs w:val="20"/>
              </w:rPr>
              <w:t xml:space="preserve">Le géographe Éric Charmes déplace le regard plutôt qu'il ne tranche : le périurbain serait moins un espace de relégation subie qu'un espace socialement stratifié, en partie choisi par des classes moyennes en quête d'entre-soi résidentiel.</w:t>
            </w:r>
          </w:p>
          <w:p>
            <w:pPr>
              <w:spacing w:after="80"/>
            </w:pPr>
            <w:r>
              <w:rPr>
                <w:sz w:val="20"/>
                <w:szCs w:val="20"/>
              </w:rPr>
              <w:t xml:space="preserve">Consigne de débat : à partir des cartes de Le Bras et des données INSEE de pauvreté par type d'aire urbaine, demander aux étudiants de trancher si la carte confirme, nuance ou contredit la thèse de Guilluy — l'objectif est l'exercice de la preuve, pas une opinion a priori.</w:t>
            </w:r>
          </w:p>
        </w:tc>
      </w:tr>
    </w:tbl>
    <w:p>
      <w:pPr>
        <w:spacing w:after="120"/>
      </w:pPr>
    </w:p>
    <w:p>
      <w:pPr>
        <w:spacing w:after="120"/>
      </w:pPr>
    </w:p>
    <w:tbl>
      <w:tblPr>
        <w:tblW w:type="pct" w:w="100%"/>
        <w:tblBorders>
          <w:top w:val="single" w:color="10233E" w:sz="4"/>
          <w:left w:val="single" w:color="10233E" w:sz="4"/>
          <w:bottom w:val="single" w:color="10233E" w:sz="4"/>
          <w:right w:val="single" w:color="10233E" w:sz="4"/>
          <w:insideH w:val="none" w:color="FFFFFF" w:sz="0"/>
          <w:insideV w:val="none" w:color="FFFFFF" w:sz="0"/>
        </w:tblBorders>
      </w:tblPr>
      <w:tblGrid>
        <w:gridCol w:w="100"/>
      </w:tblGrid>
      <w:tr>
        <w:tc>
          <w:tcPr>
            <w:shd w:fill="E8EDF4" w:color="auto" w:val="clear"/>
            <w:tcMar>
              <w:top w:type="dxa" w:w="150"/>
              <w:left w:type="dxa" w:w="200"/>
              <w:bottom w:type="dxa" w:w="150"/>
              <w:right w:type="dxa" w:w="200"/>
            </w:tcMar>
          </w:tcPr>
          <w:p>
            <w:pPr>
              <w:spacing w:after="100"/>
            </w:pPr>
            <w:r>
              <w:rPr>
                <w:b/>
                <w:bCs/>
                <w:color w:val="10233E"/>
                <w:sz w:val="18"/>
                <w:szCs w:val="18"/>
              </w:rPr>
              <w:t xml:space="preserve">ENCADRÉ 3 — Métropoles locomotives ou métropoles captatrices ? Le débat Veltz / Bouba-Olga-Grossetti</w:t>
            </w:r>
          </w:p>
          <w:p>
            <w:pPr>
              <w:spacing w:after="80"/>
            </w:pPr>
            <w:r>
              <w:rPr>
                <w:sz w:val="20"/>
                <w:szCs w:val="20"/>
              </w:rPr>
              <w:t xml:space="preserve">Pierre Veltz défend, avec le concept d'« économie d'archipel », l'idée que les métropoles sont des nœuds incontournables de la mondialisation dont le dynamisme profite indirectement, en réseau, aux territoires environnants.</w:t>
            </w:r>
          </w:p>
          <w:p>
            <w:pPr>
              <w:spacing w:after="80"/>
            </w:pPr>
            <w:r>
              <w:rPr>
                <w:sz w:val="20"/>
                <w:szCs w:val="20"/>
              </w:rPr>
              <w:t xml:space="preserve">Olivier Bouba-Olga et Michel Grossetti contestent frontalement cette hypothèse de ruissellement : selon eux, aucune preuve robuste n'établit que la croissance métropolitaine profite mécaniquement aux territoires alentour, ce qui fragilise le discours convenu appelant à concentrer les efforts d'aménagement sur les métropoles.</w:t>
            </w:r>
          </w:p>
          <w:p>
            <w:pPr>
              <w:spacing w:after="80"/>
            </w:pPr>
            <w:r>
              <w:rPr>
                <w:sz w:val="20"/>
                <w:szCs w:val="20"/>
              </w:rPr>
              <w:t xml:space="preserve">L'INSEE lui-même, dans son rapport de référence sur les territoires, reconnaît que la question reste ouverte : autonomie réelle des dynamiques métropolitaines, effet locomotive ou simple effet de captation, qualité de vie réellement supérieure ou non.</w:t>
            </w:r>
          </w:p>
          <w:p>
            <w:pPr>
              <w:spacing w:after="80"/>
            </w:pPr>
            <w:r>
              <w:rPr>
                <w:sz w:val="20"/>
                <w:szCs w:val="20"/>
              </w:rPr>
              <w:t xml:space="preserve">Consigne de débat : demander aux étudiants quels indicateurs (emploi, revenu médian, accès aux services) permettraient de trancher empiriquement entre les deux lectures, et si le concept même de « ruissellement territorial » est mesurable avec les données disponibles.</w:t>
            </w:r>
          </w:p>
        </w:tc>
      </w:tr>
    </w:tbl>
    <w:p>
      <w:pPr>
        <w:spacing w:after="120"/>
      </w:pPr>
    </w:p>
    <w:p>
      <w:pPr>
        <w:pStyle w:val="Heading3"/>
        <w:spacing w:after="100" w:before="240"/>
      </w:pPr>
      <w:r>
        <w:rPr>
          <w:b/>
          <w:bCs/>
          <w:color w:val="10233E"/>
        </w:rPr>
        <w:t xml:space="preserve">1. La rupture démographique de 2025-2026 : une bascule ancienne, un choc médiatique récent</w:t>
      </w:r>
    </w:p>
    <w:p>
      <w:pPr>
        <w:spacing w:after="140"/>
      </w:pPr>
      <w:r>
        <w:t xml:space="preserve">En juillet 2025, l'annonce d'un solde naturel national négatif pendant douze mois consécutifs — une première depuis la Seconde Guerre mondiale — a été largement relayée comme une rupture brutale (fiche 1). Les données du dossier invitent à nuancer ce récit : le solde naturel métropolitain était déjà passé de 280 000 en 2006 à 118 000 en 2018 (fiche 4), et de nombreux territoires ruraux, à l'image de la Creuse — qui perd des habitants sans interruption depuis son pic de population de 1886 — connaissent un solde naturel négatif depuis des décennies (fiche 2). La bascule de 2025 est donc l'aboutissement d'une tendance longue plus qu'un accident conjoncturel.</w:t>
      </w:r>
    </w:p>
    <w:p>
      <w:pPr>
        <w:spacing w:after="140"/>
      </w:pPr>
      <w:r>
        <w:t xml:space="preserve">Le raccourci « la France se dépeuple » masque en outre une géographie urbaine à trois vitesses : plus de 90 villes de 20 000 habitants ou plus perdent des habitants par déficit migratoire — Paris intra-muros compris, alors que l'Île-de-France dans son ensemble continue de croître —, une trentaine d'autres perdent des habitants par déficit naturel seul, et 74 villes cumulent les deux déficits (fiche 3). Cette typologie invalide l'idée d'une opposition simple entre métropoles gagnantes et périphéries perdantes.</w:t>
      </w:r>
    </w:p>
    <w:p>
      <w:pPr>
        <w:spacing w:after="140"/>
      </w:pPr>
      <w:r>
        <w:t xml:space="preserve">Sur le temps long (1975-2019), la fécondité française a connu une trajectoire singulière en Europe : après être remontée jusqu'à environ 2,0 enfants par femme entre 2006 et 2014, elle rebaisse pour atteindre 1,84 en 2018 (fiche 5), pendant que l'espérance de vie continue de progresser mais à un rythme ralenti depuis les années 2010 (fiche 6). Les DOM présentent des dynamiques radicalement différentes — 4,8 enfants par femme à Mayotte en 2018, la fécondité la plus élevée de France (fiche 9) — qui interdisent tout raisonnement démographique franco-français homogène.</w:t>
      </w:r>
    </w:p>
    <w:p>
      <w:pPr>
        <w:pStyle w:val="ListParagraph"/>
        <w:numPr>
          <w:ilvl w:val="0"/>
          <w:numId w:val="1"/>
        </w:numPr>
        <w:spacing w:after="80"/>
      </w:pPr>
      <w:r>
        <w:t xml:space="preserve">Solde naturel métropolitain : 280 000 (2006) → 118 000 (2018), négatif au niveau national depuis juillet 2025 (fiches 1, 4)</w:t>
      </w:r>
    </w:p>
    <w:p>
      <w:pPr>
        <w:pStyle w:val="ListParagraph"/>
        <w:numPr>
          <w:ilvl w:val="0"/>
          <w:numId w:val="1"/>
        </w:numPr>
        <w:spacing w:after="80"/>
      </w:pPr>
      <w:r>
        <w:t xml:space="preserve">Part des 65 ans ou plus dans la population : 13,4 % (1975) → 20,3 % (2019) (fiche 4)</w:t>
      </w:r>
    </w:p>
    <w:p>
      <w:pPr>
        <w:pStyle w:val="ListParagraph"/>
        <w:numPr>
          <w:ilvl w:val="0"/>
          <w:numId w:val="1"/>
        </w:numPr>
        <w:spacing w:after="80"/>
      </w:pPr>
      <w:r>
        <w:t xml:space="preserve">Indicateur conjoncturel de fécondité : environ 2,0 (2006-2014) → 1,84 (2018) (fiche 5)</w:t>
      </w:r>
    </w:p>
    <w:p>
      <w:pPr>
        <w:pStyle w:val="ListParagraph"/>
        <w:numPr>
          <w:ilvl w:val="0"/>
          <w:numId w:val="1"/>
        </w:numPr>
        <w:spacing w:after="80"/>
      </w:pPr>
      <w:r>
        <w:t xml:space="preserve">Fécondité à Mayotte : 4,8 enfants par femme (2018), la plus élevée de France (fiche 9)</w:t>
      </w:r>
    </w:p>
    <w:p>
      <w:pPr>
        <w:pStyle w:val="ListParagraph"/>
        <w:numPr>
          <w:ilvl w:val="0"/>
          <w:numId w:val="1"/>
        </w:numPr>
        <w:spacing w:after="80"/>
      </w:pPr>
      <w:r>
        <w:t xml:space="preserve">Taux de pauvreté national : 15,4 % en 2024, le plus haut niveau depuis 1996 (fiche 10)</w:t>
      </w:r>
    </w:p>
    <w:p>
      <w:pPr>
        <w:pStyle w:val="Heading3"/>
        <w:spacing w:after="100" w:before="240"/>
      </w:pPr>
      <w:r>
        <w:rPr>
          <w:b/>
          <w:bCs/>
          <w:color w:val="10233E"/>
        </w:rPr>
        <w:t xml:space="preserve">2. Cartographier la France sociale : Hervé Le Bras, Christophe Guilluy et le débat académique</w:t>
      </w:r>
    </w:p>
    <w:p>
      <w:pPr>
        <w:spacing w:after="140"/>
      </w:pPr>
      <w:r>
        <w:t xml:space="preserve">Antérieure de plusieurs années à la thèse médiatique de Christophe Guilluy, la cartographie du démographe Hervé Le Bras (données 2013) documente une répartition très inégale des catégories socioprofessionnelles : les cadres se concentrent dans les « villes de commandement » héritées des années 1960, dans un rapport pouvant atteindre 1 pour 10 par rapport au rural profond, tandis que les classes moyennes se répartissent de façon beaucoup plus continue, dans un rapport de seulement 1 à 3 (fiche 11). Le Bras documente également une relégation spatiale longue durée des ouvriers vers les marges du territoire, ainsi qu'une ligne de fracture nord/sud pour les artisans-commerçants qu'il relie à des règles d'héritage rural remontant au XIXe siècle (fiche 12) — une explication historique qu'il convient de discuter en cours plutôt que d'admettre telle quelle.</w:t>
      </w:r>
    </w:p>
    <w:p>
      <w:pPr>
        <w:spacing w:after="140"/>
      </w:pPr>
      <w:r>
        <w:t xml:space="preserve">Publiée en 2014, La France périphérique de Christophe Guilluy popularise l'idée d'une France coupée en deux : des métropoles mondialisées d'un côté, une « France périphérique » regroupant environ 60 % de la population de l'autre, reléguée hors des circuits de la mondialisation (fiche 13). Cette thèse a connu un retentissement médiatique considérable, renforcé par son rapprochement a posteriori avec le mouvement des Gilets jaunes à partir de 2018.</w:t>
      </w:r>
    </w:p>
    <w:p>
      <w:pPr>
        <w:spacing w:after="140"/>
      </w:pPr>
      <w:r>
        <w:t xml:space="preserve">Le monde universitaire lui oppose une critique convergente et sévère (fiche 14) : le sociologue Michel Kokoreff lui reproche de comparer des mailles territoriales hétérogènes ; Violaine Girard et Jean Rivière pointent une base empirique jugée faible ; Cécile Gintrac et Sarah Mekdjian dénoncent, dans la revue Espaces et sociétés (2014), une approche « culturaliste et essentialisée » ; l'Observatoire des inégalités a montré dès septembre 2014 que les données INSEE elles-mêmes contredisent en partie la thèse. Le géographe Éric Charmes propose une lecture alternative du périurbain : loin d'être un espace de relégation subie, il relèverait souvent d'une stratégie active de « clubbisation » des classes moyennes cherchant à se protéger de la mixité sociale (fiche 15).</w:t>
      </w:r>
    </w:p>
    <w:p>
      <w:pPr>
        <w:pStyle w:val="Heading3"/>
        <w:spacing w:after="100" w:before="240"/>
      </w:pPr>
      <w:r>
        <w:rPr>
          <w:b/>
          <w:bCs/>
          <w:color w:val="10233E"/>
        </w:rPr>
        <w:t xml:space="preserve">3. Au-delà du binaire métropoles/périphérie : métropolisation contestée et polarisation interne</w:t>
      </w:r>
    </w:p>
    <w:p>
      <w:pPr>
        <w:spacing w:after="140"/>
      </w:pPr>
      <w:r>
        <w:t xml:space="preserve">Le débat sur la métropolisation elle-même reste scientifiquement ouvert. Pierre Veltz défend l'idée d'une « économie d'archipel » où les métropoles, nœuds incontournables de la mondialisation, irriguent indirectement les territoires environnants ; Olivier Bouba-Olga et Michel Grossetti contestent frontalement cette hypothèse de ruissellement, faute de preuve robuste (fiche 16). L'INSEE lui-même reconnaît, dans son rapport de référence de 2021, que la question n'est pas tranchée.</w:t>
      </w:r>
    </w:p>
    <w:p>
      <w:pPr>
        <w:spacing w:after="140"/>
      </w:pPr>
      <w:r>
        <w:t xml:space="preserve">La typologie INSEE en sept familles de territoires (grandes agglomérations à fonctions métropolitaines, zones industrielles, agricoles, touristiques, résidentielles, à économie diversifiée) dépasse la simple opposition urbain/rural : entre 2008 et 2017, l'emploi progresse plus vite dans les zones à fonctions métropolitaines et touristiques que dans la moyenne nationale, tandis qu'il recule fortement dans les zones industrielles du nord-est (fiche 17). Cette lecture fonctionnelle invite à nuancer une géographie binaire centre riche/périphérie pauvre.</w:t>
      </w:r>
    </w:p>
    <w:p>
      <w:pPr>
        <w:spacing w:after="140"/>
      </w:pPr>
      <w:r>
        <w:t xml:space="preserve">Les grandes métropoles elles-mêmes ne forment pas un bloc homogène de gagnants : l'Île-de-France, qui concentre 31 % du PIB national, présente aussi une sur-représentation simultanée des ménages pauvres et des ménages riches, avec une sous-représentation des classes moyennes (fiche 18). Les couronnes périurbaines affichent d'ailleurs un taux de pauvreté systématiquement inférieur à celui des pôles urbains (fiche 28) — un résultat qui nuance directement l'intuition d'une « France périphérique » uniformément paupérisée.</w:t>
      </w:r>
    </w:p>
    <w:p>
      <w:pPr>
        <w:pStyle w:val="ListParagraph"/>
        <w:numPr>
          <w:ilvl w:val="0"/>
          <w:numId w:val="1"/>
        </w:numPr>
        <w:spacing w:after="80"/>
      </w:pPr>
      <w:r>
        <w:t xml:space="preserve">Île-de-France : 31 % du PIB national à elle seule (fiche 18)</w:t>
      </w:r>
    </w:p>
    <w:p>
      <w:pPr>
        <w:pStyle w:val="ListParagraph"/>
        <w:numPr>
          <w:ilvl w:val="0"/>
          <w:numId w:val="1"/>
        </w:numPr>
        <w:spacing w:after="80"/>
      </w:pPr>
      <w:r>
        <w:t xml:space="preserve">Emploi 2008-2017 : +0,8 %/an en zones métropolitaines, +0,6 %/an dans le tourisme, recul net dans les zones industrielles du nord-est (fiche 17)</w:t>
      </w:r>
    </w:p>
    <w:p>
      <w:pPr>
        <w:pStyle w:val="ListParagraph"/>
        <w:numPr>
          <w:ilvl w:val="0"/>
          <w:numId w:val="1"/>
        </w:numPr>
        <w:spacing w:after="80"/>
      </w:pPr>
      <w:r>
        <w:t xml:space="preserve">Taux de pauvreté 2021 par région : de 11,0 % (Pays de la Loire) à 18,1 % (Corse) ; 28,4 % en Seine-Saint-Denis, 77,3 % à Mayotte (fiche 28)</w:t>
      </w:r>
    </w:p>
    <w:p>
      <w:pPr>
        <w:pStyle w:val="Heading3"/>
        <w:spacing w:after="100" w:before="240"/>
      </w:pPr>
      <w:r>
        <w:rPr>
          <w:b/>
          <w:bCs/>
          <w:color w:val="10233E"/>
        </w:rPr>
        <w:t xml:space="preserve">4. Mobilités, déserts médicaux et tissu associatif : une France à plusieurs vitesses dans l'accès aux services</w:t>
      </w:r>
    </w:p>
    <w:p>
      <w:pPr>
        <w:spacing w:after="140"/>
      </w:pPr>
      <w:r>
        <w:t xml:space="preserve">Depuis 2010, le temps quotidien consacré aux déplacements augmente en France de 10 % alors que la vitesse moyenne stagne — une inversion de la dynamique observée entre 1982 et 2008 — et cette contrainte touche inégalement les catégories sociales : le temps de trajet des ouvriers et artisans-commerçants augmente de 13 à 17 %, quand les cadres, mieux connectés aux réseaux de transport, maintiennent ou réduisent le leur (fiche 21). Ce « ralentissement subi » contraste avec le « ralentissement choisi » observé en Île-de-France, où les catégories aisées optent pour la proximité — la lenteur devenant un marqueur de statut plutôt que de contrainte (fiche 22).</w:t>
      </w:r>
    </w:p>
    <w:p>
      <w:pPr>
        <w:spacing w:after="140"/>
      </w:pPr>
      <w:r>
        <w:t xml:space="preserve">L'accès aux soins illustre une fracture territoriale persistante malgré une hausse globale des effectifs médicaux : 6,7 millions de Français n'avaient pas de médecin traitant déclaré en 2023, avec une densité de généralistes très variable d'une région à l'autre (fiche 23). Fait contre-intuitif, la carte de l'accès aux professions de santé ne recoupe pas celle de la surmortalité : l'Île-de-France, région la plus riche, est en déficit relatif de médecins et d'infirmiers de proximité (fiche 25). Un débat de politique sanitaire est relancé en 2026 autour de seuils minimaux d'activité hospitalière, mécanisme technique qui pourrait produire, sans fermeture frontale assumée, des effets territoriaux comparables à ceux d'une fermeture d'hôpital rural (fiche 24).</w:t>
      </w:r>
    </w:p>
    <w:p>
      <w:pPr>
        <w:spacing w:after="140"/>
      </w:pPr>
      <w:r>
        <w:t xml:space="preserve">Le tissu associatif — 1,3 million d'associations, dont 1,1 million sans salarié reposant sur 21 millions de participations bénévoles — joue un rôle souvent sous-estimé d'amortisseur social dans les zones rurales et les villes moyennes délaissées par les services marchands (fiche 27), à l'heure où l'offre culturelle reste, elle, très concentrée en Île-de-France et sur le littoral méditerranéen (fiche 26).</w:t>
      </w:r>
    </w:p>
    <w:p>
      <w:pPr>
        <w:pStyle w:val="ListParagraph"/>
        <w:numPr>
          <w:ilvl w:val="0"/>
          <w:numId w:val="1"/>
        </w:numPr>
        <w:spacing w:after="80"/>
      </w:pPr>
      <w:r>
        <w:t xml:space="preserve">6,7 millions de Français sans médecin traitant déclaré en 2023 (fiche 23)</w:t>
      </w:r>
    </w:p>
    <w:p>
      <w:pPr>
        <w:pStyle w:val="ListParagraph"/>
        <w:numPr>
          <w:ilvl w:val="0"/>
          <w:numId w:val="1"/>
        </w:numPr>
        <w:spacing w:after="80"/>
      </w:pPr>
      <w:r>
        <w:t xml:space="preserve">Hausse du temps de trajet des ouvriers et artisans-commerçants depuis 2010 : +13 à +17 % (fiche 21)</w:t>
      </w:r>
    </w:p>
    <w:p>
      <w:pPr>
        <w:pStyle w:val="ListParagraph"/>
        <w:numPr>
          <w:ilvl w:val="0"/>
          <w:numId w:val="1"/>
        </w:numPr>
        <w:spacing w:after="80"/>
      </w:pPr>
      <w:r>
        <w:t xml:space="preserve">1,3 million d'associations actives, 21 millions de participations bénévoles (fiche 27)</w:t>
      </w:r>
    </w:p>
    <w:p>
      <w:pPr>
        <w:pStyle w:val="ListParagraph"/>
        <w:numPr>
          <w:ilvl w:val="0"/>
          <w:numId w:val="1"/>
        </w:numPr>
        <w:spacing w:after="80"/>
      </w:pPr>
      <w:r>
        <w:t xml:space="preserve">Nombre d'hôpitaux en France : 2 489 (2015) → 2 380 (2023) (fiche 24)</w:t>
      </w:r>
    </w:p>
    <w:p>
      <w:pPr>
        <w:pStyle w:val="Heading3"/>
        <w:spacing w:after="100" w:before="240"/>
      </w:pPr>
      <w:r>
        <w:rPr>
          <w:b/>
          <w:bCs/>
          <w:color w:val="10233E"/>
        </w:rPr>
        <w:t xml:space="preserve">5. Immigration et territoire : ce que disent — et ne disent pas — les chiffres</w:t>
      </w:r>
    </w:p>
    <w:p>
      <w:pPr>
        <w:spacing w:after="140"/>
      </w:pPr>
      <w:r>
        <w:t xml:space="preserve">En 2018, 6,4 millions d'immigrés vivent en France (9,6 % de la population), dont 46 % nés en Afrique et 34 % en Europe — contre 66 % d'origine européenne en 1975, un basculement historique majeur (fiche 29). Les descendants d'immigrés, plus nombreux encore (7,5 millions, 11,2 % de la population), forment une population structurellement jeune : 53 % ont moins de trente ans (fiche 30).</w:t>
      </w:r>
    </w:p>
    <w:p>
      <w:pPr>
        <w:spacing w:after="140"/>
      </w:pPr>
      <w:r>
        <w:t xml:space="preserve">L'actualisation la plus récente des flux migratoires nuance le récit d'une submersion migratoire : les entrées sur le territoire diminuent de 10 % entre 2023 et 2024, et le solde migratoire des personnes nées en France est structurellement négatif et se creuse depuis 1975 — un fait d'émigration française largement absent du débat public centré sur les seules entrées d'immigrés (fiche 31).</w:t>
      </w:r>
    </w:p>
    <w:p>
      <w:pPr>
        <w:spacing w:after="140"/>
      </w:pPr>
      <w:r>
        <w:t xml:space="preserve">Dans l'opinion, l'enquête CEVIPOF documente une évolution contrastée : la compatibilité perçue de l'islam avec les valeurs françaises progresse fortement, de +16 points depuis 2013 — la plus forte évolution des trois religions mesurées — tout en restant minoritaire, à 42 % en 2025 ; dans le même temps, 60 % des personnes interrogées pensent pouvoir trouver de la main-d'œuvre en France sans recourir à l'immigration, une opinion qui contredit les besoins de recrutement documentés dans la santé, l'agriculture ou le BTP (fiche 32).</w:t>
      </w:r>
    </w:p>
    <w:p>
      <w:pPr>
        <w:pStyle w:val="ListParagraph"/>
        <w:numPr>
          <w:ilvl w:val="0"/>
          <w:numId w:val="1"/>
        </w:numPr>
        <w:spacing w:after="80"/>
      </w:pPr>
      <w:r>
        <w:t xml:space="preserve">6,4 millions d'immigrés en France en 2018 (9,6 % de la population) (fiche 29)</w:t>
      </w:r>
    </w:p>
    <w:p>
      <w:pPr>
        <w:pStyle w:val="ListParagraph"/>
        <w:numPr>
          <w:ilvl w:val="0"/>
          <w:numId w:val="1"/>
        </w:numPr>
        <w:spacing w:after="80"/>
      </w:pPr>
      <w:r>
        <w:t xml:space="preserve">7,5 millions de descendants d'immigrés, dont 53 % ont moins de 30 ans (fiche 30)</w:t>
      </w:r>
    </w:p>
    <w:p>
      <w:pPr>
        <w:pStyle w:val="ListParagraph"/>
        <w:numPr>
          <w:ilvl w:val="0"/>
          <w:numId w:val="1"/>
        </w:numPr>
        <w:spacing w:after="80"/>
      </w:pPr>
      <w:r>
        <w:t xml:space="preserve">Entrées sur le territoire en 2024 : 438 000, en baisse de 10 % sur un an (fiche 31)</w:t>
      </w:r>
    </w:p>
    <w:p>
      <w:pPr>
        <w:pStyle w:val="ListParagraph"/>
        <w:numPr>
          <w:ilvl w:val="0"/>
          <w:numId w:val="1"/>
        </w:numPr>
        <w:spacing w:after="80"/>
      </w:pPr>
      <w:r>
        <w:t xml:space="preserve">Compatibilité perçue islam/valeurs françaises : 42 % en 2025 (+16 points depuis 2013) (fiche 32)</w:t>
      </w:r>
    </w:p>
    <w:p>
      <w:pPr>
        <w:pStyle w:val="Heading1"/>
        <w:spacing w:after="200" w:before="120"/>
      </w:pPr>
      <w:r>
        <w:t xml:space="preserve">Bloc 2 (2h) — Génération-économie : qui paie, qui hérite, qui attend ?</w:t>
      </w:r>
    </w:p>
    <w:p>
      <w:pPr>
        <w:spacing w:after="140"/>
      </w:pPr>
      <w:r>
        <w:t xml:space="preserve">Ce bloc part d'un doute méthodologique volontairement assumé — la notion de « génération » a-t-elle un sens scientifique ? — avant de la mettre à l'épreuve des données réelles de pauvreté, de dette publique et de mobilisation sociale, pour montrer que la fracture générationnelle est d'abord un partage inégal de ressources concrètes.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tcW w:type="dxa" w:w="6500"/>
            <w:shd w:fill="10233E" w:color="auto" w:val="clear"/>
            <w:tcMar>
              <w:top w:type="dxa" w:w="80"/>
              <w:left w:type="dxa" w:w="100"/>
              <w:bottom w:type="dxa" w:w="80"/>
              <w:right w:type="dxa" w:w="100"/>
            </w:tcMar>
          </w:tcPr>
          <w:p>
            <w:r>
              <w:rPr>
                <w:b/>
                <w:bCs/>
                <w:color w:val="FFFFFF"/>
                <w:sz w:val="19"/>
                <w:szCs w:val="19"/>
              </w:rPr>
              <w:t xml:space="preserve">Déroulé</w:t>
            </w:r>
          </w:p>
        </w:tc>
        <w:tc>
          <w:tcPr>
            <w:tcW w:type="dxa" w:w="2500"/>
            <w:shd w:fill="10233E" w:color="auto" w:val="clear"/>
            <w:tcMar>
              <w:top w:type="dxa" w:w="80"/>
              <w:left w:type="dxa" w:w="100"/>
              <w:bottom w:type="dxa" w:w="80"/>
              <w:right w:type="dxa" w:w="100"/>
            </w:tcMar>
          </w:tcPr>
          <w:p>
            <w:r>
              <w:rPr>
                <w:b/>
                <w:bCs/>
                <w:color w:val="FFFFFF"/>
                <w:sz w:val="19"/>
                <w:szCs w:val="19"/>
              </w:rPr>
              <w:t xml:space="preserve">Modalité</w:t>
            </w:r>
          </w:p>
        </w:tc>
      </w:tr>
      <w:tr>
        <w:tc>
          <w:tcPr>
            <w:tcW w:type="dxa" w:w="6500"/>
            <w:shd w:fill="FFFFFF" w:color="auto" w:val="clear"/>
            <w:tcMar>
              <w:top w:type="dxa" w:w="80"/>
              <w:left w:type="dxa" w:w="100"/>
              <w:bottom w:type="dxa" w:w="80"/>
              <w:right w:type="dxa" w:w="100"/>
            </w:tcMar>
          </w:tcPr>
          <w:p>
            <w:r>
              <w:rPr>
                <w:sz w:val="18"/>
                <w:szCs w:val="18"/>
              </w:rPr>
              <w:t xml:space="preserve">Retour sur l'activité en ligne : lecture de 2-3 productions d'étudiants (anonymisées), mise en tension des positions sur le territoire comme variable discriminante.</w:t>
            </w:r>
          </w:p>
        </w:tc>
        <w:tc>
          <w:tcPr>
            <w:tcW w:type="dxa" w:w="2500"/>
            <w:shd w:fill="FFFFFF" w:color="auto" w:val="clear"/>
            <w:tcMar>
              <w:top w:type="dxa" w:w="80"/>
              <w:left w:type="dxa" w:w="100"/>
              <w:bottom w:type="dxa" w:w="80"/>
              <w:right w:type="dxa" w:w="100"/>
            </w:tcMar>
          </w:tcPr>
          <w:p>
            <w:r>
              <w:rPr>
                <w:sz w:val="18"/>
                <w:szCs w:val="18"/>
              </w:rPr>
              <w:t xml:space="preserve">Mise en commun</w:t>
            </w:r>
          </w:p>
        </w:tc>
      </w:tr>
      <w:tr>
        <w:tc>
          <w:tcPr>
            <w:tcW w:type="dxa" w:w="6500"/>
            <w:shd w:fill="E8EDF4" w:color="auto" w:val="clear"/>
            <w:tcMar>
              <w:top w:type="dxa" w:w="80"/>
              <w:left w:type="dxa" w:w="100"/>
              <w:bottom w:type="dxa" w:w="80"/>
              <w:right w:type="dxa" w:w="100"/>
            </w:tcMar>
          </w:tcPr>
          <w:p>
            <w:r>
              <w:rPr>
                <w:sz w:val="18"/>
                <w:szCs w:val="18"/>
              </w:rPr>
              <w:t xml:space="preserve">Le débat sur la notion même de génération : David Costanza (« les générations n'existent pas » scientifiquement) contre l'« unité générationnelle » de Karl Mannheim (1928) — voir encadré 1. Bornes marketing (Strauss et Howe) et leur transposition discutable au contexte français (fiches 33-34, 37).</w:t>
            </w:r>
          </w:p>
        </w:tc>
        <w:tc>
          <w:tcPr>
            <w:tcW w:type="dxa" w:w="2500"/>
            <w:shd w:fill="E8EDF4" w:color="auto" w:val="clear"/>
            <w:tcMar>
              <w:top w:type="dxa" w:w="80"/>
              <w:left w:type="dxa" w:w="100"/>
              <w:bottom w:type="dxa" w:w="80"/>
              <w:right w:type="dxa" w:w="100"/>
            </w:tcMar>
          </w:tcPr>
          <w:p>
            <w:r>
              <w:rPr>
                <w:sz w:val="18"/>
                <w:szCs w:val="18"/>
              </w:rPr>
              <w:t xml:space="preserve">Cours magistral + débat encadré</w:t>
            </w:r>
          </w:p>
        </w:tc>
      </w:tr>
      <w:tr>
        <w:tc>
          <w:tcPr>
            <w:tcW w:type="dxa" w:w="6500"/>
            <w:shd w:fill="FFFFFF" w:color="auto" w:val="clear"/>
            <w:tcMar>
              <w:top w:type="dxa" w:w="80"/>
              <w:left w:type="dxa" w:w="100"/>
              <w:bottom w:type="dxa" w:w="80"/>
              <w:right w:type="dxa" w:w="100"/>
            </w:tcMar>
          </w:tcPr>
          <w:p>
            <w:r>
              <w:rPr>
                <w:sz w:val="18"/>
                <w:szCs w:val="18"/>
              </w:rPr>
              <w:t xml:space="preserve">« OK Boomer » et la guerre culturelle intergénérationnelle sur les réseaux sociaux : généalogie du terme, âgisme théorisé par Robert N. Butler (1969), puis confrontation aux données CEVIPOF sur l'optimisme comparé des générations (voir encadré 2, fiches 38).</w:t>
            </w:r>
          </w:p>
        </w:tc>
        <w:tc>
          <w:tcPr>
            <w:tcW w:type="dxa" w:w="2500"/>
            <w:shd w:fill="FFFFFF" w:color="auto" w:val="clear"/>
            <w:tcMar>
              <w:top w:type="dxa" w:w="80"/>
              <w:left w:type="dxa" w:w="100"/>
              <w:bottom w:type="dxa" w:w="80"/>
              <w:right w:type="dxa" w:w="100"/>
            </w:tcMar>
          </w:tcPr>
          <w:p>
            <w:r>
              <w:rPr>
                <w:sz w:val="18"/>
                <w:szCs w:val="18"/>
              </w:rPr>
              <w:t xml:space="preserve">CM + débat encadré</w:t>
            </w:r>
          </w:p>
        </w:tc>
      </w:tr>
      <w:tr>
        <w:tc>
          <w:tcPr>
            <w:tcW w:type="dxa" w:w="6500"/>
            <w:shd w:fill="E8EDF4" w:color="auto" w:val="clear"/>
            <w:tcMar>
              <w:top w:type="dxa" w:w="80"/>
              <w:left w:type="dxa" w:w="100"/>
              <w:bottom w:type="dxa" w:w="80"/>
              <w:right w:type="dxa" w:w="100"/>
            </w:tcMar>
          </w:tcPr>
          <w:p>
            <w:r>
              <w:rPr>
                <w:sz w:val="18"/>
                <w:szCs w:val="18"/>
              </w:rPr>
              <w:t xml:space="preserve">Partie B — La fracture générationnelle par les ressources : pauvreté (15,7 % des 18-29 ans contre 4-5 % des 65 ans et plus), solitude (46 % des moins de 35 ans contre 30 % des plus de 60 ans), et le paradoxe de l'optimisme croissant des jeunes malgré une situation objective plus dure (fiche 39).</w:t>
            </w:r>
          </w:p>
        </w:tc>
        <w:tc>
          <w:tcPr>
            <w:tcW w:type="dxa" w:w="2500"/>
            <w:shd w:fill="E8EDF4" w:color="auto" w:val="clear"/>
            <w:tcMar>
              <w:top w:type="dxa" w:w="80"/>
              <w:left w:type="dxa" w:w="100"/>
              <w:bottom w:type="dxa" w:w="80"/>
              <w:right w:type="dxa" w:w="100"/>
            </w:tcMar>
          </w:tcPr>
          <w:p>
            <w:r>
              <w:rPr>
                <w:sz w:val="18"/>
                <w:szCs w:val="18"/>
              </w:rPr>
              <w:t xml:space="preserve">CM, données commentées</w:t>
            </w:r>
          </w:p>
        </w:tc>
      </w:tr>
      <w:tr>
        <w:tc>
          <w:tcPr>
            <w:tcW w:type="dxa" w:w="6500"/>
            <w:shd w:fill="FFFFFF" w:color="auto" w:val="clear"/>
            <w:tcMar>
              <w:top w:type="dxa" w:w="80"/>
              <w:left w:type="dxa" w:w="100"/>
              <w:bottom w:type="dxa" w:w="80"/>
              <w:right w:type="dxa" w:w="100"/>
            </w:tcMar>
          </w:tcPr>
          <w:p>
            <w:r>
              <w:rPr>
                <w:sz w:val="18"/>
                <w:szCs w:val="18"/>
              </w:rPr>
              <w:t xml:space="preserve">Chômage des jeunes comme fracture structurelle depuis les années 1980 (19,8 % pour les 15-24 ans en 2025) et fracture par le diplôme : les « 20 % surdiplômés » comme catégorie transversale à l'âge (fiches 42-43).</w:t>
            </w:r>
          </w:p>
        </w:tc>
        <w:tc>
          <w:tcPr>
            <w:tcW w:type="dxa" w:w="2500"/>
            <w:shd w:fill="FFFFFF" w:color="auto" w:val="clear"/>
            <w:tcMar>
              <w:top w:type="dxa" w:w="80"/>
              <w:left w:type="dxa" w:w="100"/>
              <w:bottom w:type="dxa" w:w="80"/>
              <w:right w:type="dxa" w:w="100"/>
            </w:tcMar>
          </w:tcPr>
          <w:p>
            <w:r>
              <w:rPr>
                <w:sz w:val="18"/>
                <w:szCs w:val="18"/>
              </w:rPr>
              <w:t xml:space="preserve">CM + discussion</w:t>
            </w:r>
          </w:p>
        </w:tc>
      </w:tr>
      <w:tr>
        <w:tc>
          <w:tcPr>
            <w:tcW w:type="dxa" w:w="6500"/>
            <w:shd w:fill="E8EDF4" w:color="auto" w:val="clear"/>
            <w:tcMar>
              <w:top w:type="dxa" w:w="80"/>
              <w:left w:type="dxa" w:w="100"/>
              <w:bottom w:type="dxa" w:w="80"/>
              <w:right w:type="dxa" w:w="100"/>
            </w:tcMar>
          </w:tcPr>
          <w:p>
            <w:r>
              <w:rPr>
                <w:sz w:val="18"/>
                <w:szCs w:val="18"/>
              </w:rPr>
              <w:t xml:space="preserve">Pause</w:t>
            </w:r>
          </w:p>
        </w:tc>
        <w:tc>
          <w:tcPr>
            <w:tcW w:type="dxa" w:w="2500"/>
            <w:shd w:fill="E8EDF4" w:color="auto" w:val="clear"/>
            <w:tcMar>
              <w:top w:type="dxa" w:w="80"/>
              <w:left w:type="dxa" w:w="100"/>
              <w:bottom w:type="dxa" w:w="80"/>
              <w:right w:type="dxa" w:w="100"/>
            </w:tcMar>
          </w:tcPr>
          <w:p>
            <w:r>
              <w:rPr>
                <w:sz w:val="18"/>
                <w:szCs w:val="18"/>
              </w:rPr>
              <w:t xml:space="preserve">—</w:t>
            </w:r>
          </w:p>
        </w:tc>
      </w:tr>
      <w:tr>
        <w:tc>
          <w:tcPr>
            <w:tcW w:type="dxa" w:w="6500"/>
            <w:shd w:fill="FFFFFF" w:color="auto" w:val="clear"/>
            <w:tcMar>
              <w:top w:type="dxa" w:w="80"/>
              <w:left w:type="dxa" w:w="100"/>
              <w:bottom w:type="dxa" w:w="80"/>
              <w:right w:type="dxa" w:w="100"/>
            </w:tcMar>
          </w:tcPr>
          <w:p>
            <w:r>
              <w:rPr>
                <w:sz w:val="18"/>
                <w:szCs w:val="18"/>
              </w:rPr>
              <w:t xml:space="preserve">Partie C — La dette et le budget 2026 comme ligne de fracture : 115,6 % du PIB fin 2025, traitement budgétaire asymétrique entre retraités (revalorisation des pensions, suspension partielle de la réforme des retraites) et étudiants (gel des bourses, coupes dans le service civique) (fiches 44-46).</w:t>
            </w:r>
          </w:p>
        </w:tc>
        <w:tc>
          <w:tcPr>
            <w:tcW w:type="dxa" w:w="2500"/>
            <w:shd w:fill="FFFFFF" w:color="auto" w:val="clear"/>
            <w:tcMar>
              <w:top w:type="dxa" w:w="80"/>
              <w:left w:type="dxa" w:w="100"/>
              <w:bottom w:type="dxa" w:w="80"/>
              <w:right w:type="dxa" w:w="100"/>
            </w:tcMar>
          </w:tcPr>
          <w:p>
            <w:r>
              <w:rPr>
                <w:sz w:val="18"/>
                <w:szCs w:val="18"/>
              </w:rPr>
              <w:t xml:space="preserve">CM, actualité commentée</w:t>
            </w:r>
          </w:p>
        </w:tc>
      </w:tr>
      <w:tr>
        <w:tc>
          <w:tcPr>
            <w:tcW w:type="dxa" w:w="6500"/>
            <w:shd w:fill="E8EDF4" w:color="auto" w:val="clear"/>
            <w:tcMar>
              <w:top w:type="dxa" w:w="80"/>
              <w:left w:type="dxa" w:w="100"/>
              <w:bottom w:type="dxa" w:w="80"/>
              <w:right w:type="dxa" w:w="100"/>
            </w:tcMar>
          </w:tcPr>
          <w:p>
            <w:r>
              <w:rPr>
                <w:sz w:val="18"/>
                <w:szCs w:val="18"/>
              </w:rPr>
              <w:t xml:space="preserve">Débat encadré : François de Closets et la « génération prédatrice » face à la critique de l'IREF, mis en regard du sondage Elabe sur le « confort des boomers » — voir encadré 3 (fiche 47).</w:t>
            </w:r>
          </w:p>
        </w:tc>
        <w:tc>
          <w:tcPr>
            <w:tcW w:type="dxa" w:w="2500"/>
            <w:shd w:fill="E8EDF4" w:color="auto" w:val="clear"/>
            <w:tcMar>
              <w:top w:type="dxa" w:w="80"/>
              <w:left w:type="dxa" w:w="100"/>
              <w:bottom w:type="dxa" w:w="80"/>
              <w:right w:type="dxa" w:w="100"/>
            </w:tcMar>
          </w:tcPr>
          <w:p>
            <w:r>
              <w:rPr>
                <w:sz w:val="18"/>
                <w:szCs w:val="18"/>
              </w:rPr>
              <w:t xml:space="preserve">Débat encadré</w:t>
            </w:r>
          </w:p>
        </w:tc>
      </w:tr>
      <w:tr>
        <w:tc>
          <w:tcPr>
            <w:tcW w:type="dxa" w:w="6500"/>
            <w:shd w:fill="FFFFFF" w:color="auto" w:val="clear"/>
            <w:tcMar>
              <w:top w:type="dxa" w:w="80"/>
              <w:left w:type="dxa" w:w="100"/>
              <w:bottom w:type="dxa" w:w="80"/>
              <w:right w:type="dxa" w:w="100"/>
            </w:tcMar>
          </w:tcPr>
          <w:p>
            <w:r>
              <w:rPr>
                <w:sz w:val="18"/>
                <w:szCs w:val="18"/>
              </w:rPr>
              <w:t xml:space="preserve">Le mouvement « Bloquons tout » (mai-décembre 2025) : origines sur TikTok, journée du 10 septembre (200 000-300 000 participants), grève intersyndicale du 18 septembre (500 000 à 1 million) — un mouvement qui agrège lycéens, actifs et « assemblées rurales » plutôt qu'un seul âge (fiches 48-49).</w:t>
            </w:r>
          </w:p>
        </w:tc>
        <w:tc>
          <w:tcPr>
            <w:tcW w:type="dxa" w:w="2500"/>
            <w:shd w:fill="FFFFFF" w:color="auto" w:val="clear"/>
            <w:tcMar>
              <w:top w:type="dxa" w:w="80"/>
              <w:left w:type="dxa" w:w="100"/>
              <w:bottom w:type="dxa" w:w="80"/>
              <w:right w:type="dxa" w:w="100"/>
            </w:tcMar>
          </w:tcPr>
          <w:p>
            <w:r>
              <w:rPr>
                <w:sz w:val="18"/>
                <w:szCs w:val="18"/>
              </w:rPr>
              <w:t xml:space="preserve">CM + étude de document</w:t>
            </w:r>
          </w:p>
        </w:tc>
      </w:tr>
      <w:tr>
        <w:tc>
          <w:tcPr>
            <w:tcW w:type="dxa" w:w="6500"/>
            <w:shd w:fill="E8EDF4" w:color="auto" w:val="clear"/>
            <w:tcMar>
              <w:top w:type="dxa" w:w="80"/>
              <w:left w:type="dxa" w:w="100"/>
              <w:bottom w:type="dxa" w:w="80"/>
              <w:right w:type="dxa" w:w="100"/>
            </w:tcMar>
          </w:tcPr>
          <w:p>
            <w:r>
              <w:rPr>
                <w:sz w:val="18"/>
                <w:szCs w:val="18"/>
              </w:rPr>
              <w:t xml:space="preserve">Partie D condensée — Jeunesse (corps, écrans, consommation, éco-anxiété) et enfants comme cibles marketing, puis Partie E — Vieillesse : travail, représentations publicitaires, silver economy et comparaison avec la réforme japonaise des retraites (fiches 50-69).</w:t>
            </w:r>
          </w:p>
        </w:tc>
        <w:tc>
          <w:tcPr>
            <w:tcW w:type="dxa" w:w="2500"/>
            <w:shd w:fill="E8EDF4" w:color="auto" w:val="clear"/>
            <w:tcMar>
              <w:top w:type="dxa" w:w="80"/>
              <w:left w:type="dxa" w:w="100"/>
              <w:bottom w:type="dxa" w:w="80"/>
              <w:right w:type="dxa" w:w="100"/>
            </w:tcMar>
          </w:tcPr>
          <w:p>
            <w:r>
              <w:rPr>
                <w:sz w:val="18"/>
                <w:szCs w:val="18"/>
              </w:rPr>
              <w:t xml:space="preserve">CM, données commentées</w:t>
            </w:r>
          </w:p>
        </w:tc>
      </w:tr>
      <w:tr>
        <w:tc>
          <w:tcPr>
            <w:tcW w:type="dxa" w:w="6500"/>
            <w:shd w:fill="FFFFFF" w:color="auto" w:val="clear"/>
            <w:tcMar>
              <w:top w:type="dxa" w:w="80"/>
              <w:left w:type="dxa" w:w="100"/>
              <w:bottom w:type="dxa" w:w="80"/>
              <w:right w:type="dxa" w:w="100"/>
            </w:tcMar>
          </w:tcPr>
          <w:p>
            <w:r>
              <w:rPr>
                <w:sz w:val="18"/>
                <w:szCs w:val="18"/>
              </w:rPr>
              <w:t xml:space="preserve">Synthèse de la séquence 1 (territoire, génération, argent) et transition vers la séquence 2 (de l'espace et de l'âge vers la société et les croyances).</w:t>
            </w:r>
          </w:p>
        </w:tc>
        <w:tc>
          <w:tcPr>
            <w:tcW w:type="dxa" w:w="2500"/>
            <w:shd w:fill="FFFFFF" w:color="auto" w:val="clear"/>
            <w:tcMar>
              <w:top w:type="dxa" w:w="80"/>
              <w:left w:type="dxa" w:w="100"/>
              <w:bottom w:type="dxa" w:w="80"/>
              <w:right w:type="dxa" w:w="100"/>
            </w:tcMar>
          </w:tcPr>
          <w:p>
            <w:r>
              <w:rPr>
                <w:sz w:val="18"/>
                <w:szCs w:val="18"/>
              </w:rPr>
              <w:t xml:space="preserve">Cours magistral</w:t>
            </w:r>
          </w:p>
        </w:tc>
      </w:tr>
    </w:tbl>
    <w:p>
      <w:pPr>
        <w:spacing w:after="120"/>
      </w:pPr>
    </w:p>
    <w:tbl>
      <w:tblPr>
        <w:tblW w:type="pct" w:w="100%"/>
        <w:tblBorders>
          <w:top w:val="single" w:color="10233E" w:sz="4"/>
          <w:left w:val="single" w:color="10233E" w:sz="4"/>
          <w:bottom w:val="single" w:color="10233E" w:sz="4"/>
          <w:right w:val="single" w:color="10233E" w:sz="4"/>
          <w:insideH w:val="none" w:color="FFFFFF" w:sz="0"/>
          <w:insideV w:val="none" w:color="FFFFFF" w:sz="0"/>
        </w:tblBorders>
      </w:tblPr>
      <w:tblGrid>
        <w:gridCol w:w="100"/>
      </w:tblGrid>
      <w:tr>
        <w:tc>
          <w:tcPr>
            <w:shd w:fill="E8EDF4" w:color="auto" w:val="clear"/>
            <w:tcMar>
              <w:top w:type="dxa" w:w="150"/>
              <w:left w:type="dxa" w:w="200"/>
              <w:bottom w:type="dxa" w:w="150"/>
              <w:right w:type="dxa" w:w="200"/>
            </w:tcMar>
          </w:tcPr>
          <w:p>
            <w:pPr>
              <w:spacing w:after="100"/>
            </w:pPr>
            <w:r>
              <w:rPr>
                <w:b/>
                <w:bCs/>
                <w:color w:val="10233E"/>
                <w:sz w:val="18"/>
                <w:szCs w:val="18"/>
              </w:rPr>
              <w:t xml:space="preserve">ENCADRÉ 1 — « Les générations n'existent pas » : la science contre le marketing ?</w:t>
            </w:r>
          </w:p>
          <w:p>
            <w:pPr>
              <w:spacing w:after="80"/>
            </w:pPr>
            <w:r>
              <w:rPr>
                <w:sz w:val="20"/>
                <w:szCs w:val="20"/>
              </w:rPr>
              <w:t xml:space="preserve">Le psychologue David Costanza soutient, méta-analyses à l'appui, que rien ne prouve que les changements de comportement suivent des lignes de fracture par cohortes de naissance plutôt que par effets d'âge ou de période : la variance à l'intérieur d'une génération dépasse presque toujours la variance entre générations.</w:t>
            </w:r>
          </w:p>
          <w:p>
            <w:pPr>
              <w:spacing w:after="80"/>
            </w:pPr>
            <w:r>
              <w:rPr>
                <w:sz w:val="20"/>
                <w:szCs w:val="20"/>
              </w:rPr>
              <w:t xml:space="preserve">Le sociologue Karl Mannheim (1928) distingue pourtant la cohorte démographique de l'« unité générationnelle » : la conscience de vivre un même événement historique fondateur peut produire une identité collective réelle, sans pour autant homogénéiser tous les membres du groupe — l'historien Jean-François Sirinelli parle ainsi de « pluralité des générations 68 ».</w:t>
            </w:r>
          </w:p>
          <w:p>
            <w:pPr>
              <w:spacing w:after="80"/>
            </w:pPr>
            <w:r>
              <w:rPr>
                <w:sz w:val="20"/>
                <w:szCs w:val="20"/>
              </w:rPr>
              <w:t xml:space="preserve">Le débat public, les médias et certaines politiques publiques continuent d'utiliser la catégorie « génération » comme grille de lecture commode, au risque, souligné par les deux camps, d'écraser des inégalités plus structurantes comme la classe sociale, le diplôme ou le genre.</w:t>
            </w:r>
          </w:p>
          <w:p>
            <w:pPr>
              <w:spacing w:after="80"/>
            </w:pPr>
            <w:r>
              <w:rPr>
                <w:sz w:val="20"/>
                <w:szCs w:val="20"/>
              </w:rPr>
              <w:t xml:space="preserve">Consigne de débat : demander aux étudiants si la catégorie « génération » leur semble scientifiquement fondée ou seulement socialement utile malgré l'absence de fondement statistique rigoureux — et à quelles conditions elle pourrait être l'une et l'autre à la fois.</w:t>
            </w:r>
          </w:p>
        </w:tc>
      </w:tr>
    </w:tbl>
    <w:p>
      <w:pPr>
        <w:spacing w:after="120"/>
      </w:pPr>
    </w:p>
    <w:p>
      <w:pPr>
        <w:spacing w:after="120"/>
      </w:pPr>
    </w:p>
    <w:tbl>
      <w:tblPr>
        <w:tblW w:type="pct" w:w="100%"/>
        <w:tblBorders>
          <w:top w:val="single" w:color="10233E" w:sz="4"/>
          <w:left w:val="single" w:color="10233E" w:sz="4"/>
          <w:bottom w:val="single" w:color="10233E" w:sz="4"/>
          <w:right w:val="single" w:color="10233E" w:sz="4"/>
          <w:insideH w:val="none" w:color="FFFFFF" w:sz="0"/>
          <w:insideV w:val="none" w:color="FFFFFF" w:sz="0"/>
        </w:tblBorders>
      </w:tblPr>
      <w:tblGrid>
        <w:gridCol w:w="100"/>
      </w:tblGrid>
      <w:tr>
        <w:tc>
          <w:tcPr>
            <w:shd w:fill="E8EDF4" w:color="auto" w:val="clear"/>
            <w:tcMar>
              <w:top w:type="dxa" w:w="150"/>
              <w:left w:type="dxa" w:w="200"/>
              <w:bottom w:type="dxa" w:w="150"/>
              <w:right w:type="dxa" w:w="200"/>
            </w:tcMar>
          </w:tcPr>
          <w:p>
            <w:pPr>
              <w:spacing w:after="100"/>
            </w:pPr>
            <w:r>
              <w:rPr>
                <w:b/>
                <w:bCs/>
                <w:color w:val="10233E"/>
                <w:sz w:val="18"/>
                <w:szCs w:val="18"/>
              </w:rPr>
              <w:t xml:space="preserve">ENCADRÉ 2 — « OK Boomer » : critique légitime de l'âgisme ou raccourci générationnel ?</w:t>
            </w:r>
          </w:p>
          <w:p>
            <w:pPr>
              <w:spacing w:after="80"/>
            </w:pPr>
            <w:r>
              <w:rPr>
                <w:sz w:val="20"/>
                <w:szCs w:val="20"/>
              </w:rPr>
              <w:t xml:space="preserve">Popularisée fin 2019 par de jeunes militants écologistes pour disqualifier la parole de générations jugées sourdes aux enjeux climatiques, l'expression « OK Boomer » s'inscrit dans la continuité de la critique de l'âgisme théorisée dès 1969 par le gérontologue américain Robert N. Butler.</w:t>
            </w:r>
          </w:p>
          <w:p>
            <w:pPr>
              <w:spacing w:after="80"/>
            </w:pPr>
            <w:r>
              <w:rPr>
                <w:sz w:val="20"/>
                <w:szCs w:val="20"/>
              </w:rPr>
              <w:t xml:space="preserve">Elle a cependant été critiquée comme un raccourci disqualifiant a priori toute une classe d'âge, sans distinction de position sociale ou politique individuelle.</w:t>
            </w:r>
          </w:p>
          <w:p>
            <w:pPr>
              <w:spacing w:after="80"/>
            </w:pPr>
            <w:r>
              <w:rPr>
                <w:sz w:val="20"/>
                <w:szCs w:val="20"/>
              </w:rPr>
              <w:t xml:space="preserve">Les données CEVIPOF nuancent d'ailleurs frontalement le stéréotype du « boomer réactionnaire » : sur plusieurs indicateurs de valeurs (attachement au progrès, référence aux « valeurs du passé »), les plus de 60 ans se révèlent statistiquement plus optimistes que les moins de 35 ans, et le déterminant le plus structurant du pessimisme social reste la classe sociale plutôt que l'âge — 82 % de défiance extrême envers autrui chez les ouvriers et employés, contre 66 % chez les cadres.</w:t>
            </w:r>
          </w:p>
          <w:p>
            <w:pPr>
              <w:spacing w:after="80"/>
            </w:pPr>
            <w:r>
              <w:rPr>
                <w:sz w:val="20"/>
                <w:szCs w:val="20"/>
              </w:rPr>
              <w:t xml:space="preserve">Consigne de débat : demander aux étudiants pourquoi le stéréotype du « vieux ronchon nostalgique » persiste dans le débat public alors que les données disponibles pointent en sens inverse — et ce que cela révèle sur la fonction sociale, plus que descriptive, de formules comme « OK Boomer ».</w:t>
            </w:r>
          </w:p>
        </w:tc>
      </w:tr>
    </w:tbl>
    <w:p>
      <w:pPr>
        <w:spacing w:after="120"/>
      </w:pPr>
    </w:p>
    <w:p>
      <w:pPr>
        <w:spacing w:after="120"/>
      </w:pPr>
    </w:p>
    <w:tbl>
      <w:tblPr>
        <w:tblW w:type="pct" w:w="100%"/>
        <w:tblBorders>
          <w:top w:val="single" w:color="10233E" w:sz="4"/>
          <w:left w:val="single" w:color="10233E" w:sz="4"/>
          <w:bottom w:val="single" w:color="10233E" w:sz="4"/>
          <w:right w:val="single" w:color="10233E" w:sz="4"/>
          <w:insideH w:val="none" w:color="FFFFFF" w:sz="0"/>
          <w:insideV w:val="none" w:color="FFFFFF" w:sz="0"/>
        </w:tblBorders>
      </w:tblPr>
      <w:tblGrid>
        <w:gridCol w:w="100"/>
      </w:tblGrid>
      <w:tr>
        <w:tc>
          <w:tcPr>
            <w:shd w:fill="E8EDF4" w:color="auto" w:val="clear"/>
            <w:tcMar>
              <w:top w:type="dxa" w:w="150"/>
              <w:left w:type="dxa" w:w="200"/>
              <w:bottom w:type="dxa" w:w="150"/>
              <w:right w:type="dxa" w:w="200"/>
            </w:tcMar>
          </w:tcPr>
          <w:p>
            <w:pPr>
              <w:spacing w:after="100"/>
            </w:pPr>
            <w:r>
              <w:rPr>
                <w:b/>
                <w:bCs/>
                <w:color w:val="10233E"/>
                <w:sz w:val="18"/>
                <w:szCs w:val="18"/>
              </w:rPr>
              <w:t xml:space="preserve">ENCADRÉ 3 — « Génération prédatrice » : une responsabilité collective peut-elle peser sur une cohorte de naissance ?</w:t>
            </w:r>
          </w:p>
          <w:p>
            <w:pPr>
              <w:spacing w:after="80"/>
            </w:pPr>
            <w:r>
              <w:rPr>
                <w:sz w:val="20"/>
                <w:szCs w:val="20"/>
              </w:rPr>
              <w:t xml:space="preserve">En 2020, l'essayiste François de Closets accuse la génération née autour de 1950 d'avoir capté les fruits de la croissance des Trente Glorieuses — retraite à 60 ans, niveau de vie élevé — tout en léguant à ses descendants une dette publique massive.</w:t>
            </w:r>
          </w:p>
          <w:p>
            <w:pPr>
              <w:spacing w:after="80"/>
            </w:pPr>
            <w:r>
              <w:rPr>
                <w:sz w:val="20"/>
                <w:szCs w:val="20"/>
              </w:rPr>
              <w:t xml:space="preserve">L'institut libéral IREF a publiquement contesté cette lecture, estimant que les décisions politiques sont prises par des gouvernements, non par une génération agissant comme un bloc homogène, et que les inégalités internes à chaque génération, entre cadres et ouvriers notamment, restent plus déterminantes que l'appartenance à une classe d'âge.</w:t>
            </w:r>
          </w:p>
          <w:p>
            <w:pPr>
              <w:spacing w:after="80"/>
            </w:pPr>
            <w:r>
              <w:rPr>
                <w:sz w:val="20"/>
                <w:szCs w:val="20"/>
              </w:rPr>
              <w:t xml:space="preserve">Un sondage Elabe pour Les Echos (septembre 2025) illustre la porosité réelle de ce débat dans l'opinion : si 70 % des Français désapprouvent globalement la formule de François Bayrou sur le « confort des boomers », 63 % des 18-24 ans et 55 % des 25-34 ans lui donnent au contraire raison — signe d'un écart net selon l'âge du répondant, sans que cela efface la contestation majoritaire de la formule dans l'ensemble de la population.</w:t>
            </w:r>
          </w:p>
          <w:p>
            <w:pPr>
              <w:spacing w:after="80"/>
            </w:pPr>
            <w:r>
              <w:rPr>
                <w:sz w:val="20"/>
                <w:szCs w:val="20"/>
              </w:rPr>
              <w:t xml:space="preserve">Consigne de débat : demander aux étudiants si l'on peut légitimement juger une génération entière responsable de choix politiques passés (retraite à 60 ans, niveau de la dette), ou si ce raisonnement collectif masque des inégalités internes à chaque cohorte plus déterminantes que l'âge.</w:t>
            </w:r>
          </w:p>
        </w:tc>
      </w:tr>
    </w:tbl>
    <w:p>
      <w:pPr>
        <w:spacing w:after="120"/>
      </w:pPr>
    </w:p>
    <w:p>
      <w:pPr>
        <w:pStyle w:val="Heading3"/>
        <w:spacing w:after="100" w:before="240"/>
      </w:pPr>
      <w:r>
        <w:rPr>
          <w:b/>
          <w:bCs/>
          <w:color w:val="10233E"/>
        </w:rPr>
        <w:t xml:space="preserve">1. Le débat sur la notion même de génération : cohorte statistique ou construction sociale ?</w:t>
      </w:r>
    </w:p>
    <w:p>
      <w:pPr>
        <w:spacing w:after="140"/>
      </w:pPr>
      <w:r>
        <w:t xml:space="preserve">Le psychologue David Costanza soutient, méta-analyses à l'appui, que rien ne prouve que les changements de comportement suivent des lignes de fracture par cohortes de naissance plutôt que par effets d'âge ou de période : la variance à l'intérieur d'une génération dépasse presque toujours la variance entre générations, et les bornes chronologiques varient de neuf ans selon les études (fiche 33). Il illustre ce constat par le narcissisme supposé des millennials, une hausse statistique modeste (+1,8 point sur une échelle de 40) revenue depuis à son niveau des années 1980, érigée en fait de société.</w:t>
      </w:r>
    </w:p>
    <w:p>
      <w:pPr>
        <w:spacing w:after="140"/>
      </w:pPr>
      <w:r>
        <w:t xml:space="preserve">Le sociologue allemand Karl Mannheim (1928) propose une lecture différente : au-delà de la cohorte démographique, il théorise l'« unité générationnelle », la conscience de vivre un même événement historique fondateur — Mai 68, le Covid (fiche 34). L'historien Jean-François Sirinelli nuance toutefois cette lecture en évoquant la « pluralité des générations 68 » : seuls 12,25 % des Français avaient le baccalauréat en 1966, la jeunesse étudiante mobilisée n'étant que la partie émergée d'un ensemble bien plus large.</w:t>
      </w:r>
    </w:p>
    <w:p>
      <w:pPr>
        <w:spacing w:after="140"/>
      </w:pPr>
      <w:r>
        <w:t xml:space="preserve">Les bornes « marketing » des générations (Boomers, X, Y, Z) proviennent en réalité des historiens américains Strauss et Howe et ont été reprises telles quelles dans le débat français, sans réel ancrage dans l'histoire sociale nationale — Trente Glorieuses, Mai 68, crise de 1973-1975 (fiche 37). L'expression « OK Boomer », popularisée fin 2019 par de jeunes militants écologistes, s'inscrit dans la continuité de la critique de l'âgisme théorisée dès 1969 par le gérontologue Robert N. Butler (fiche 38).</w:t>
      </w:r>
    </w:p>
    <w:p>
      <w:pPr>
        <w:pStyle w:val="ListParagraph"/>
        <w:numPr>
          <w:ilvl w:val="0"/>
          <w:numId w:val="1"/>
        </w:numPr>
        <w:spacing w:after="80"/>
      </w:pPr>
      <w:r>
        <w:t xml:space="preserve">Écart entre chercheurs sur les bornes d'une même génération : jusqu'à 9 ans (fiche 33)</w:t>
      </w:r>
    </w:p>
    <w:p>
      <w:pPr>
        <w:pStyle w:val="ListParagraph"/>
        <w:numPr>
          <w:ilvl w:val="0"/>
          <w:numId w:val="1"/>
        </w:numPr>
        <w:spacing w:after="80"/>
      </w:pPr>
      <w:r>
        <w:t xml:space="preserve">Seuls 12,25 % des Français avaient le baccalauréat en 1966 (fiche 34)</w:t>
      </w:r>
    </w:p>
    <w:p>
      <w:pPr>
        <w:pStyle w:val="ListParagraph"/>
        <w:numPr>
          <w:ilvl w:val="0"/>
          <w:numId w:val="1"/>
        </w:numPr>
        <w:spacing w:after="80"/>
      </w:pPr>
      <w:r>
        <w:t xml:space="preserve">Bornes usuelles : Boomers 1945-1965, X 1965-1980, Y ~1980-1996, Z depuis ~1997 (fiche 37)</w:t>
      </w:r>
    </w:p>
    <w:p>
      <w:pPr>
        <w:pStyle w:val="Heading3"/>
        <w:spacing w:after="100" w:before="240"/>
      </w:pPr>
      <w:r>
        <w:rPr>
          <w:b/>
          <w:bCs/>
          <w:color w:val="10233E"/>
        </w:rPr>
        <w:t xml:space="preserve">2. La fracture générationnelle par les ressources : pauvreté, solitude, chômage, diplôme</w:t>
      </w:r>
    </w:p>
    <w:p>
      <w:pPr>
        <w:spacing w:after="140"/>
      </w:pPr>
      <w:r>
        <w:t xml:space="preserve">La note du CEVIPOF signée par Anne Muxel objective un écart massif de ressources entre générations : 15,7 % des 18-29 ans vivent sous le seuil de pauvreté contre seulement 4 à 5 % des 65 ans et plus, et 46 % des moins de 35 ans se déclarent seuls en 2024 contre 30 % des plus de 60 ans (fiche 39). Le chômage des jeunes actifs, structurellement élevé depuis les années 1980 (5,3 % en 1975, 19,5 % en 2018), atteint 19,8 % pour les 15-24 ans en 2025, soit plus de cinq fois le taux des 50-64 ans (fiche 43).</w:t>
      </w:r>
    </w:p>
    <w:p>
      <w:pPr>
        <w:spacing w:after="140"/>
      </w:pPr>
      <w:r>
        <w:t xml:space="preserve">Paradoxe documenté par la même note : malgré cette situation objectivement plus difficile, l'optimisme personnel des jeunes progresse — 35 % en 2015 contre 46 % en 2024 jugent l'avenir de la France « plein d'opportunités » — tandis que celui des seniors recule fortement, de 49 % à 37 %, sur la même période (fiche 39) — une évolution qui interroge la lecture spontanée d'une jeunesse uniformément découragée.</w:t>
      </w:r>
    </w:p>
    <w:p>
      <w:pPr>
        <w:spacing w:after="140"/>
      </w:pPr>
      <w:r>
        <w:t xml:space="preserve">Une autre ligne de fracture, orthogonale à l'âge, traverse la jeunesse elle-même : les 20 % de la population ayant fait au moins cinq ans d'études après le bac forment une catégorie socialement homogène et largement déconnectée du reste de la société, y compris de la partie non diplômée de leur propre génération (fiche 42) — ce qui invite à ne jamais lire la fracture générationnelle indépendamment de la fracture par le diplôme.</w:t>
      </w:r>
    </w:p>
    <w:p>
      <w:pPr>
        <w:pStyle w:val="ListParagraph"/>
        <w:numPr>
          <w:ilvl w:val="0"/>
          <w:numId w:val="1"/>
        </w:numPr>
        <w:spacing w:after="80"/>
      </w:pPr>
      <w:r>
        <w:t xml:space="preserve">Pauvreté : 15,7 % des 18-29 ans, contre 4-5 % des 65 ans et plus (fiche 39)</w:t>
      </w:r>
    </w:p>
    <w:p>
      <w:pPr>
        <w:pStyle w:val="ListParagraph"/>
        <w:numPr>
          <w:ilvl w:val="0"/>
          <w:numId w:val="1"/>
        </w:numPr>
        <w:spacing w:after="80"/>
      </w:pPr>
      <w:r>
        <w:t xml:space="preserve">Chômage des 15-24 ans en 2025 : 19,8 %, plus de 5 fois le taux des 50-64 ans (3,7 %) (fiche 43)</w:t>
      </w:r>
    </w:p>
    <w:p>
      <w:pPr>
        <w:pStyle w:val="ListParagraph"/>
        <w:numPr>
          <w:ilvl w:val="0"/>
          <w:numId w:val="1"/>
        </w:numPr>
        <w:spacing w:after="80"/>
      </w:pPr>
      <w:r>
        <w:t xml:space="preserve">Optimisme sur l'avenir de la France (2015→2024) : jeunes +11 points, seniors -12 points (fiche 39)</w:t>
      </w:r>
    </w:p>
    <w:p>
      <w:pPr>
        <w:pStyle w:val="ListParagraph"/>
        <w:numPr>
          <w:ilvl w:val="0"/>
          <w:numId w:val="1"/>
        </w:numPr>
        <w:spacing w:after="80"/>
      </w:pPr>
      <w:r>
        <w:t xml:space="preserve">20 % de la population a fait au moins 5 ans d'études après le bac (fiche 42)</w:t>
      </w:r>
    </w:p>
    <w:p>
      <w:pPr>
        <w:pStyle w:val="Heading3"/>
        <w:spacing w:after="100" w:before="240"/>
      </w:pPr>
      <w:r>
        <w:rPr>
          <w:b/>
          <w:bCs/>
          <w:color w:val="10233E"/>
        </w:rPr>
        <w:t xml:space="preserve">3. La dette, le budget 2026 et « Bloquons tout » : une nouvelle ligne de fracture générationnelle ?</w:t>
      </w:r>
    </w:p>
    <w:p>
      <w:pPr>
        <w:spacing w:after="140"/>
      </w:pPr>
      <w:r>
        <w:t xml:space="preserve">Fin 2025, la dette publique française atteint 115,6 % du PIB pour un déficit de 5,1 % du PIB (fiche 44), une trajectoire qui alimente directement le discours sur le poids que les générations âgées feraient porter aux plus jeunes. Le budget 2026 illustre cependant un traitement asymétrique documenté fiche par fiche : les pensions de retraite sont revalorisées de 0,9 % et la réforme des retraites de 2023 est suspendue pour les générations nées entre 1964 et 1968 (fiche 45), tandis que les mesures visant les étudiants — gel des bourses, suppression de l'APL pour certains étudiants internationaux, réduction de 20 % du budget du service civique — sont présentées par les organisations étudiantes comme une « année blanche » (fiche 46).</w:t>
      </w:r>
    </w:p>
    <w:p>
      <w:pPr>
        <w:spacing w:after="140"/>
      </w:pPr>
      <w:r>
        <w:t xml:space="preserve">Ce contexte budgétaire constitue la toile de fond directe du mouvement « Bloquons tout », né en ligne dès mai 2025 sur TikTok à l'initiative d'un petit collectif se présentant comme apolitique (fiche 48). La journée du 10 septembre 2025 mobilise entre 200 000 et 300 000 participants ; la grève intersyndicale du 18 septembre, plus large encore, rassemble entre 500 000 et 1 million de participants (fiche 49). Le mouvement agrège lycéens, salariés syndiqués de tous âges et « assemblées rurales », ce qui interdit de le réduire à un conflit générationnel binaire.</w:t>
      </w:r>
    </w:p>
    <w:p>
      <w:pPr>
        <w:spacing w:after="140"/>
      </w:pPr>
      <w:r>
        <w:t xml:space="preserve">Le raccourci du « poids de la dette légué aux jeunes générations », souvent illustré par un montant calculé « par habitant », repose sur une image comptable simplifiée : l'État finance sa dette par l'impôt, la croissance et le refinancement sur les marchés, non par une répartition individuelle — un point de méthode à faire travailler aux étudiants avant tout usage de ce type de chiffre en dissertation.</w:t>
      </w:r>
    </w:p>
    <w:p>
      <w:pPr>
        <w:pStyle w:val="ListParagraph"/>
        <w:numPr>
          <w:ilvl w:val="0"/>
          <w:numId w:val="1"/>
        </w:numPr>
        <w:spacing w:after="80"/>
      </w:pPr>
      <w:r>
        <w:t xml:space="preserve">Dette publique fin 2025 : 115,6 % du PIB ; déficit 2025 : 5,1 % du PIB (fiche 44)</w:t>
      </w:r>
    </w:p>
    <w:p>
      <w:pPr>
        <w:pStyle w:val="ListParagraph"/>
        <w:numPr>
          <w:ilvl w:val="0"/>
          <w:numId w:val="1"/>
        </w:numPr>
        <w:spacing w:after="80"/>
      </w:pPr>
      <w:r>
        <w:t xml:space="preserve">Revalorisation des pensions au 1er janvier 2026 : +0,9 % (fiche 45)</w:t>
      </w:r>
    </w:p>
    <w:p>
      <w:pPr>
        <w:pStyle w:val="ListParagraph"/>
        <w:numPr>
          <w:ilvl w:val="0"/>
          <w:numId w:val="1"/>
        </w:numPr>
        <w:spacing w:after="80"/>
      </w:pPr>
      <w:r>
        <w:t xml:space="preserve">Service civique : 150 000 missions financées en 2025 → 110 000 en 2026 (fiche 46)</w:t>
      </w:r>
    </w:p>
    <w:p>
      <w:pPr>
        <w:pStyle w:val="ListParagraph"/>
        <w:numPr>
          <w:ilvl w:val="0"/>
          <w:numId w:val="1"/>
        </w:numPr>
        <w:spacing w:after="80"/>
      </w:pPr>
      <w:r>
        <w:t xml:space="preserve">Participants au 10 septembre 2025 : 200 000 à 300 000 ; grève du 18 septembre : 500 000 à 1 million (fiches 48-49)</w:t>
      </w:r>
    </w:p>
    <w:p>
      <w:pPr>
        <w:pStyle w:val="Heading3"/>
        <w:spacing w:after="100" w:before="240"/>
      </w:pPr>
      <w:r>
        <w:rPr>
          <w:b/>
          <w:bCs/>
          <w:color w:val="10233E"/>
        </w:rPr>
        <w:t xml:space="preserve">4. Jeunesse : un corps surveillé, sous-consommateur de substances, cible du marketing</w:t>
      </w:r>
    </w:p>
    <w:p>
      <w:pPr>
        <w:spacing w:after="140"/>
      </w:pPr>
      <w:r>
        <w:t xml:space="preserve">Contrairement au stéréotype d'une jeunesse hyper-consommatrice de substances, les enquêtes ESPAD et OFDT documentent un recul massif et continu : le tabagisme quotidien à 16 ans passe de 16 % en 2015 à 3,1 % en 2024, l'expérimentation du cannabis de 31 % à 8,4 % sur la même période (fiche 50). Le mythe du « digital native » naturellement compétent avec le numérique est lui aussi contredit par les données : la fracture d'usage numérique reste avant tout une fracture de classe sociale, avec 72 % des internautes de milieu ouvrier orientés vers le seul divertissement contre 36 % chez les cadres supérieurs (fiche 55).</w:t>
      </w:r>
    </w:p>
    <w:p>
      <w:pPr>
        <w:spacing w:after="140"/>
      </w:pPr>
      <w:r>
        <w:t xml:space="preserve">Le marketing vise les enfants dès le plus jeune âge : un enfant français aurait vu environ 100 000 spots publicitaires avant ses 12 ans (fiche 61), et le « pouvoir d'embêter » (pester power) permet des stratégies de fidélisation précoce à la marque, susceptible de s'installer dès l'âge de deux ans (fiche 60). L'essor des enfants-influenceurs sur les réseaux sociaux révèle un vide juridique documenté par le dossier : la loi française encadrant le travail des enfants du spectacle peine à s'appliquer à l'économie de l'attention numérique (fiche 63).</w:t>
      </w:r>
    </w:p>
    <w:p>
      <w:pPr>
        <w:spacing w:after="140"/>
      </w:pPr>
      <w:r>
        <w:t xml:space="preserve">L'éco-anxiété et la mobilisation climatique illustrent enfin une jeunesse loin d'être homogène : l'enquête menée lors des marches pour le climat de 2018-2019 distingue trois profils de mobilisation aux origines sociales très différenciées, 72 % des jeunes manifestants ayant au moins un parent cadre ou profession intellectuelle supérieure — ce qui invite à lire la « fracture climatique générationnelle » comme une fracture de classe interne à la jeunesse plutôt que comme un trait générationnel univoque (fiche 58).</w:t>
      </w:r>
    </w:p>
    <w:p>
      <w:pPr>
        <w:pStyle w:val="ListParagraph"/>
        <w:numPr>
          <w:ilvl w:val="0"/>
          <w:numId w:val="1"/>
        </w:numPr>
        <w:spacing w:after="80"/>
      </w:pPr>
      <w:r>
        <w:t xml:space="preserve">Tabagisme quotidien à 16 ans : 16 % (2015) → 3,1 % (2024) (fiche 50)</w:t>
      </w:r>
    </w:p>
    <w:p>
      <w:pPr>
        <w:pStyle w:val="ListParagraph"/>
        <w:numPr>
          <w:ilvl w:val="0"/>
          <w:numId w:val="1"/>
        </w:numPr>
        <w:spacing w:after="80"/>
      </w:pPr>
      <w:r>
        <w:t xml:space="preserve">Objectif de divertissement en ligne : 72 % en milieu ouvrier contre 36 % chez les cadres supérieurs (fiche 55)</w:t>
      </w:r>
    </w:p>
    <w:p>
      <w:pPr>
        <w:pStyle w:val="ListParagraph"/>
        <w:numPr>
          <w:ilvl w:val="0"/>
          <w:numId w:val="1"/>
        </w:numPr>
        <w:spacing w:after="80"/>
      </w:pPr>
      <w:r>
        <w:t xml:space="preserve">~100 000 spots publicitaires vus avant 12 ans en France (fiche 61)</w:t>
      </w:r>
    </w:p>
    <w:p>
      <w:pPr>
        <w:pStyle w:val="ListParagraph"/>
        <w:numPr>
          <w:ilvl w:val="0"/>
          <w:numId w:val="1"/>
        </w:numPr>
        <w:spacing w:after="80"/>
      </w:pPr>
      <w:r>
        <w:t xml:space="preserve">72 % des jeunes manifestants pour le climat (2018-2019) ont un parent cadre ou profession intellectuelle supérieure (fiche 58)</w:t>
      </w:r>
    </w:p>
    <w:p>
      <w:pPr>
        <w:pStyle w:val="Heading3"/>
        <w:spacing w:after="100" w:before="240"/>
      </w:pPr>
      <w:r>
        <w:rPr>
          <w:b/>
          <w:bCs/>
          <w:color w:val="10233E"/>
        </w:rPr>
        <w:t xml:space="preserve">5. Vieillesse : travail, représentations et poids économique</w:t>
      </w:r>
    </w:p>
    <w:p>
      <w:pPr>
        <w:spacing w:after="140"/>
      </w:pPr>
      <w:r>
        <w:t xml:space="preserve">Le vieillissement démographique transforme le regard porté sur les seniors sur au moins deux plans documentés dans le dossier. D'une part, la « silver economy » — habitat adapté, santé connectée, services à la personne — représente un marché estimé à environ 30 milliards d'euros en France, en tension entre pénurie de places en établissement et fragilité financière du secteur (fiche 68). D'autre part, malgré un poids économique réel — les plus de 60 ans représentaient 26,2 % de la population française en 2019, avec un pouvoir d'achat souvent supérieur à celui des générations précédentes —, les seniors restent largement sous-représentés dans la publicité, par crainte des marques de « vieillir » leur image (fiche 65).</w:t>
      </w:r>
    </w:p>
    <w:p>
      <w:pPr>
        <w:spacing w:after="140"/>
      </w:pPr>
      <w:r>
        <w:t xml:space="preserve">La comparaison internationale éclaire les choix français : le Japon relève progressivement l'âge de la retraite des fonctionnaires de 60 à 65 ans entre 2022 et 2030, mais assortit cette mesure d'un retrait des seniors des postes de direction et d'une réduction de salaire au-delà de 61 ans — un compromis intergénérationnel plus explicite que le débat français, centré presque exclusivement sur l'âge de départ (fiche 69).</w:t>
      </w:r>
    </w:p>
    <w:p>
      <w:pPr>
        <w:spacing w:after="140"/>
      </w:pPr>
      <w:r>
        <w:t xml:space="preserve">La tribune de François de Closets sur la « génération prédatrice du toujours plus » (2020) rappelle enfin que la fracture générationnelle peut aussi diviser les seniors entre eux : elle est écrite par un homme né dans les années 1930 visant une génération née autour de 1950, ce qui interdit de traiter « les vieux », comme « les jeunes », comme un bloc homogène (fiche 47).</w:t>
      </w:r>
    </w:p>
    <w:p>
      <w:pPr>
        <w:pStyle w:val="ListParagraph"/>
        <w:numPr>
          <w:ilvl w:val="0"/>
          <w:numId w:val="1"/>
        </w:numPr>
        <w:spacing w:after="80"/>
      </w:pPr>
      <w:r>
        <w:t xml:space="preserve">Plus de 60 ans : 26,2 % de la population française en 2019 (fiche 65)</w:t>
      </w:r>
    </w:p>
    <w:p>
      <w:pPr>
        <w:pStyle w:val="ListParagraph"/>
        <w:numPr>
          <w:ilvl w:val="0"/>
          <w:numId w:val="1"/>
        </w:numPr>
        <w:spacing w:after="80"/>
      </w:pPr>
      <w:r>
        <w:t xml:space="preserve">Marché du « grand âge » en France : environ 30 milliards d'euros (fiche 68)</w:t>
      </w:r>
    </w:p>
    <w:p>
      <w:pPr>
        <w:pStyle w:val="ListParagraph"/>
        <w:numPr>
          <w:ilvl w:val="0"/>
          <w:numId w:val="1"/>
        </w:numPr>
        <w:spacing w:after="80"/>
      </w:pPr>
      <w:r>
        <w:t xml:space="preserve">Japon : âge de la retraite des fonctionnaires relevé de 60 à 65 ans (2022-2030), salaire réduit à 70 % au-delà de 61 ans (fiche 69)</w:t>
      </w:r>
    </w:p>
    <w:p>
      <w:pPr>
        <w:pStyle w:val="Heading1"/>
        <w:spacing w:after="200" w:before="120"/>
      </w:pPr>
      <w:r>
        <w:t xml:space="preserve">Activité en ligne (1h) — MOOC yapluka-edu.fr</w:t>
      </w:r>
    </w:p>
    <w:p>
      <w:pPr>
        <w:pStyle w:val="Heading3"/>
        <w:spacing w:after="100" w:before="240"/>
      </w:pPr>
      <w:r>
        <w:rPr>
          <w:b/>
          <w:bCs/>
          <w:color w:val="10233E"/>
        </w:rPr>
        <w:t xml:space="preserve">Partie 1 (20 min) — Quiz auto-corrigé (10 questions)</w:t>
      </w:r>
    </w:p>
    <w:p>
      <w:pPr>
        <w:spacing w:after="140"/>
      </w:pPr>
      <w:r>
        <w:t xml:space="preserve">Porte sur les données du bloc 1 (rupture démographique 2025, cartographie sociale Le Bras/Guilluy, déserts médicaux, immigration et territoire). Voir la page MOOC pour les questions et les corrections commentées.</w:t>
      </w:r>
    </w:p>
    <w:p>
      <w:pPr>
        <w:pStyle w:val="Heading3"/>
        <w:spacing w:after="100" w:before="240"/>
      </w:pPr>
      <w:r>
        <w:rPr>
          <w:b/>
          <w:bCs/>
          <w:color w:val="10233E"/>
        </w:rPr>
        <w:t xml:space="preserve">Partie 2 (40 min) — Étude de cas notée (production courte, 200-250 mots)</w:t>
      </w:r>
    </w:p>
    <w:p>
      <w:pPr>
        <w:spacing w:after="140"/>
      </w:pPr>
      <w:r>
        <w:t xml:space="preserve">Corpus fourni : deux cartes (soldes migratoires internes par EPCI 2018-2023 ; densité de médecins généralistes par département), un extrait commenté de l'article « Des mobilités quotidiennes à deux vitesses », le tableau de la typologie INSEE en sept familles de territoires, et le tableau des résultats du second tour des municipales de mars 2026 par taille de commune.</w:t>
      </w:r>
    </w:p>
    <w:p>
      <w:pPr>
        <w:spacing w:after="140"/>
      </w:pPr>
      <w:r>
        <w:t xml:space="preserve">Consigne : « En vous appuyant sur au moins trois éléments chiffrés du corpus, vous répondrez à la question suivante : le territoire est-il devenu, en France, une variable aussi discriminante que la classe sociale ? » Réponse individuelle déposée sur le MOOC, relecture par les pairs (grille à 3 critères : usage des données / nuance de l'argumentation / prise en compte d'au moins une controverse académique du dossier), validation enseignant avant le bloc 2.</w:t>
      </w:r>
    </w:p>
    <w:p>
      <w:pPr>
        <w:pStyle w:val="Heading1"/>
        <w:spacing w:after="200" w:before="120"/>
      </w:pPr>
      <w:r>
        <w:t xml:space="preserve">Évaluation formative</w:t>
      </w:r>
    </w:p>
    <w:p>
      <w:pPr>
        <w:pStyle w:val="ListParagraph"/>
        <w:numPr>
          <w:ilvl w:val="0"/>
          <w:numId w:val="1"/>
        </w:numPr>
        <w:spacing w:after="80"/>
      </w:pPr>
      <w:r>
        <w:t xml:space="preserve">Grille d'auto-évaluation en fin de MOOC (4 items : je sais expliquer le solde naturel négatif de 2025 et le resituer dans une tendance longue ; je sais citer deux critiques universitaires adressées à la thèse Guilluy ; je sais donner un ordre de grandeur de l'écart de pauvreté générationnel ; je sais expliquer pourquoi le concept de « génération » fait débat sur le plan scientifique).</w:t>
      </w:r>
    </w:p>
    <w:p>
      <w:pPr>
        <w:pStyle w:val="ListParagraph"/>
        <w:numPr>
          <w:ilvl w:val="0"/>
          <w:numId w:val="1"/>
        </w:numPr>
        <w:spacing w:after="80"/>
      </w:pPr>
      <w:r>
        <w:t xml:space="preserve">Une question de la séquence 1 sera reprise dans l'évaluation finale du cours sous forme de dissertation courte ou de commentaire de document statistique.</w:t>
      </w:r>
    </w:p>
    <w:p>
      <w:pPr>
        <w:pStyle w:val="ListParagraph"/>
        <w:numPr>
          <w:ilvl w:val="0"/>
          <w:numId w:val="1"/>
        </w:numPr>
        <w:spacing w:after="80"/>
      </w:pPr>
      <w:r>
        <w:t xml:space="preserve">En vue de la séquence 2, chaque étudiant dépose sur le MOOC une question de recherche personnelle (une phrase) articulant territoire, génération et argent, à partir d'au moins une donnée précise du dossier documentaire — reprise en ouverture de la séquence 2.</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Fractures françaises — Séquence 1 — Déroulé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2026-09-01T07:32:51.690Z</dcterms:created>
  <dcterms:modified xsi:type="dcterms:W3CDTF">2026-09-01T07:32:51.703Z</dcterms:modified>
</cp:coreProperties>
</file>

<file path=docProps/custom.xml><?xml version="1.0" encoding="utf-8"?>
<Properties xmlns="http://schemas.openxmlformats.org/officeDocument/2006/custom-properties" xmlns:vt="http://schemas.openxmlformats.org/officeDocument/2006/docPropsVTypes"/>
</file>