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5A1A3A" w:color="auto" w:val="clear"/>
        <w:spacing w:after="60"/>
        <w:jc w:val="left"/>
      </w:pPr>
      <w:r>
        <w:rPr>
          <w:b/>
          <w:bCs/>
          <w:color w:val="FFFFFF"/>
          <w:sz w:val="18"/>
          <w:szCs w:val="18"/>
        </w:rPr>
        <w:t xml:space="preserve">FRACTURES FRANÇAISES — MOOC yapluka-edu.fr</w:t>
      </w:r>
    </w:p>
    <w:p>
      <w:pPr>
        <w:spacing w:after="200"/>
      </w:pPr>
    </w:p>
    <w:p>
      <w:pPr>
        <w:spacing w:after="100"/>
      </w:pPr>
      <w:r>
        <w:rPr>
          <w:b/>
          <w:bCs/>
          <w:color w:val="5A1A3A"/>
          <w:sz w:val="44"/>
          <w:szCs w:val="44"/>
        </w:rPr>
        <w:t xml:space="preserve">Séquence 2</w:t>
      </w:r>
    </w:p>
    <w:p>
      <w:pPr>
        <w:spacing w:after="300"/>
      </w:pPr>
      <w:r>
        <w:rPr>
          <w:i/>
          <w:iCs/>
          <w:color w:val="444444"/>
          <w:sz w:val="26"/>
          <w:szCs w:val="26"/>
        </w:rPr>
        <w:t xml:space="preserve">Société et valeurs : ce qui tient encore ensemble</w:t>
      </w:r>
    </w:p>
    <w:p>
      <w:pPr>
        <w:spacing w:after="140"/>
      </w:pPr>
      <w:r>
        <w:rPr>
          <w:b/>
          <w:bCs/>
          <w:sz w:val="20"/>
          <w:szCs w:val="20"/>
        </w:rPr>
        <w:t xml:space="preserve">Déroulé pédagogique — document enseignant</w:t>
      </w:r>
    </w:p>
    <w:p>
      <w:pPr>
        <w:spacing w:after="140"/>
      </w:pPr>
      <w:r>
        <w:rPr>
          <w:sz w:val="20"/>
          <w:szCs w:val="20"/>
        </w:rPr>
        <w:t xml:space="preserve">Public : Licence 1/2, filières généralistes (droit, AES, LEA)</w:t>
      </w:r>
    </w:p>
    <w:p>
      <w:pPr>
        <w:spacing w:after="140"/>
      </w:pPr>
      <w:r>
        <w:rPr>
          <w:sz w:val="20"/>
          <w:szCs w:val="20"/>
        </w:rPr>
        <w:t xml:space="preserve">Durée totale : 5h (2h CM + 1h activité en ligne + 2h CM)</w:t>
      </w:r>
    </w:p>
    <w:p>
      <w:pPr>
        <w:spacing w:after="140"/>
      </w:pPr>
      <w:r>
        <w:rPr>
          <w:sz w:val="20"/>
          <w:szCs w:val="20"/>
        </w:rPr>
        <w:t xml:space="preserve">Support en ligne : MOOC yapluka-edu.fr</w:t>
      </w:r>
    </w:p>
    <w:p>
      <w:pPr>
        <w:spacing w:after="200"/>
      </w:pPr>
    </w:p>
    <w:p>
      <w:pPr>
        <w:spacing w:after="140"/>
      </w:pPr>
      <w:r>
        <w:rPr>
          <w:b/>
          <w:bCs/>
          <w:sz w:val="20"/>
          <w:szCs w:val="20"/>
        </w:rPr>
        <w:t xml:space="preserve">Fil rouge : </w:t>
      </w:r>
      <w:r>
        <w:rPr>
          <w:sz w:val="20"/>
          <w:szCs w:val="20"/>
        </w:rPr>
        <w:t xml:space="preserve">Après avoir situé les fractures dans l'espace et dans l'âge (séquence 1), on descend au niveau des structures sociales concrètes (classe, famille, croyance, réseaux) puis on remonte au niveau des valeurs et du rapport au politique, pour aboutir à une cartographie d'ensemble actualisée jusqu'aux municipales de mars 2026 et au vote du budget 2026. Chaque bloc articule un déroulé de cours magistral dense, une matière narrative approfondie mobilisable directement en amphi (parties) et plusieurs encadrés de thèse discutée destinés à faire vivre le débat contradictoire. Prérequis : avoir suivi la séquence 1 (les chiffres de pauvreté générationnelle et la carte de Le Bras sont réutilisés).</w:t>
      </w:r>
    </w:p>
    <w:p>
      <w:r>
        <w:br w:type="page"/>
      </w:r>
    </w:p>
    <w:p>
      <w:pPr>
        <w:pStyle w:val="Heading1"/>
        <w:spacing w:after="200" w:before="120"/>
      </w:pPr>
      <w:r>
        <w:t xml:space="preserve">Objectifs pédagogiques</w:t>
      </w:r>
    </w:p>
    <w:p>
      <w:pPr>
        <w:spacing w:after="140"/>
      </w:pPr>
      <w:r>
        <w:t xml:space="preserve">À l'issue de la séquence, l'étudiant est capable de :</w:t>
      </w:r>
    </w:p>
    <w:p>
      <w:pPr>
        <w:pStyle w:val="ListParagraph"/>
        <w:numPr>
          <w:ilvl w:val="0"/>
          <w:numId w:val="1"/>
        </w:numPr>
        <w:spacing w:after="80"/>
      </w:pPr>
      <w:r>
        <w:t xml:space="preserve">Distinguer les recompositions de la structure sociale française (classes, déclassement) des recompositions de ses structures intimes (famille, croyance religieuse).</w:t>
      </w:r>
    </w:p>
    <w:p>
      <w:pPr>
        <w:pStyle w:val="ListParagraph"/>
        <w:numPr>
          <w:ilvl w:val="0"/>
          <w:numId w:val="1"/>
        </w:numPr>
        <w:spacing w:after="80"/>
      </w:pPr>
      <w:r>
        <w:t xml:space="preserve">Restituer l'ethnographie de Benoît Coquard sur les jeunesses populaires des campagnes en déclin (Ceux qui restent, 2019) et la grille Anywhere/Somewhere de David Goodhart, pour comprendre la dimension affective, matérielle (la maison, le territoire) et relationnelle de l'ancrage local — au-delà des seuls indicateurs macroéconomiques et cartographiques vus en séquence 1.</w:t>
      </w:r>
    </w:p>
    <w:p>
      <w:pPr>
        <w:pStyle w:val="ListParagraph"/>
        <w:numPr>
          <w:ilvl w:val="0"/>
          <w:numId w:val="1"/>
        </w:numPr>
        <w:spacing w:after="80"/>
      </w:pPr>
      <w:r>
        <w:t xml:space="preserve">Expliquer pourquoi l'usage des réseaux sociaux numériques reproduit et amplifie les clivages sociaux plutôt qu'il ne les efface, et pourquoi il ne recoupe pas mécaniquement le clivage partisan gauche-droite.</w:t>
      </w:r>
    </w:p>
    <w:p>
      <w:pPr>
        <w:pStyle w:val="ListParagraph"/>
        <w:numPr>
          <w:ilvl w:val="0"/>
          <w:numId w:val="1"/>
        </w:numPr>
        <w:spacing w:after="80"/>
      </w:pPr>
      <w:r>
        <w:t xml:space="preserve">Restituer la typologie CEVIPOF à quatre familles politiques (étatiste/libéral × national/ouvert) et expliquer en quoi elle dépasse le seul clivage gauche-droite.</w:t>
      </w:r>
    </w:p>
    <w:p>
      <w:pPr>
        <w:pStyle w:val="ListParagraph"/>
        <w:numPr>
          <w:ilvl w:val="0"/>
          <w:numId w:val="1"/>
        </w:numPr>
        <w:spacing w:after="80"/>
      </w:pPr>
      <w:r>
        <w:t xml:space="preserve">Relier le vote pour le Rassemblement national à un indicateur de vulnérabilité sociale (l'échec social subjectif) plutôt qu'à la seule variable territoriale ou générationnelle vue en séquence 1.</w:t>
      </w:r>
    </w:p>
    <w:p>
      <w:pPr>
        <w:pStyle w:val="ListParagraph"/>
        <w:numPr>
          <w:ilvl w:val="0"/>
          <w:numId w:val="1"/>
        </w:numPr>
        <w:spacing w:after="80"/>
      </w:pPr>
      <w:r>
        <w:t xml:space="preserve">Discuter la thèse de la « déconsolidation démocratique » (Foa, Mounk) à la lumière de ses critiques académiques (Wuttke, Gavras, Schoen) et des données françaises les plus récentes.</w:t>
      </w:r>
    </w:p>
    <w:p>
      <w:pPr>
        <w:pStyle w:val="ListParagraph"/>
        <w:numPr>
          <w:ilvl w:val="0"/>
          <w:numId w:val="1"/>
        </w:numPr>
        <w:spacing w:after="80"/>
      </w:pPr>
      <w:r>
        <w:t xml:space="preserve">Analyser un fait politique d'actualité (municipales de mars 2026, budget 2026) comme test empirique des dynamiques mesurées par les enquêtes Fractures françaises.</w:t>
      </w:r>
    </w:p>
    <w:p>
      <w:pPr>
        <w:pStyle w:val="ListParagraph"/>
        <w:numPr>
          <w:ilvl w:val="0"/>
          <w:numId w:val="1"/>
        </w:numPr>
        <w:spacing w:after="80"/>
      </w:pPr>
      <w:r>
        <w:t xml:space="preserve">Construire une cartographie de synthèse croisant les quatre axes du cours (territoire, génération, société, valeurs).</w:t>
      </w:r>
    </w:p>
    <w:p>
      <w:pPr>
        <w:pStyle w:val="Heading1"/>
        <w:spacing w:after="200" w:before="120"/>
      </w:pPr>
      <w:r>
        <w:t xml:space="preserve">Sources mobilisées</w:t>
      </w:r>
    </w:p>
    <w:p>
      <w:pPr>
        <w:spacing w:after="140"/>
      </w:pPr>
      <w:r>
        <w:t xml:space="preserve">Le détail (chiffres, citations exactes, questions de préparation) figure dans le dossier documentaire associé à cette séquence.</w:t>
      </w:r>
    </w:p>
    <w:p>
      <w:pPr>
        <w:pStyle w:val="ListParagraph"/>
        <w:numPr>
          <w:ilvl w:val="0"/>
          <w:numId w:val="1"/>
        </w:numPr>
        <w:spacing w:after="60"/>
      </w:pPr>
      <w:r>
        <w:t xml:space="preserve">Observatoire des inégalités / Centre d'observation de la société, « Comment évoluent les catégories sociales en France ? », mis à jour le 17 mai 2023.</w:t>
      </w:r>
    </w:p>
    <w:p>
      <w:pPr>
        <w:pStyle w:val="ListParagraph"/>
        <w:numPr>
          <w:ilvl w:val="0"/>
          <w:numId w:val="1"/>
        </w:numPr>
        <w:spacing w:after="60"/>
      </w:pPr>
      <w:r>
        <w:t xml:space="preserve">Louis Maurin, « Une société de classement », Observatoire des inégalités / Alternatives économiques, hors-série n°89, 2011.</w:t>
      </w:r>
    </w:p>
    <w:p>
      <w:pPr>
        <w:pStyle w:val="ListParagraph"/>
        <w:numPr>
          <w:ilvl w:val="0"/>
          <w:numId w:val="1"/>
        </w:numPr>
        <w:spacing w:after="60"/>
      </w:pPr>
      <w:r>
        <w:t xml:space="preserve">Telos-eu.com, « L'insondable pessimisme français », 2019 (Insee, Portrait social de la France) ; Odoxa et Ipsos, baromètres Fractures françaises 2025-2026 sur le moral économique et le déclinisme.</w:t>
      </w:r>
    </w:p>
    <w:p>
      <w:pPr>
        <w:pStyle w:val="ListParagraph"/>
        <w:numPr>
          <w:ilvl w:val="0"/>
          <w:numId w:val="1"/>
        </w:numPr>
        <w:spacing w:after="60"/>
      </w:pPr>
      <w:r>
        <w:t xml:space="preserve">Benoît Coquard, Ceux qui restent. Faire sa vie dans les campagnes en déclin, La Découverte, coll. « L'envers des faits », 2019.</w:t>
      </w:r>
    </w:p>
    <w:p>
      <w:pPr>
        <w:pStyle w:val="ListParagraph"/>
        <w:numPr>
          <w:ilvl w:val="0"/>
          <w:numId w:val="1"/>
        </w:numPr>
        <w:spacing w:after="60"/>
      </w:pPr>
      <w:r>
        <w:t xml:space="preserve">Jean-Noël Retière, « Autour de l'autochtonie. Réflexions sur la notion de capital social populaire », Politix, n°63, 2003 ; Benoît Coquard, entretien, lebimsa.fr, « Je me suis intéressé à ceux qui restent ».</w:t>
      </w:r>
    </w:p>
    <w:p>
      <w:pPr>
        <w:pStyle w:val="ListParagraph"/>
        <w:numPr>
          <w:ilvl w:val="0"/>
          <w:numId w:val="1"/>
        </w:numPr>
        <w:spacing w:after="60"/>
      </w:pPr>
      <w:r>
        <w:t xml:space="preserve">Violaine Girard, Le Vote FN au village. Trajectoires de ménages populaires du périurbain, Le Croquant, 2017 ; Hervé Le Bras, « La France inégale », The Conversation France.</w:t>
      </w:r>
    </w:p>
    <w:p>
      <w:pPr>
        <w:pStyle w:val="ListParagraph"/>
        <w:numPr>
          <w:ilvl w:val="0"/>
          <w:numId w:val="1"/>
        </w:numPr>
        <w:spacing w:after="60"/>
      </w:pPr>
      <w:r>
        <w:t xml:space="preserve">David Goodhart, The Road to Somewhere: The Populist Revolt and the Future of Politics, Hurst, 2017 (trad. fr. Les Deux Clans : la nouvelle fracture mondiale, Les Arènes, 2020).</w:t>
      </w:r>
    </w:p>
    <w:p>
      <w:pPr>
        <w:pStyle w:val="ListParagraph"/>
        <w:numPr>
          <w:ilvl w:val="0"/>
          <w:numId w:val="1"/>
        </w:numPr>
        <w:spacing w:after="60"/>
      </w:pPr>
      <w:r>
        <w:t xml:space="preserve">IFOP pour la Fondation Foncière du Cinéma (FFC), Baromètre des Français et leur logement, sur les préférences pour la maison individuelle et le jardin.</w:t>
      </w:r>
    </w:p>
    <w:p>
      <w:pPr>
        <w:pStyle w:val="ListParagraph"/>
        <w:numPr>
          <w:ilvl w:val="0"/>
          <w:numId w:val="1"/>
        </w:numPr>
        <w:spacing w:after="60"/>
      </w:pPr>
      <w:r>
        <w:t xml:space="preserve">Jérôme Sainte-Marie, Bloc contre bloc, Éditions du Cerf, 2019/2022.</w:t>
      </w:r>
    </w:p>
    <w:p>
      <w:pPr>
        <w:pStyle w:val="ListParagraph"/>
        <w:numPr>
          <w:ilvl w:val="0"/>
          <w:numId w:val="1"/>
        </w:numPr>
        <w:spacing w:after="60"/>
      </w:pPr>
      <w:r>
        <w:t xml:space="preserve">François de Singly, entretien « Les nouveaux modèles familiaux tentent de bousculer les imaginaires », L'ADN.</w:t>
      </w:r>
    </w:p>
    <w:p>
      <w:pPr>
        <w:pStyle w:val="ListParagraph"/>
        <w:numPr>
          <w:ilvl w:val="0"/>
          <w:numId w:val="1"/>
        </w:numPr>
        <w:spacing w:after="60"/>
      </w:pPr>
      <w:r>
        <w:t xml:space="preserve">INSEE, Trois enfants sur dix vivent avec un seul de leurs parents, Insee Première n°2032, janvier 2025.</w:t>
      </w:r>
    </w:p>
    <w:p>
      <w:pPr>
        <w:pStyle w:val="ListParagraph"/>
        <w:numPr>
          <w:ilvl w:val="0"/>
          <w:numId w:val="1"/>
        </w:numPr>
        <w:spacing w:after="60"/>
      </w:pPr>
      <w:r>
        <w:t xml:space="preserve">« En graphiques : quelle identité religieuse pour la France ? », The Conversation France (European Values Study / ISSP).</w:t>
      </w:r>
    </w:p>
    <w:p>
      <w:pPr>
        <w:pStyle w:val="ListParagraph"/>
        <w:numPr>
          <w:ilvl w:val="0"/>
          <w:numId w:val="1"/>
        </w:numPr>
        <w:spacing w:after="60"/>
      </w:pPr>
      <w:r>
        <w:t xml:space="preserve">« La laïcité à l'anglaise : autre pays, autres mœurs ? », The Conversation France, 2023.</w:t>
      </w:r>
    </w:p>
    <w:p>
      <w:pPr>
        <w:pStyle w:val="ListParagraph"/>
        <w:numPr>
          <w:ilvl w:val="0"/>
          <w:numId w:val="1"/>
        </w:numPr>
        <w:spacing w:after="60"/>
      </w:pPr>
      <w:r>
        <w:t xml:space="preserve">« Influenceurs d'extrême droite : le moteur caché du succès du RN », The Conversation France, 2024.</w:t>
      </w:r>
    </w:p>
    <w:p>
      <w:pPr>
        <w:pStyle w:val="ListParagraph"/>
        <w:numPr>
          <w:ilvl w:val="0"/>
          <w:numId w:val="1"/>
        </w:numPr>
        <w:spacing w:after="60"/>
      </w:pPr>
      <w:r>
        <w:t xml:space="preserve">Kevin Arceneaux, Anne Muxel, « Fractures françaises : un espace politique bien plus divers que le clivage gauche-droite », Le Monde, octobre 2025.</w:t>
      </w:r>
    </w:p>
    <w:p>
      <w:pPr>
        <w:pStyle w:val="ListParagraph"/>
        <w:numPr>
          <w:ilvl w:val="0"/>
          <w:numId w:val="1"/>
        </w:numPr>
        <w:spacing w:after="60"/>
      </w:pPr>
      <w:r>
        <w:t xml:space="preserve">Luc Rouban, Notes de recherche du CEVIPOF — Collection Fractures françaises, « L'implantation du RN dans la société française… » et « L'échec social subjectif ou la fracture invisible », 2025.</w:t>
      </w:r>
    </w:p>
    <w:p>
      <w:pPr>
        <w:pStyle w:val="ListParagraph"/>
        <w:numPr>
          <w:ilvl w:val="0"/>
          <w:numId w:val="1"/>
        </w:numPr>
        <w:spacing w:after="60"/>
      </w:pPr>
      <w:r>
        <w:t xml:space="preserve">Anne Muxel, « La génération est-elle encore un marqueur des fractures politiques françaises ? », Note de recherche du CEVIPOF n°2, octobre 2025.</w:t>
      </w:r>
    </w:p>
    <w:p>
      <w:pPr>
        <w:pStyle w:val="ListParagraph"/>
        <w:numPr>
          <w:ilvl w:val="0"/>
          <w:numId w:val="1"/>
        </w:numPr>
        <w:spacing w:after="60"/>
      </w:pPr>
      <w:r>
        <w:t xml:space="preserve">Flora Chanvril, Luc Rouban, « Les réseaux sociaux ne font pas la politique », Note de recherche du CEVIPOF n°8, novembre 2025.</w:t>
      </w:r>
    </w:p>
    <w:p>
      <w:pPr>
        <w:pStyle w:val="ListParagraph"/>
        <w:numPr>
          <w:ilvl w:val="0"/>
          <w:numId w:val="1"/>
        </w:numPr>
        <w:spacing w:after="60"/>
      </w:pPr>
      <w:r>
        <w:t xml:space="preserve">Roberto Stefan Foa, Yascha Mounk, « The Signs of Deconsolidation », Journal of Democracy, 2017 ; Alexander Wuttke, Christian Gavras, Harald Schoen, « Have Europeans Grown Tired of Democracy? », British Journal of Political Science, 2020.</w:t>
      </w:r>
    </w:p>
    <w:p>
      <w:pPr>
        <w:pStyle w:val="ListParagraph"/>
        <w:numPr>
          <w:ilvl w:val="0"/>
          <w:numId w:val="1"/>
        </w:numPr>
        <w:spacing w:after="60"/>
      </w:pPr>
      <w:r>
        <w:t xml:space="preserve">CEVIPOF, Baromètre de la confiance politique, vague 17, février 2026 ; Vert, résultats des élections municipales de mars 2026.</w:t>
      </w:r>
    </w:p>
    <w:p>
      <w:pPr>
        <w:pStyle w:val="Heading1"/>
        <w:spacing w:after="200" w:before="120"/>
      </w:pPr>
      <w:r>
        <w:t xml:space="preserve">Bloc 1 (2h) — Approche sociologique : classes, familles, croyances, écrans</w:t>
      </w:r>
    </w:p>
    <w:p>
      <w:pPr>
        <w:spacing w:after="140"/>
      </w:pPr>
      <w:r>
        <w:t xml:space="preserve">Ce premier bloc descend au niveau des structures sociales concrètes — classe, famille, croyance, réseaux — pour comprendre comment se recomposent, sous la surface des grands indicateurs macroéconomiques, les appartenances qui structurent le quotidien des Français. La matière ci-dessous (rows minutées, parties narratives, encadrés de débat) permet de tenir un cours magistral dense de deux heures sans improvisation.</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tblGrid>
      <w:tr>
        <w:trPr>
          <w:tblHeader/>
        </w:trPr>
        <w:tc>
          <w:tcPr>
            <w:tcW w:type="dxa" w:w="6500"/>
            <w:shd w:fill="5A1A3A" w:color="auto" w:val="clear"/>
            <w:tcMar>
              <w:top w:type="dxa" w:w="80"/>
              <w:left w:type="dxa" w:w="100"/>
              <w:bottom w:type="dxa" w:w="80"/>
              <w:right w:type="dxa" w:w="100"/>
            </w:tcMar>
          </w:tcPr>
          <w:p>
            <w:r>
              <w:rPr>
                <w:b/>
                <w:bCs/>
                <w:color w:val="FFFFFF"/>
                <w:sz w:val="19"/>
                <w:szCs w:val="19"/>
              </w:rPr>
              <w:t xml:space="preserve">Déroulé</w:t>
            </w:r>
          </w:p>
        </w:tc>
        <w:tc>
          <w:tcPr>
            <w:tcW w:type="dxa" w:w="2500"/>
            <w:shd w:fill="5A1A3A" w:color="auto" w:val="clear"/>
            <w:tcMar>
              <w:top w:type="dxa" w:w="80"/>
              <w:left w:type="dxa" w:w="100"/>
              <w:bottom w:type="dxa" w:w="80"/>
              <w:right w:type="dxa" w:w="100"/>
            </w:tcMar>
          </w:tcPr>
          <w:p>
            <w:r>
              <w:rPr>
                <w:b/>
                <w:bCs/>
                <w:color w:val="FFFFFF"/>
                <w:sz w:val="19"/>
                <w:szCs w:val="19"/>
              </w:rPr>
              <w:t xml:space="preserve">Modalité</w:t>
            </w:r>
          </w:p>
        </w:tc>
      </w:tr>
      <w:tr>
        <w:tc>
          <w:tcPr>
            <w:tcW w:type="dxa" w:w="6500"/>
            <w:shd w:fill="FFFFFF" w:color="auto" w:val="clear"/>
            <w:tcMar>
              <w:top w:type="dxa" w:w="80"/>
              <w:left w:type="dxa" w:w="100"/>
              <w:bottom w:type="dxa" w:w="80"/>
              <w:right w:type="dxa" w:w="100"/>
            </w:tcMar>
          </w:tcPr>
          <w:p>
            <w:r>
              <w:rPr>
                <w:sz w:val="18"/>
                <w:szCs w:val="18"/>
              </w:rPr>
              <w:t xml:space="preserve">Accroche : lecture commentée (sans révéler l'auteur) d'un très court extrait paraphrasé de l'entretien de François de Singly sur la définition contemporaine de la famille, suivie d'un tour de salle rapide sur la question « la famille se défait-elle, ou se transforme-t-elle ? ». Objectif : faire émerger les représentations spontanées des étudiants avant de les confronter aux données du cours (fiche 26).</w:t>
            </w:r>
          </w:p>
        </w:tc>
        <w:tc>
          <w:tcPr>
            <w:tcW w:type="dxa" w:w="2500"/>
            <w:shd w:fill="FFFFFF" w:color="auto" w:val="clear"/>
            <w:tcMar>
              <w:top w:type="dxa" w:w="80"/>
              <w:left w:type="dxa" w:w="100"/>
              <w:bottom w:type="dxa" w:w="80"/>
              <w:right w:type="dxa" w:w="100"/>
            </w:tcMar>
          </w:tcPr>
          <w:p>
            <w:r>
              <w:rPr>
                <w:sz w:val="18"/>
                <w:szCs w:val="18"/>
              </w:rPr>
              <w:t xml:space="preserve">Question ouverte</w:t>
            </w:r>
          </w:p>
        </w:tc>
      </w:tr>
      <w:tr>
        <w:tc>
          <w:tcPr>
            <w:tcW w:type="dxa" w:w="6500"/>
            <w:shd w:fill="F2E6EC" w:color="auto" w:val="clear"/>
            <w:tcMar>
              <w:top w:type="dxa" w:w="80"/>
              <w:left w:type="dxa" w:w="100"/>
              <w:bottom w:type="dxa" w:w="80"/>
              <w:right w:type="dxa" w:w="100"/>
            </w:tcMar>
          </w:tcPr>
          <w:p>
            <w:r>
              <w:rPr>
                <w:sz w:val="18"/>
                <w:szCs w:val="18"/>
              </w:rPr>
              <w:t xml:space="preserve">Partie A (I) — Classes sociales et déclassement : reprise, sous l'angle social, de la recomposition socioprofessionnelle française depuis 1982 (essor des cadres et des professions intermédiaires, recul continu des ouvriers) et du paradoxe d'une classe populaire toujours majoritaire en nombre mais de moins en moins visible dans le débat public (fiche 1). Analyse du rôle central du diplôme dans la hiérarchie sociale française et de la montée du déclassement générationnel documentée par Camille Peugny et Éric Maurin (fiche 4).</w:t>
            </w:r>
          </w:p>
        </w:tc>
        <w:tc>
          <w:tcPr>
            <w:tcW w:type="dxa" w:w="2500"/>
            <w:shd w:fill="F2E6EC" w:color="auto" w:val="clear"/>
            <w:tcMar>
              <w:top w:type="dxa" w:w="80"/>
              <w:left w:type="dxa" w:w="100"/>
              <w:bottom w:type="dxa" w:w="80"/>
              <w:right w:type="dxa" w:w="100"/>
            </w:tcMar>
          </w:tcPr>
          <w:p>
            <w:r>
              <w:rPr>
                <w:sz w:val="18"/>
                <w:szCs w:val="18"/>
              </w:rPr>
              <w:t xml:space="preserve">Cours magistral</w:t>
            </w:r>
          </w:p>
        </w:tc>
      </w:tr>
      <w:tr>
        <w:tc>
          <w:tcPr>
            <w:tcW w:type="dxa" w:w="6500"/>
            <w:shd w:fill="FFFFFF" w:color="auto" w:val="clear"/>
            <w:tcMar>
              <w:top w:type="dxa" w:w="80"/>
              <w:left w:type="dxa" w:w="100"/>
              <w:bottom w:type="dxa" w:w="80"/>
              <w:right w:type="dxa" w:w="100"/>
            </w:tcMar>
          </w:tcPr>
          <w:p>
            <w:r>
              <w:rPr>
                <w:sz w:val="18"/>
                <w:szCs w:val="18"/>
              </w:rPr>
              <w:t xml:space="preserve">Partie A (II) — Le grand écart entre indicateurs objectifs et ressenti subjectif : progression réelle du niveau de vie médian depuis les années 1970 (fiche 14) contre effondrement du moral économique en 2025-2026 (indice Odoxa à -64, 90 % des Français jugeant le pays en déclin, taux de pauvreté Insee à 15,4 % de la population) (fiche 15). Discussion : ce décalage suffit-il, à lui seul, à expliquer la porosité croissante au discours populiste ?</w:t>
            </w:r>
          </w:p>
        </w:tc>
        <w:tc>
          <w:tcPr>
            <w:tcW w:type="dxa" w:w="2500"/>
            <w:shd w:fill="FFFFFF" w:color="auto" w:val="clear"/>
            <w:tcMar>
              <w:top w:type="dxa" w:w="80"/>
              <w:left w:type="dxa" w:w="100"/>
              <w:bottom w:type="dxa" w:w="80"/>
              <w:right w:type="dxa" w:w="100"/>
            </w:tcMar>
          </w:tcPr>
          <w:p>
            <w:r>
              <w:rPr>
                <w:sz w:val="18"/>
                <w:szCs w:val="18"/>
              </w:rPr>
              <w:t xml:space="preserve">Cours magistral, données commentées</w:t>
            </w:r>
          </w:p>
        </w:tc>
      </w:tr>
      <w:tr>
        <w:tc>
          <w:tcPr>
            <w:tcW w:type="dxa" w:w="6500"/>
            <w:shd w:fill="F2E6EC" w:color="auto" w:val="clear"/>
            <w:tcMar>
              <w:top w:type="dxa" w:w="80"/>
              <w:left w:type="dxa" w:w="100"/>
              <w:bottom w:type="dxa" w:w="80"/>
              <w:right w:type="dxa" w:w="100"/>
            </w:tcMar>
          </w:tcPr>
          <w:p>
            <w:r>
              <w:rPr>
                <w:sz w:val="18"/>
                <w:szCs w:val="18"/>
              </w:rPr>
              <w:t xml:space="preserve">Partie B (I) — Benoît Coquard, Ceux qui restent (2019) : présentation d'une ethnographie de dix ans (2010-2018) dans les cantons de la Meuse en déclin démographique. Méthode d'immersion, concept des « groupes de potes » comme structure de sociabilité qui a remplacé les collectifs de travail disparus, et rôle central de la maison — construite ou héritée, souvent bâtie avec l'entraide du groupe de pairs — comme marqueur d'ancrage et de réussite locale (fiches 19-21).</w:t>
            </w:r>
          </w:p>
        </w:tc>
        <w:tc>
          <w:tcPr>
            <w:tcW w:type="dxa" w:w="2500"/>
            <w:shd w:fill="F2E6EC" w:color="auto" w:val="clear"/>
            <w:tcMar>
              <w:top w:type="dxa" w:w="80"/>
              <w:left w:type="dxa" w:w="100"/>
              <w:bottom w:type="dxa" w:w="80"/>
              <w:right w:type="dxa" w:w="100"/>
            </w:tcMar>
          </w:tcPr>
          <w:p>
            <w:r>
              <w:rPr>
                <w:sz w:val="18"/>
                <w:szCs w:val="18"/>
              </w:rPr>
              <w:t xml:space="preserve">Cours magistral</w:t>
            </w:r>
          </w:p>
        </w:tc>
      </w:tr>
      <w:tr>
        <w:tc>
          <w:tcPr>
            <w:tcW w:type="dxa" w:w="6500"/>
            <w:shd w:fill="FFFFFF" w:color="auto" w:val="clear"/>
            <w:tcMar>
              <w:top w:type="dxa" w:w="80"/>
              <w:left w:type="dxa" w:w="100"/>
              <w:bottom w:type="dxa" w:w="80"/>
              <w:right w:type="dxa" w:w="100"/>
            </w:tcMar>
          </w:tcPr>
          <w:p>
            <w:r>
              <w:rPr>
                <w:sz w:val="18"/>
                <w:szCs w:val="18"/>
              </w:rPr>
              <w:t xml:space="preserve">Pause</w:t>
            </w:r>
          </w:p>
        </w:tc>
        <w:tc>
          <w:tcPr>
            <w:tcW w:type="dxa" w:w="2500"/>
            <w:shd w:fill="FFFFFF" w:color="auto" w:val="clear"/>
            <w:tcMar>
              <w:top w:type="dxa" w:w="80"/>
              <w:left w:type="dxa" w:w="100"/>
              <w:bottom w:type="dxa" w:w="80"/>
              <w:right w:type="dxa" w:w="100"/>
            </w:tcMar>
          </w:tcPr>
          <w:p>
            <w:r>
              <w:rPr>
                <w:sz w:val="18"/>
                <w:szCs w:val="18"/>
              </w:rPr>
              <w:t xml:space="preserve">—</w:t>
            </w:r>
          </w:p>
        </w:tc>
      </w:tr>
      <w:tr>
        <w:tc>
          <w:tcPr>
            <w:tcW w:type="dxa" w:w="6500"/>
            <w:shd w:fill="F2E6EC" w:color="auto" w:val="clear"/>
            <w:tcMar>
              <w:top w:type="dxa" w:w="80"/>
              <w:left w:type="dxa" w:w="100"/>
              <w:bottom w:type="dxa" w:w="80"/>
              <w:right w:type="dxa" w:w="100"/>
            </w:tcMar>
          </w:tcPr>
          <w:p>
            <w:r>
              <w:rPr>
                <w:sz w:val="18"/>
                <w:szCs w:val="18"/>
              </w:rPr>
              <w:t xml:space="preserve">Partie B (II) — La dimension affective de l'attachement au territoire : le « capital d'autochtonie » (Jean-Noël Retière, 2003) comme ressource sociale du fait de rester, la peur de la désocialisation en cas de départ, la critique explicite formulée par Coquard contre les lectures cartographiques descendantes et « parisiennes » de la ruralité (fiche 22), puis ouverture comparative sur la grille Anywhere/Somewhere de David Goodhart et son adaptation française par Jérôme Sainte-Marie (« bloc élitaire » contre « bloc populaire ») (fiches 23-25). Utiliser les encadrés « thèse discutée » ci-dessous.</w:t>
            </w:r>
          </w:p>
        </w:tc>
        <w:tc>
          <w:tcPr>
            <w:tcW w:type="dxa" w:w="2500"/>
            <w:shd w:fill="F2E6EC" w:color="auto" w:val="clear"/>
            <w:tcMar>
              <w:top w:type="dxa" w:w="80"/>
              <w:left w:type="dxa" w:w="100"/>
              <w:bottom w:type="dxa" w:w="80"/>
              <w:right w:type="dxa" w:w="100"/>
            </w:tcMar>
          </w:tcPr>
          <w:p>
            <w:r>
              <w:rPr>
                <w:sz w:val="18"/>
                <w:szCs w:val="18"/>
              </w:rPr>
              <w:t xml:space="preserve">Débat encadré</w:t>
            </w:r>
          </w:p>
        </w:tc>
      </w:tr>
      <w:tr>
        <w:tc>
          <w:tcPr>
            <w:tcW w:type="dxa" w:w="6500"/>
            <w:shd w:fill="FFFFFF" w:color="auto" w:val="clear"/>
            <w:tcMar>
              <w:top w:type="dxa" w:w="80"/>
              <w:left w:type="dxa" w:w="100"/>
              <w:bottom w:type="dxa" w:w="80"/>
              <w:right w:type="dxa" w:w="100"/>
            </w:tcMar>
          </w:tcPr>
          <w:p>
            <w:r>
              <w:rPr>
                <w:sz w:val="18"/>
                <w:szCs w:val="18"/>
              </w:rPr>
              <w:t xml:space="preserve">Partie C — Recomposition familiale : cadre théorique de François de Singly, logique de transmission contre logique affective (fiche 26), rappel des grandes mutations quantitatives du XXe siècle — union libre, naissances hors mariage, recompositions (fiche 27) — et actualisation Insee 2023 : 30 % des enfants mineurs vivent avec un seul de leurs deux parents, une proportion en hausse continue et fortement marquée par le milieu social (fiche 28).</w:t>
            </w:r>
          </w:p>
        </w:tc>
        <w:tc>
          <w:tcPr>
            <w:tcW w:type="dxa" w:w="2500"/>
            <w:shd w:fill="FFFFFF" w:color="auto" w:val="clear"/>
            <w:tcMar>
              <w:top w:type="dxa" w:w="80"/>
              <w:left w:type="dxa" w:w="100"/>
              <w:bottom w:type="dxa" w:w="80"/>
              <w:right w:type="dxa" w:w="100"/>
            </w:tcMar>
          </w:tcPr>
          <w:p>
            <w:r>
              <w:rPr>
                <w:sz w:val="18"/>
                <w:szCs w:val="18"/>
              </w:rPr>
              <w:t xml:space="preserve">CM + lecture de document</w:t>
            </w:r>
          </w:p>
        </w:tc>
      </w:tr>
      <w:tr>
        <w:tc>
          <w:tcPr>
            <w:tcW w:type="dxa" w:w="6500"/>
            <w:shd w:fill="F2E6EC" w:color="auto" w:val="clear"/>
            <w:tcMar>
              <w:top w:type="dxa" w:w="80"/>
              <w:left w:type="dxa" w:w="100"/>
              <w:bottom w:type="dxa" w:w="80"/>
              <w:right w:type="dxa" w:w="100"/>
            </w:tcMar>
          </w:tcPr>
          <w:p>
            <w:r>
              <w:rPr>
                <w:sz w:val="18"/>
                <w:szCs w:val="18"/>
              </w:rPr>
              <w:t xml:space="preserve">Partie D — Sécularisation et perception des religions : déclin de la pratique et persistance d'une défiance générale envers le fait religieux (64 % jugent que les religions « apportent plus de conflit que de paix ») (fiche 29), explication structurelle du recul mondial de la religion par le niveau de développement (fiche 30), et cadre juridique de la laïcité française mis en regard du modèle britannique (fiches 33-34).</w:t>
            </w:r>
          </w:p>
        </w:tc>
        <w:tc>
          <w:tcPr>
            <w:tcW w:type="dxa" w:w="2500"/>
            <w:shd w:fill="F2E6EC" w:color="auto" w:val="clear"/>
            <w:tcMar>
              <w:top w:type="dxa" w:w="80"/>
              <w:left w:type="dxa" w:w="100"/>
              <w:bottom w:type="dxa" w:w="80"/>
              <w:right w:type="dxa" w:w="100"/>
            </w:tcMar>
          </w:tcPr>
          <w:p>
            <w:r>
              <w:rPr>
                <w:sz w:val="18"/>
                <w:szCs w:val="18"/>
              </w:rPr>
              <w:t xml:space="preserve">Cours magistral</w:t>
            </w:r>
          </w:p>
        </w:tc>
      </w:tr>
      <w:tr>
        <w:tc>
          <w:tcPr>
            <w:tcW w:type="dxa" w:w="6500"/>
            <w:shd w:fill="FFFFFF" w:color="auto" w:val="clear"/>
            <w:tcMar>
              <w:top w:type="dxa" w:w="80"/>
              <w:left w:type="dxa" w:w="100"/>
              <w:bottom w:type="dxa" w:w="80"/>
              <w:right w:type="dxa" w:w="100"/>
            </w:tcMar>
          </w:tcPr>
          <w:p>
            <w:r>
              <w:rPr>
                <w:sz w:val="18"/>
                <w:szCs w:val="18"/>
              </w:rPr>
              <w:t xml:space="preserve">Partie E — Réseaux sociaux, mépris de classe et fractures de genre : le phénomène « French Dream » comme mépris de classe recyclé en divertissement numérique (fiche 38), l'écosystème d'influenceurs d'extrême droite et son ancrage chez les jeunes hommes (fiche 39), puis ouverture, avec la prudence méthodologique requise, sur les données disponibles concernant l'écart salarial et la fracture générationnelle de genre (fiches 40-42, matière de substitution).</w:t>
            </w:r>
          </w:p>
        </w:tc>
        <w:tc>
          <w:tcPr>
            <w:tcW w:type="dxa" w:w="2500"/>
            <w:shd w:fill="FFFFFF" w:color="auto" w:val="clear"/>
            <w:tcMar>
              <w:top w:type="dxa" w:w="80"/>
              <w:left w:type="dxa" w:w="100"/>
              <w:bottom w:type="dxa" w:w="80"/>
              <w:right w:type="dxa" w:w="100"/>
            </w:tcMar>
          </w:tcPr>
          <w:p>
            <w:r>
              <w:rPr>
                <w:sz w:val="18"/>
                <w:szCs w:val="18"/>
              </w:rPr>
              <w:t xml:space="preserve">CM, données commentées</w:t>
            </w:r>
          </w:p>
        </w:tc>
      </w:tr>
      <w:tr>
        <w:tc>
          <w:tcPr>
            <w:tcW w:type="dxa" w:w="6500"/>
            <w:shd w:fill="F2E6EC" w:color="auto" w:val="clear"/>
            <w:tcMar>
              <w:top w:type="dxa" w:w="80"/>
              <w:left w:type="dxa" w:w="100"/>
              <w:bottom w:type="dxa" w:w="80"/>
              <w:right w:type="dxa" w:w="100"/>
            </w:tcMar>
          </w:tcPr>
          <w:p>
            <w:r>
              <w:rPr>
                <w:sz w:val="18"/>
                <w:szCs w:val="18"/>
              </w:rPr>
              <w:t xml:space="preserve">Transition vers l'activité en ligne : présentation du corpus documentaire et de la consigne de l'étude de cas notée.</w:t>
            </w:r>
          </w:p>
        </w:tc>
        <w:tc>
          <w:tcPr>
            <w:tcW w:type="dxa" w:w="2500"/>
            <w:shd w:fill="F2E6EC" w:color="auto" w:val="clear"/>
            <w:tcMar>
              <w:top w:type="dxa" w:w="80"/>
              <w:left w:type="dxa" w:w="100"/>
              <w:bottom w:type="dxa" w:w="80"/>
              <w:right w:type="dxa" w:w="100"/>
            </w:tcMar>
          </w:tcPr>
          <w:p>
            <w:r>
              <w:rPr>
                <w:sz w:val="18"/>
                <w:szCs w:val="18"/>
              </w:rPr>
              <w:t xml:space="preserve">Consignes</w:t>
            </w:r>
          </w:p>
        </w:tc>
      </w:tr>
    </w:tbl>
    <w:p>
      <w:pPr>
        <w:spacing w:after="120"/>
      </w:pPr>
    </w:p>
    <w:tbl>
      <w:tblPr>
        <w:tblW w:type="pct" w:w="100%"/>
        <w:tblBorders>
          <w:top w:val="single" w:color="5A1A3A" w:sz="4"/>
          <w:left w:val="single" w:color="5A1A3A" w:sz="4"/>
          <w:bottom w:val="single" w:color="5A1A3A" w:sz="4"/>
          <w:right w:val="single" w:color="5A1A3A" w:sz="4"/>
          <w:insideH w:val="none" w:color="FFFFFF" w:sz="0"/>
          <w:insideV w:val="none" w:color="FFFFFF" w:sz="0"/>
        </w:tblBorders>
      </w:tblPr>
      <w:tblGrid>
        <w:gridCol w:w="100"/>
      </w:tblGrid>
      <w:tr>
        <w:tc>
          <w:tcPr>
            <w:shd w:fill="F2E6EC" w:color="auto" w:val="clear"/>
            <w:tcMar>
              <w:top w:type="dxa" w:w="150"/>
              <w:left w:type="dxa" w:w="200"/>
              <w:bottom w:type="dxa" w:w="150"/>
              <w:right w:type="dxa" w:w="200"/>
            </w:tcMar>
          </w:tcPr>
          <w:p>
            <w:pPr>
              <w:spacing w:after="100"/>
            </w:pPr>
            <w:r>
              <w:rPr>
                <w:b/>
                <w:bCs/>
                <w:color w:val="5A1A3A"/>
                <w:sz w:val="18"/>
                <w:szCs w:val="18"/>
              </w:rPr>
              <w:t xml:space="preserve">ENCADRÉ 1 — Ceux qui restent : l'ancrage choisi contre la lecture du territoire par le manque</w:t>
            </w:r>
          </w:p>
          <w:p>
            <w:pPr>
              <w:spacing w:after="80"/>
            </w:pPr>
            <w:r>
              <w:rPr>
                <w:sz w:val="20"/>
                <w:szCs w:val="20"/>
              </w:rPr>
              <w:t xml:space="preserve">Ceux qui restent a été explicitement écrit contre les lectures cartographiques descendantes de la ruralité en déclin. Interrogé sur ce point, Coquard le formule sans détour : « Moi j'ai écrit contre les théories de la France périphérique […] écrites à Paris par des gens qui ne mettent pas le pied dans le cœur des relations sociales de ces villages-là. » Sa démarche ethnographique de terrain — dix ans d'immersion dans les cantons de la Meuse — renverse la focale : là où l'approche cartographique agrège des indicateurs de fragilité socio-économique à l'échelle de la commune, Coquard observe comment les habitants eux-mêmes racontent leur choix de rester, avec ses satisfactions autant que ses contraintes.</w:t>
            </w:r>
          </w:p>
          <w:p>
            <w:pPr>
              <w:spacing w:after="80"/>
            </w:pPr>
            <w:r>
              <w:rPr>
                <w:sz w:val="20"/>
                <w:szCs w:val="20"/>
              </w:rPr>
              <w:t xml:space="preserve">Le résultat est une image moins univoque que celle d'un simple territoire abandonné : les jeunesses populaires enquêtées se disent, selon les mots de l'auteur, « fières et sûres de leur style de vie », trouvant dans le milieu rural un espace de reconnaissance sociale que la métropole, avec ses codes culturels et scolaires plus exigeants, ne leur offrirait pas de la même manière. La maison — construite, entretenue, transmise — et le groupe de potes qui l'entoure deviennent les marqueurs concrets de cette réussite locale, à distance des seuls indicateurs de revenu ou de diplôme.</w:t>
            </w:r>
          </w:p>
          <w:p>
            <w:pPr>
              <w:spacing w:after="80"/>
            </w:pPr>
            <w:r>
              <w:rPr>
                <w:sz w:val="20"/>
                <w:szCs w:val="20"/>
              </w:rPr>
              <w:t xml:space="preserve">Cette lecture par l'affectif et le relationnel ne dément pas les constats macro-économiques et cartographiques établis en séquence 1 (pauvreté, vieillissement, désertification médicale) : elle les complète en donnant à voir pourquoi, malgré ces contraintes objectives, une partie importante de la population choisit de rester, plutôt que de partir vers les métropoles où l'emploi est pourtant statistiquement plus abondant.</w:t>
            </w:r>
          </w:p>
          <w:p>
            <w:pPr>
              <w:spacing w:after="80"/>
            </w:pPr>
            <w:r>
              <w:rPr>
                <w:sz w:val="20"/>
                <w:szCs w:val="20"/>
              </w:rPr>
              <w:t xml:space="preserve">Consigne de débat : demander aux étudiants si le fait de « rester » doit être lu comme une contrainte subie (faute de moyens pour partir) ou comme un choix positif fondé sur des ressources sociales et affectives réelles — et si ces deux lectures sont vraiment incompatibles.</w:t>
            </w:r>
          </w:p>
        </w:tc>
      </w:tr>
    </w:tbl>
    <w:p>
      <w:pPr>
        <w:spacing w:after="120"/>
      </w:pPr>
    </w:p>
    <w:p>
      <w:pPr>
        <w:spacing w:after="120"/>
      </w:pPr>
    </w:p>
    <w:tbl>
      <w:tblPr>
        <w:tblW w:type="pct" w:w="100%"/>
        <w:tblBorders>
          <w:top w:val="single" w:color="5A1A3A" w:sz="4"/>
          <w:left w:val="single" w:color="5A1A3A" w:sz="4"/>
          <w:bottom w:val="single" w:color="5A1A3A" w:sz="4"/>
          <w:right w:val="single" w:color="5A1A3A" w:sz="4"/>
          <w:insideH w:val="none" w:color="FFFFFF" w:sz="0"/>
          <w:insideV w:val="none" w:color="FFFFFF" w:sz="0"/>
        </w:tblBorders>
      </w:tblPr>
      <w:tblGrid>
        <w:gridCol w:w="100"/>
      </w:tblGrid>
      <w:tr>
        <w:tc>
          <w:tcPr>
            <w:shd w:fill="F2E6EC" w:color="auto" w:val="clear"/>
            <w:tcMar>
              <w:top w:type="dxa" w:w="150"/>
              <w:left w:type="dxa" w:w="200"/>
              <w:bottom w:type="dxa" w:w="150"/>
              <w:right w:type="dxa" w:w="200"/>
            </w:tcMar>
          </w:tcPr>
          <w:p>
            <w:pPr>
              <w:spacing w:after="100"/>
            </w:pPr>
            <w:r>
              <w:rPr>
                <w:b/>
                <w:bCs/>
                <w:color w:val="5A1A3A"/>
                <w:sz w:val="18"/>
                <w:szCs w:val="18"/>
              </w:rPr>
              <w:t xml:space="preserve">ENCADRÉ 2 — Le « capital d'autochtonie » et l'idéal de la maison : la maison avec jardin comme horizon de réussite</w:t>
            </w:r>
          </w:p>
          <w:p>
            <w:pPr>
              <w:spacing w:after="80"/>
            </w:pPr>
            <w:r>
              <w:rPr>
                <w:sz w:val="20"/>
                <w:szCs w:val="20"/>
              </w:rPr>
              <w:t xml:space="preserve">Le concept de « capital d'autochtonie », forgé par le sociologue Jean-Noël Retière (Politix, 2003) et repris par Coquard, désigne les ressources sociales — réseau de connaissances, réputation locale, entraide de voisinage — que procure le fait d'être né et d'avoir grandi dans un territoire. Ce capital n'est mobilisable qu'à la condition de rester : partir, c'est risquer de le perdre, d'où une crainte de la désocialisation qui pèse, selon l'enquête de Coquard, sur les décisions de mobilité bien plus lourdement que le seul calcul économique.</w:t>
            </w:r>
          </w:p>
          <w:p>
            <w:pPr>
              <w:spacing w:after="80"/>
            </w:pPr>
            <w:r>
              <w:rPr>
                <w:sz w:val="20"/>
                <w:szCs w:val="20"/>
              </w:rPr>
              <w:t xml:space="preserve">Cet ancrage prend une forme très matérielle : la maison individuelle avec jardin. Le baromètre IFOP pour la Fondation Foncière du Cinéma sur les Français et leur logement confirme, à l'échelle nationale, l'ampleur de cette aspiration : 80 % des Français disent préférer la maison individuelle au logement collectif, et 49 % citent le jardin comme premier critère de choix d'un logement. Loin d'être propre aux seules campagnes de la Meuse étudiées par Coquard, l'idéal pavillonnaire — la maison, le jardin, l'espace où l'on reçoit ses proches et où l'on organise sa vie sociale — fonctionne comme un horizon de réussite largement partagé dans les catégories populaires et intermédiaires françaises, y compris périurbaines, bien au-delà du seul monde rural.</w:t>
            </w:r>
          </w:p>
          <w:p>
            <w:pPr>
              <w:spacing w:after="80"/>
            </w:pPr>
            <w:r>
              <w:rPr>
                <w:sz w:val="20"/>
                <w:szCs w:val="20"/>
              </w:rPr>
              <w:t xml:space="preserve">Ce constat invite à nuancer une lecture purement économique du logement : construire ou acquérir sa maison, c'est aussi, comme le formule Coquard à propos de ses enquêtés, « construire sa maison de telle manière selon qui nous a entourés » — un acte social autant qu'un investissement patrimonial, qui scelle une appartenance à un lieu et à un réseau de relations plutôt qu'il ne se réduit à un choix rationnel de logement.</w:t>
            </w:r>
          </w:p>
          <w:p>
            <w:pPr>
              <w:spacing w:after="80"/>
            </w:pPr>
            <w:r>
              <w:rPr>
                <w:sz w:val="20"/>
                <w:szCs w:val="20"/>
              </w:rPr>
              <w:t xml:space="preserve">Consigne de débat : demander aux étudiants si l'attachement à la maison individuelle relève principalement d'un choix culturel et affectif (le territoire, les relations, l'entraide) ou d'une contrainte budgétaire (le logement collectif urbain étant souvent plus coûteux et moins accessible aux catégories populaires) — et comment ces deux dimensions s'articulent concrètement.</w:t>
            </w:r>
          </w:p>
        </w:tc>
      </w:tr>
    </w:tbl>
    <w:p>
      <w:pPr>
        <w:spacing w:after="120"/>
      </w:pPr>
    </w:p>
    <w:p>
      <w:pPr>
        <w:spacing w:after="120"/>
      </w:pPr>
    </w:p>
    <w:tbl>
      <w:tblPr>
        <w:tblW w:type="pct" w:w="100%"/>
        <w:tblBorders>
          <w:top w:val="single" w:color="5A1A3A" w:sz="4"/>
          <w:left w:val="single" w:color="5A1A3A" w:sz="4"/>
          <w:bottom w:val="single" w:color="5A1A3A" w:sz="4"/>
          <w:right w:val="single" w:color="5A1A3A" w:sz="4"/>
          <w:insideH w:val="none" w:color="FFFFFF" w:sz="0"/>
          <w:insideV w:val="none" w:color="FFFFFF" w:sz="0"/>
        </w:tblBorders>
      </w:tblPr>
      <w:tblGrid>
        <w:gridCol w:w="100"/>
      </w:tblGrid>
      <w:tr>
        <w:tc>
          <w:tcPr>
            <w:shd w:fill="F2E6EC" w:color="auto" w:val="clear"/>
            <w:tcMar>
              <w:top w:type="dxa" w:w="150"/>
              <w:left w:type="dxa" w:w="200"/>
              <w:bottom w:type="dxa" w:w="150"/>
              <w:right w:type="dxa" w:w="200"/>
            </w:tcMar>
          </w:tcPr>
          <w:p>
            <w:pPr>
              <w:spacing w:after="100"/>
            </w:pPr>
            <w:r>
              <w:rPr>
                <w:b/>
                <w:bCs/>
                <w:color w:val="5A1A3A"/>
                <w:sz w:val="18"/>
                <w:szCs w:val="18"/>
              </w:rPr>
              <w:t xml:space="preserve">ENCADRÉ 3 — La perception des religions : défiance envers le fait religieux en général, ou défiance spécifique à l'islam ?</w:t>
            </w:r>
          </w:p>
          <w:p>
            <w:pPr>
              <w:spacing w:after="80"/>
            </w:pPr>
            <w:r>
              <w:rPr>
                <w:sz w:val="20"/>
                <w:szCs w:val="20"/>
              </w:rPr>
              <w:t xml:space="preserve">Les données longitudinales montrent une défiance stable et massive envers le fait religieux en général (64 % jugent que les religions « apportent plus de conflit que de paix » depuis 1998) mais une hiérarchie nette entre cultes : 91 % de compatibilité perçue pour le catholicisme, 79 % pour le judaïsme, seulement 42 % pour l'islam en 2025 — avec un écart de 55 points entre sympathisants FI/PCF (73 %) et RN (18 %) sur cette dernière question (fiche 54 du bloc 2, à mobiliser ici).</w:t>
            </w:r>
          </w:p>
          <w:p>
            <w:pPr>
              <w:spacing w:after="80"/>
            </w:pPr>
            <w:r>
              <w:rPr>
                <w:sz w:val="20"/>
                <w:szCs w:val="20"/>
              </w:rPr>
              <w:t xml:space="preserve">Un premier camp de lecture y voit la persistance d'une défiance générale envers toute pratique religieuse jugée trop visible dans l'espace public, cohérente avec le régime français de laïcité stricte et sa méfiance historique envers les corps intermédiaires religieux, quel que soit le culte concerné. Un second camp souligne au contraire la spécificité du traitement réservé à l'islam : la progression de 16 points de la compatibilité perçue depuis 2013 traduit une évolution réelle des mentalités, mais l'écart persistant avec les autres cultes, conjugué au contexte de la colonisation et de l'immigration (fiche 12 sur les identifications ethnico-migratoires), suggère un traitement différencié qui déborde la seule question religieuse.</w:t>
            </w:r>
          </w:p>
          <w:p>
            <w:pPr>
              <w:spacing w:after="80"/>
            </w:pPr>
            <w:r>
              <w:rPr>
                <w:sz w:val="20"/>
                <w:szCs w:val="20"/>
              </w:rPr>
              <w:t xml:space="preserve">La comparaison avec le Royaume-Uni, où une Église d'État coexiste avec une sécularisation comparable à celle de la France, invite à ne pas naturaliser le modèle français de laïcité stricte comme la seule réponse possible à la diversité religieuse contemporaine (fiche 34).</w:t>
            </w:r>
          </w:p>
          <w:p>
            <w:pPr>
              <w:spacing w:after="80"/>
            </w:pPr>
            <w:r>
              <w:rPr>
                <w:sz w:val="20"/>
                <w:szCs w:val="20"/>
              </w:rPr>
              <w:t xml:space="preserve">Consigne de débat : demander aux étudiants de confronter les deux lectures à partir d'un seul chiffre — pourquoi 65 % des sympathisants RN jugent-ils l'islamophobie « présente » dans la société française tout en restant très majoritairement sceptiques sur la compatibilité de l'islam avec les valeurs françaises ? — et de formuler une synthèse qui ne réduise le débat à aucun des deux camps.</w:t>
            </w:r>
          </w:p>
        </w:tc>
      </w:tr>
    </w:tbl>
    <w:p>
      <w:pPr>
        <w:spacing w:after="120"/>
      </w:pPr>
    </w:p>
    <w:p>
      <w:pPr>
        <w:pStyle w:val="Heading3"/>
        <w:spacing w:after="100" w:before="240"/>
      </w:pPr>
      <w:r>
        <w:rPr>
          <w:b/>
          <w:bCs/>
          <w:color w:val="5A1A3A"/>
        </w:rPr>
        <w:t xml:space="preserve">A. Classes sociales et déclassement : une structure recomposée, un sentiment de déclin record</w:t>
      </w:r>
    </w:p>
    <w:p>
      <w:pPr>
        <w:spacing w:after="140"/>
      </w:pPr>
      <w:r>
        <w:t xml:space="preserve">Entre 1982 et 2021, la structure socioprofessionnelle française s'est profondément transformée : les cadres supérieurs sont passés de 8 % à 22 % de l'emploi, les professions intermédiaires de 19 % à 25 %, tandis que les ouvriers reculaient de 30 % à 19 %. Cette évolution ressemble moins à une polarisation extrême qu'à une élévation générale de la structure des qualifications — mais elle a un coût politique majeur : ouvriers et employés occupent encore près d'un emploi sur deux en 2021, alors que la « classe populaire » a perdu en centralité politique, syndicale et médiatique. C'est précisément ce paradoxe — poids démographique stable, invisibilité croissante — qui structure toute la suite du cours (fiche 1).</w:t>
      </w:r>
    </w:p>
    <w:p>
      <w:pPr>
        <w:spacing w:after="140"/>
      </w:pPr>
      <w:r>
        <w:t xml:space="preserve">Le diplôme s'est imposé comme le principal instrument de hiérarchisation sociale en France, davantage que la fortune héritée : l'écart de taux de chômage entre diplômés du supérieur et non-diplômés est passé de 10 à 40 points entre le milieu des années 1970 et les années 2000. Le déclassement générationnel progresse en parallèle : le ratio entre promotions et déclassements à 35-39 ans est passé de 2,2 pour la génération née en 1944-1948 à seulement 1,4 pour celle née en 1964-1968, selon les travaux de Camille Peugny (fiche 4).</w:t>
      </w:r>
    </w:p>
    <w:p>
      <w:pPr>
        <w:spacing w:after="140"/>
      </w:pPr>
      <w:r>
        <w:t xml:space="preserve">Les baromètres les plus récents (2025-2026) confirment une dégradation objective désormais réelle, et non plus seulement perçue : l'indice de moral économique Odoxa atteint -64 en janvier 2026, son pire niveau en dix-neuf ans de mesure, et 61 % des Français estiment leur position sociale pire que celle de leurs parents au même âge. Pourtant, le niveau de vie médian avait progressé de 69 % en euros constants entre 1975 et 2016 : ce décalage entre indicateurs objectifs et ressenti subjectif, déjà documenté avant la crise récente, nourrit directement la défiance politique (fiches 14 et 15).</w:t>
      </w:r>
    </w:p>
    <w:p>
      <w:pPr>
        <w:pStyle w:val="ListParagraph"/>
        <w:numPr>
          <w:ilvl w:val="0"/>
          <w:numId w:val="1"/>
        </w:numPr>
        <w:spacing w:after="80"/>
      </w:pPr>
      <w:r>
        <w:t xml:space="preserve">Cadres supérieurs : 8 % (1982) → 22 % (2021) de l'emploi (fiche 1)</w:t>
      </w:r>
    </w:p>
    <w:p>
      <w:pPr>
        <w:pStyle w:val="ListParagraph"/>
        <w:numPr>
          <w:ilvl w:val="0"/>
          <w:numId w:val="1"/>
        </w:numPr>
        <w:spacing w:after="80"/>
      </w:pPr>
      <w:r>
        <w:t xml:space="preserve">Écart de chômage diplômés/non-diplômés : 10 points (1970s) → 40 points (2000s) (fiche 4)</w:t>
      </w:r>
    </w:p>
    <w:p>
      <w:pPr>
        <w:pStyle w:val="ListParagraph"/>
        <w:numPr>
          <w:ilvl w:val="0"/>
          <w:numId w:val="1"/>
        </w:numPr>
        <w:spacing w:after="80"/>
      </w:pPr>
      <w:r>
        <w:t xml:space="preserve">Indice de moral économique Odoxa : -64 en janvier 2026, pire niveau en 19 ans (fiche 15)</w:t>
      </w:r>
    </w:p>
    <w:p>
      <w:pPr>
        <w:pStyle w:val="ListParagraph"/>
        <w:numPr>
          <w:ilvl w:val="0"/>
          <w:numId w:val="1"/>
        </w:numPr>
        <w:spacing w:after="80"/>
      </w:pPr>
      <w:r>
        <w:t xml:space="preserve">90 % des Français jugent la France « en déclin » (fiche 15)</w:t>
      </w:r>
    </w:p>
    <w:p>
      <w:pPr>
        <w:pStyle w:val="ListParagraph"/>
        <w:numPr>
          <w:ilvl w:val="0"/>
          <w:numId w:val="1"/>
        </w:numPr>
        <w:spacing w:after="80"/>
      </w:pPr>
      <w:r>
        <w:t xml:space="preserve">Taux de pauvreté Insee : 15,4 % de la population, soit près de 10 millions de personnes (fiche 15)</w:t>
      </w:r>
    </w:p>
    <w:p>
      <w:pPr>
        <w:pStyle w:val="Heading3"/>
        <w:spacing w:after="100" w:before="240"/>
      </w:pPr>
      <w:r>
        <w:rPr>
          <w:b/>
          <w:bCs/>
          <w:color w:val="5A1A3A"/>
        </w:rPr>
        <w:t xml:space="preserve">B. Benoît Coquard, Goodhart et Sainte-Marie : ce qui retient, plutôt que ce qui repousse</w:t>
      </w:r>
    </w:p>
    <w:p>
      <w:pPr>
        <w:spacing w:after="140"/>
      </w:pPr>
      <w:r>
        <w:t xml:space="preserve">Le sociologue Benoît Coquard a passé dix ans (2010-2018), en immersion, dans plusieurs cantons de la Meuse frappés par la déprise démographique et industrielle, pour comprendre comment de jeunes hommes et femmes peu diplômés construisent une vie, plutôt qu'ils ne la subissent, dans des campagnes que le débat public ne décrit habituellement que par le manque. Son livre, Ceux qui restent (La Découverte, 2019), assume une démarche délibérément différente des approches cartographiques descendantes qui avaient jusqu'ici dominé la lecture de ces territoires en séquence 1 : il part du bas, du village, du groupe de pairs, plutôt que de l'indicateur statistique agrégé à l'échelle nationale (fiche 19).</w:t>
      </w:r>
    </w:p>
    <w:p>
      <w:pPr>
        <w:spacing w:after="140"/>
      </w:pPr>
      <w:r>
        <w:t xml:space="preserve">Coquard documente le rôle central de la « bande de potes » comme nouvelle structure de sociabilité populaire, venue remplacer les collectifs de travail (ferme, usine, coopérative) qui structuraient autrefois la vie villageoise : c'est elle qui permet de trouver un emploi, un logement, un conjoint, et surtout de continuer à exister socialement dans un territoire dont l'offre collective s'est raréfiée. Le marqueur le plus concret de cette réussite locale reste la maison : « construire » ou hériter son propre logement, souvent avec l'entraide du groupe de pairs, où chacun met la main à la pâte selon ses compétences, est un moment de reconnaissance mutuelle et un ancrage matériel dans le territoire (fiches 20-21).</w:t>
      </w:r>
    </w:p>
    <w:p>
      <w:pPr>
        <w:spacing w:after="140"/>
      </w:pPr>
      <w:r>
        <w:t xml:space="preserve">Cet ancrage a un nom en sociologie : le « capital d'autochtonie », concept forgé par Jean-Noël Retière (Politix, 2003) pour désigner les ressources sociales — réseau de connaissances, réputation, entraide de proximité — que procure le fait d'être né et d'être resté au pays, à rebours d'une vision purement négative de l'immobilité géographique. Rester n'est donc pas seulement subir l'absence de choix : c'est aussi, pour une partie de ces jeunesses, préserver un capital relationnel qu'un départ risquerait de faire perdre — d'où la crainte, très présente dans l'enquête de Coquard, d'une désocialisation en cas de mobilité (fiche 22). Deux grilles complémentaires, élaborées indépendamment, prolongent cette attention à la dimension affective du territoire : David Goodhart oppose les « Anywhere » — mobiles, diplômés, à l'aise dans la mondialisation, environ 20-25 % de la population britannique — aux « Somewhere » — enracinés localement, environ 50 % — le Brexit étant présenté comme la première victoire électorale majeure du camp Somewhere (fiche 23, précisions chiffrées convergentes en fiche 78). En France, Jérôme Sainte-Marie propose depuis 2017 le concept de « bloc élitaire », qu'il décompose en trois strates — élite réelle, élite aspirationnelle (les cadres) et élite « par procuration » (une partie des retraités) — opposées à un « bloc populaire » appelé, selon lui, à s'affirmer électoralement (fiche 24).</w:t>
      </w:r>
    </w:p>
    <w:p>
      <w:pPr>
        <w:pStyle w:val="ListParagraph"/>
        <w:numPr>
          <w:ilvl w:val="0"/>
          <w:numId w:val="1"/>
        </w:numPr>
        <w:spacing w:after="80"/>
      </w:pPr>
      <w:r>
        <w:t xml:space="preserve">Coquard : ethnographie de dix ans (2010-2018), cantons de la Meuse (fiche 19)</w:t>
      </w:r>
    </w:p>
    <w:p>
      <w:pPr>
        <w:pStyle w:val="ListParagraph"/>
        <w:numPr>
          <w:ilvl w:val="0"/>
          <w:numId w:val="1"/>
        </w:numPr>
        <w:spacing w:after="80"/>
      </w:pPr>
      <w:r>
        <w:t xml:space="preserve">« Capital d'autochtonie » (Retière, 2003) : les ressources sociales que procure le fait de rester (fiche 22)</w:t>
      </w:r>
    </w:p>
    <w:p>
      <w:pPr>
        <w:pStyle w:val="ListParagraph"/>
        <w:numPr>
          <w:ilvl w:val="0"/>
          <w:numId w:val="1"/>
        </w:numPr>
        <w:spacing w:after="80"/>
      </w:pPr>
      <w:r>
        <w:t xml:space="preserve">80 % des Français disent préférer la maison individuelle au logement collectif, 49 % citent le jardin comme premier critère (baromètre IFOP/FFC, fiche 22)</w:t>
      </w:r>
    </w:p>
    <w:p>
      <w:pPr>
        <w:pStyle w:val="ListParagraph"/>
        <w:numPr>
          <w:ilvl w:val="0"/>
          <w:numId w:val="1"/>
        </w:numPr>
        <w:spacing w:after="80"/>
      </w:pPr>
      <w:r>
        <w:t xml:space="preserve">Goodhart : Anywhere ~20-25 %, Somewhere ~50 %, Inbetweeners ~25-30 % de la population britannique (fiches 23 et 78)</w:t>
      </w:r>
    </w:p>
    <w:p>
      <w:pPr>
        <w:pStyle w:val="ListParagraph"/>
        <w:numPr>
          <w:ilvl w:val="0"/>
          <w:numId w:val="1"/>
        </w:numPr>
        <w:spacing w:after="80"/>
      </w:pPr>
      <w:r>
        <w:t xml:space="preserve">Sainte-Marie : bloc élitaire = élite réelle + élite aspirationnelle (cadres) + élite par procuration (retraités) (fiche 24)</w:t>
      </w:r>
    </w:p>
    <w:p>
      <w:pPr>
        <w:pStyle w:val="Heading3"/>
        <w:spacing w:after="100" w:before="240"/>
      </w:pPr>
      <w:r>
        <w:rPr>
          <w:b/>
          <w:bCs/>
          <w:color w:val="5A1A3A"/>
        </w:rPr>
        <w:t xml:space="preserve">C. Recomposition familiale : entre logique affective et logique de transmission</w:t>
      </w:r>
    </w:p>
    <w:p>
      <w:pPr>
        <w:spacing w:after="140"/>
      </w:pPr>
      <w:r>
        <w:t xml:space="preserve">Le sociologue François de Singly distingue deux logiques familiales en tension depuis les années 1930 : la « logique de transmission » intergénérationnelle, qu'il qualifie de valeur universelle présente dans tous les modèles familiaux connus, et la « logique affective » — l'amour comme fondement du couple — née avec l'imaginaire romantique du XIXe siècle et intrinsèquement fragile. Selon lui, la multiplication des formes familiales contemporaines ne signale donc pas un affaiblissement de la famille comme institution, mais au contraire la force persistante de cet impératif affectif : c'est parce que la famille doit rester fondée sur l'amour que sa forme change dès que le sentiment change (fiche 26).</w:t>
      </w:r>
    </w:p>
    <w:p>
      <w:pPr>
        <w:spacing w:after="140"/>
      </w:pPr>
      <w:r>
        <w:t xml:space="preserve">Sur longue période, l'union libre — longtemps réservée aux veufs et divorcés — est devenue un mode de vie autonome (62 % des Français la condamnaient encore en 1976) ; les naissances hors mariage atteignaient 40 % dès 1997. Deux tiers des couples divorcés ont des enfants, et 85 % de ces enfants connaissent une nouvelle union de l'un de leurs parents (fiche 27).</w:t>
      </w:r>
    </w:p>
    <w:p>
      <w:pPr>
        <w:spacing w:after="140"/>
      </w:pPr>
      <w:r>
        <w:t xml:space="preserve">L'actualisation Insee 2023 confirme la poursuite de ces tendances : 67 % des enfants mineurs vivent encore avec leurs deux parents, mais 23 % vivent en famille monoparentale et 10 % en famille recomposée — soit 30 % vivant avec un seul de leurs deux parents, contre 28 % en 2018. Cette proportion croît fortement avec l'âge de l'enfant (13 % avant un an, 32 % à 17 ans) et s'accompagne d'une vulnérabilité économique marquée : 34 % des mères seules sont sans emploi, contre 24 % dans les familles biparentales — rappelant que la question familiale ne peut être dissociée de la question du déclassement (fiche 28).</w:t>
      </w:r>
    </w:p>
    <w:p>
      <w:pPr>
        <w:pStyle w:val="ListParagraph"/>
        <w:numPr>
          <w:ilvl w:val="0"/>
          <w:numId w:val="1"/>
        </w:numPr>
        <w:spacing w:after="80"/>
      </w:pPr>
      <w:r>
        <w:t xml:space="preserve">30 % des enfants mineurs vivent avec un seul de leurs parents en 2023, contre 28 % en 2018 (fiche 28)</w:t>
      </w:r>
    </w:p>
    <w:p>
      <w:pPr>
        <w:pStyle w:val="ListParagraph"/>
        <w:numPr>
          <w:ilvl w:val="0"/>
          <w:numId w:val="1"/>
        </w:numPr>
        <w:spacing w:after="80"/>
      </w:pPr>
      <w:r>
        <w:t xml:space="preserve">Naissances hors mariage : 40 % dès 1997 (fiche 27)</w:t>
      </w:r>
    </w:p>
    <w:p>
      <w:pPr>
        <w:pStyle w:val="ListParagraph"/>
        <w:numPr>
          <w:ilvl w:val="0"/>
          <w:numId w:val="1"/>
        </w:numPr>
        <w:spacing w:after="80"/>
      </w:pPr>
      <w:r>
        <w:t xml:space="preserve">34 % des mères seules sont sans emploi, contre 24 % dans les familles biparentales (fiche 28)</w:t>
      </w:r>
    </w:p>
    <w:p>
      <w:pPr>
        <w:pStyle w:val="Heading3"/>
        <w:spacing w:after="100" w:before="240"/>
      </w:pPr>
      <w:r>
        <w:rPr>
          <w:b/>
          <w:bCs/>
          <w:color w:val="5A1A3A"/>
        </w:rPr>
        <w:t xml:space="preserve">D. Sécularisation et religions : une défiance générale, une défiance spécifique envers l'islam</w:t>
      </w:r>
    </w:p>
    <w:p>
      <w:pPr>
        <w:spacing w:after="140"/>
      </w:pPr>
      <w:r>
        <w:t xml:space="preserve">Les grandes enquêtes internationales longitudinales (European Values Study, ISSP) montrent une image des religions restée négative et stable sur trente ans : 64 % des enquêtés jugent, aussi bien en 1998 qu'en 2018, que les religions « apportent plus de conflit que de paix ». Cette défiance n'est cependant pas uniforme selon les cultes : attitude positive de 56 % envers les chrétiens contre seulement 24 % envers les musulmans. Dans le même temps, la catégorie « pas religieux mais spirituel » progresse de 15 % à 18 % en dix ans, signe d'une sécularisation institutionnelle qui ne se traduit pas mécaniquement par une disparition du besoin de sens (fiche 29).</w:t>
      </w:r>
    </w:p>
    <w:p>
      <w:pPr>
        <w:spacing w:after="140"/>
      </w:pPr>
      <w:r>
        <w:t xml:space="preserve">Le déclin mondial de la pratique religieuse s'explique par des variables structurelles — démographie, espérance de vie, niveau d'études, richesse, inégalités — plutôt que par la nature propre de telle ou telle religion : les pays à forte espérance de vie s'en éloignent nettement plus que les pays à faible espérance de vie. Fait révélateur pour le cas français, seulement 54 % des musulmans résidant en France jugent la religion « très importante » dans leur vie, contre plus de 80 % dans les sociétés musulmanes traditionnelles — signe d'une sécularisation à l'œuvre y compris dans les minorités perçues comme les plus pratiquantes (fiche 30).</w:t>
      </w:r>
    </w:p>
    <w:p>
      <w:pPr>
        <w:spacing w:after="140"/>
      </w:pPr>
      <w:r>
        <w:t xml:space="preserve">Le catholicisme, passé de plus de 85 % d'appartenance déclarée dans les années 1970 à moins de 50 % aujourd'hui, demeure une « minorité paradoxale » : minoritaire en nombre de croyants mais toujours majoritaire dans l'empreinte culturelle du pays (fiche 31). Sur le plan juridique, la loi de 1905 garantit trois principes — neutralité de l'État, égalité des cultes, liberté de religion — mais les restrictions se sont multipliées depuis 2004 (école, dissimulation du visage en 2010, neutralité en entreprise en 2016), visant dans les faits presque exclusivement les femmes portant le voile. La comparaison avec le Royaume-Uni, qui conserve une Église d'État tout en connaissant une sécularisation comparable à la France (46 % de chrétiens déclarés en 2021 contre 47 % en France en 2019), montre qu'un même degré de sécularisation peut s'accommoder de solutions institutionnelles radicalement différentes (fiches 33-34).</w:t>
      </w:r>
    </w:p>
    <w:p>
      <w:pPr>
        <w:pStyle w:val="ListParagraph"/>
        <w:numPr>
          <w:ilvl w:val="0"/>
          <w:numId w:val="1"/>
        </w:numPr>
        <w:spacing w:after="80"/>
      </w:pPr>
      <w:r>
        <w:t xml:space="preserve">Compatibilité perçue de l'islam avec les valeurs françaises : 42 % en 2025, en hausse de 16 points depuis 2013 (fiche 29, à croiser avec la fiche 54 du bloc 2)</w:t>
      </w:r>
    </w:p>
    <w:p>
      <w:pPr>
        <w:pStyle w:val="ListParagraph"/>
        <w:numPr>
          <w:ilvl w:val="0"/>
          <w:numId w:val="1"/>
        </w:numPr>
        <w:spacing w:after="80"/>
      </w:pPr>
      <w:r>
        <w:t xml:space="preserve">64 % jugent que les religions « apportent plus de conflit que de paix », un jugement stable depuis 1998 (fiche 29)</w:t>
      </w:r>
    </w:p>
    <w:p>
      <w:pPr>
        <w:pStyle w:val="ListParagraph"/>
        <w:numPr>
          <w:ilvl w:val="0"/>
          <w:numId w:val="1"/>
        </w:numPr>
        <w:spacing w:after="80"/>
      </w:pPr>
      <w:r>
        <w:t xml:space="preserve">Catholiques déclarés : plus de 85 % dans les années 1970 → moins de 50 % aujourd'hui (fiche 31)</w:t>
      </w:r>
    </w:p>
    <w:p>
      <w:pPr>
        <w:pStyle w:val="ListParagraph"/>
        <w:numPr>
          <w:ilvl w:val="0"/>
          <w:numId w:val="1"/>
        </w:numPr>
        <w:spacing w:after="80"/>
      </w:pPr>
      <w:r>
        <w:t xml:space="preserve">Trois lois de restriction des signes religieux depuis 2004 : école, dissimulation du visage, neutralité en entreprise (fiche 33)</w:t>
      </w:r>
    </w:p>
    <w:p>
      <w:pPr>
        <w:pStyle w:val="Heading3"/>
        <w:spacing w:after="100" w:before="240"/>
      </w:pPr>
      <w:r>
        <w:rPr>
          <w:b/>
          <w:bCs/>
          <w:color w:val="5A1A3A"/>
        </w:rPr>
        <w:t xml:space="preserve">E. Réseaux sociaux, mépris de classe et fractures de genre</w:t>
      </w:r>
    </w:p>
    <w:p>
      <w:pPr>
        <w:spacing w:after="140"/>
      </w:pPr>
      <w:r>
        <w:t xml:space="preserve">Depuis 2019, le phénomène « French Dream » compile sur YouTube et TikTok des vidéos filmées par des personnes de classes populaires ou précaires, pour susciter le cringe — mélange de malaise et de fascination — à travers une figure-type moquée, « Magalie ». Ce cas d'étude illustre, dans les usages numériques contemporains, un mépris de classe recyclé en divertissement, acceptable sous couvert d'humour là où il serait jugé politiquement incorrect s'il était formulé explicitement (fiche 38).</w:t>
      </w:r>
    </w:p>
    <w:p>
      <w:pPr>
        <w:spacing w:after="140"/>
      </w:pPr>
      <w:r>
        <w:t xml:space="preserve">Le succès numérique du Rassemblement national ne se réduit pas à sa communication officielle : au-delà de figures installées (Jordan Bardella comptait 1,5 million d'abonnés TikTok en juin 2024, contre 114 000 pour Manon Aubry), un écosystème informel d'influenceurs — la « fachosphère », active depuis 2015 — cible le multiculturalisme et exploite l'antiféminisme d'une partie des jeunes hommes pour construire une proximité « parasociale » avec son audience (fiche 39).</w:t>
      </w:r>
    </w:p>
    <w:p>
      <w:pPr>
        <w:spacing w:after="140"/>
      </w:pPr>
      <w:r>
        <w:t xml:space="preserve">Le sous-thème « genre » de ce dossier repose sur une matière de substitution : le corpus documentaire local dédié à cette question n'a pu être exploité pour des raisons techniques, et les données mobilisées ici proviennent donc exclusivement d'une recherche complémentaire, à traiter avec la prudence méthodologique correspondante. L'écart salarial femmes-hommes atteint 21,8 % au global mais retombe à 3,6 % à poste strictement identique (fiche 40) ; 74 % des Français jugent qu'il est plus difficile pour une femme de faire carrière (fiche 41) ; et une enquête récente sur les adolescents de 15-17 ans documente une polarisation politique genrée précoce (56 % se disent plutôt de droite, tendance très majoritairement portée par les garçons) qui fait écho au « modern gender gap » développé dans le bloc 2 (fiche 42).</w:t>
      </w:r>
    </w:p>
    <w:p>
      <w:pPr>
        <w:pStyle w:val="ListParagraph"/>
        <w:numPr>
          <w:ilvl w:val="0"/>
          <w:numId w:val="1"/>
        </w:numPr>
        <w:spacing w:after="80"/>
      </w:pPr>
      <w:r>
        <w:t xml:space="preserve">Jordan Bardella : 1,5 million d'abonnés TikTok en juin 2024, contre 114 000 pour Manon Aubry (fiche 39)</w:t>
      </w:r>
    </w:p>
    <w:p>
      <w:pPr>
        <w:pStyle w:val="ListParagraph"/>
        <w:numPr>
          <w:ilvl w:val="0"/>
          <w:numId w:val="1"/>
        </w:numPr>
        <w:spacing w:after="80"/>
      </w:pPr>
      <w:r>
        <w:t xml:space="preserve">Écart salarial femmes-hommes : 21,8 % au global, mais seulement 3,6 % à poste strictement identique (fiche 40)</w:t>
      </w:r>
    </w:p>
    <w:p>
      <w:pPr>
        <w:pStyle w:val="ListParagraph"/>
        <w:numPr>
          <w:ilvl w:val="0"/>
          <w:numId w:val="1"/>
        </w:numPr>
        <w:spacing w:after="80"/>
      </w:pPr>
      <w:r>
        <w:t xml:space="preserve">74 % des Français jugent la carrière plus difficile pour une femme (fiche 41)</w:t>
      </w:r>
    </w:p>
    <w:p>
      <w:pPr>
        <w:pStyle w:val="ListParagraph"/>
        <w:numPr>
          <w:ilvl w:val="0"/>
          <w:numId w:val="1"/>
        </w:numPr>
        <w:spacing w:after="80"/>
      </w:pPr>
      <w:r>
        <w:t xml:space="preserve">Sous-thème « genre » : matière de substitution (fiches 40-44), à signaler explicitement aux étudiants</w:t>
      </w:r>
    </w:p>
    <w:p>
      <w:pPr>
        <w:pStyle w:val="Heading1"/>
        <w:spacing w:after="200" w:before="120"/>
      </w:pPr>
      <w:r>
        <w:t xml:space="preserve">Bloc 2 (2h) — Cartographie des valeurs : au-delà de la gauche et de la droite</w:t>
      </w:r>
    </w:p>
    <w:p>
      <w:pPr>
        <w:spacing w:after="140"/>
      </w:pPr>
      <w:r>
        <w:t xml:space="preserve">Ce second bloc remonte des structures sociales vers les valeurs et le rapport au politique, pour construire une cartographie fine des clivages français, actualisée jusqu'aux municipales de mars 2026 et au vote du budget 2026.</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tblGrid>
      <w:tr>
        <w:trPr>
          <w:tblHeader/>
        </w:trPr>
        <w:tc>
          <w:tcPr>
            <w:tcW w:type="dxa" w:w="6500"/>
            <w:shd w:fill="5A1A3A" w:color="auto" w:val="clear"/>
            <w:tcMar>
              <w:top w:type="dxa" w:w="80"/>
              <w:left w:type="dxa" w:w="100"/>
              <w:bottom w:type="dxa" w:w="80"/>
              <w:right w:type="dxa" w:w="100"/>
            </w:tcMar>
          </w:tcPr>
          <w:p>
            <w:r>
              <w:rPr>
                <w:b/>
                <w:bCs/>
                <w:color w:val="FFFFFF"/>
                <w:sz w:val="19"/>
                <w:szCs w:val="19"/>
              </w:rPr>
              <w:t xml:space="preserve">Déroulé</w:t>
            </w:r>
          </w:p>
        </w:tc>
        <w:tc>
          <w:tcPr>
            <w:tcW w:type="dxa" w:w="2500"/>
            <w:shd w:fill="5A1A3A" w:color="auto" w:val="clear"/>
            <w:tcMar>
              <w:top w:type="dxa" w:w="80"/>
              <w:left w:type="dxa" w:w="100"/>
              <w:bottom w:type="dxa" w:w="80"/>
              <w:right w:type="dxa" w:w="100"/>
            </w:tcMar>
          </w:tcPr>
          <w:p>
            <w:r>
              <w:rPr>
                <w:b/>
                <w:bCs/>
                <w:color w:val="FFFFFF"/>
                <w:sz w:val="19"/>
                <w:szCs w:val="19"/>
              </w:rPr>
              <w:t xml:space="preserve">Modalité</w:t>
            </w:r>
          </w:p>
        </w:tc>
      </w:tr>
      <w:tr>
        <w:tc>
          <w:tcPr>
            <w:tcW w:type="dxa" w:w="6500"/>
            <w:shd w:fill="FFFFFF" w:color="auto" w:val="clear"/>
            <w:tcMar>
              <w:top w:type="dxa" w:w="80"/>
              <w:left w:type="dxa" w:w="100"/>
              <w:bottom w:type="dxa" w:w="80"/>
              <w:right w:type="dxa" w:w="100"/>
            </w:tcMar>
          </w:tcPr>
          <w:p>
            <w:r>
              <w:rPr>
                <w:sz w:val="18"/>
                <w:szCs w:val="18"/>
              </w:rPr>
              <w:t xml:space="preserve">Retour sur l'activité en ligne : mise en tension des productions des étudiants, correction collective des points les plus fréquemment mal compris du quiz, et annonce du fil conducteur du bloc — comprendre pourquoi le clivage gauche-droite classique ne suffit plus à décrire l'espace des valeurs françaises.</w:t>
            </w:r>
          </w:p>
        </w:tc>
        <w:tc>
          <w:tcPr>
            <w:tcW w:type="dxa" w:w="2500"/>
            <w:shd w:fill="FFFFFF" w:color="auto" w:val="clear"/>
            <w:tcMar>
              <w:top w:type="dxa" w:w="80"/>
              <w:left w:type="dxa" w:w="100"/>
              <w:bottom w:type="dxa" w:w="80"/>
              <w:right w:type="dxa" w:w="100"/>
            </w:tcMar>
          </w:tcPr>
          <w:p>
            <w:r>
              <w:rPr>
                <w:sz w:val="18"/>
                <w:szCs w:val="18"/>
              </w:rPr>
              <w:t xml:space="preserve">Mise en commun</w:t>
            </w:r>
          </w:p>
        </w:tc>
      </w:tr>
      <w:tr>
        <w:tc>
          <w:tcPr>
            <w:tcW w:type="dxa" w:w="6500"/>
            <w:shd w:fill="F2E6EC" w:color="auto" w:val="clear"/>
            <w:tcMar>
              <w:top w:type="dxa" w:w="80"/>
              <w:left w:type="dxa" w:w="100"/>
              <w:bottom w:type="dxa" w:w="80"/>
              <w:right w:type="dxa" w:w="100"/>
            </w:tcMar>
          </w:tcPr>
          <w:p>
            <w:r>
              <w:rPr>
                <w:sz w:val="18"/>
                <w:szCs w:val="18"/>
              </w:rPr>
              <w:t xml:space="preserve">Partie 1 — Les 4 familles politiques du CEVIPOF : présentation du croisement entre axe économique (étatiste/libéral) et axe culturel (national/ouvert) (fiche 46), puis des paradoxes transpartisans sur la justice sociale et le ruissellement, avec un accent particulier sur la position hybride du RN (fiche 47).</w:t>
            </w:r>
          </w:p>
        </w:tc>
        <w:tc>
          <w:tcPr>
            <w:tcW w:type="dxa" w:w="2500"/>
            <w:shd w:fill="F2E6EC" w:color="auto" w:val="clear"/>
            <w:tcMar>
              <w:top w:type="dxa" w:w="80"/>
              <w:left w:type="dxa" w:w="100"/>
              <w:bottom w:type="dxa" w:w="80"/>
              <w:right w:type="dxa" w:w="100"/>
            </w:tcMar>
          </w:tcPr>
          <w:p>
            <w:r>
              <w:rPr>
                <w:sz w:val="18"/>
                <w:szCs w:val="18"/>
              </w:rPr>
              <w:t xml:space="preserve">CM, lecture de tableau</w:t>
            </w:r>
          </w:p>
        </w:tc>
      </w:tr>
      <w:tr>
        <w:tc>
          <w:tcPr>
            <w:tcW w:type="dxa" w:w="6500"/>
            <w:shd w:fill="FFFFFF" w:color="auto" w:val="clear"/>
            <w:tcMar>
              <w:top w:type="dxa" w:w="80"/>
              <w:left w:type="dxa" w:w="100"/>
              <w:bottom w:type="dxa" w:w="80"/>
              <w:right w:type="dxa" w:w="100"/>
            </w:tcMar>
          </w:tcPr>
          <w:p>
            <w:r>
              <w:rPr>
                <w:sz w:val="18"/>
                <w:szCs w:val="18"/>
              </w:rPr>
              <w:t xml:space="preserve">Partie 2 (I) — L'image du Rassemblement national : démonstration, données longitudinales 2014-2025 à l'appui, d'une normalisation progressive de l'image du parti (« capable de gouverner » : 23 % → 47 %), coexistant avec une identification persistante à l'extrême droite (66 % des Français en 2025) (fiche 49). Analyse des temporalités différenciées de ce basculement selon les catégories sociales — ouvriers, cadres, retraités (fiche 48).</w:t>
            </w:r>
          </w:p>
        </w:tc>
        <w:tc>
          <w:tcPr>
            <w:tcW w:type="dxa" w:w="2500"/>
            <w:shd w:fill="FFFFFF" w:color="auto" w:val="clear"/>
            <w:tcMar>
              <w:top w:type="dxa" w:w="80"/>
              <w:left w:type="dxa" w:w="100"/>
              <w:bottom w:type="dxa" w:w="80"/>
              <w:right w:type="dxa" w:w="100"/>
            </w:tcMar>
          </w:tcPr>
          <w:p>
            <w:r>
              <w:rPr>
                <w:sz w:val="18"/>
                <w:szCs w:val="18"/>
              </w:rPr>
              <w:t xml:space="preserve">CM, données commentées</w:t>
            </w:r>
          </w:p>
        </w:tc>
      </w:tr>
      <w:tr>
        <w:tc>
          <w:tcPr>
            <w:tcW w:type="dxa" w:w="6500"/>
            <w:shd w:fill="F2E6EC" w:color="auto" w:val="clear"/>
            <w:tcMar>
              <w:top w:type="dxa" w:w="80"/>
              <w:left w:type="dxa" w:w="100"/>
              <w:bottom w:type="dxa" w:w="80"/>
              <w:right w:type="dxa" w:w="100"/>
            </w:tcMar>
          </w:tcPr>
          <w:p>
            <w:r>
              <w:rPr>
                <w:sz w:val="18"/>
                <w:szCs w:val="18"/>
              </w:rPr>
              <w:t xml:space="preserve">Partie 2 (II) — Du soutien déclaré au vote effectif : l'écart entre intention et comportement électoral (46 % seulement des plus forts soutiens déclarés au RN votent effectivement RN en 2024) (fiche 50), puis présentation de l'indice d'échec social subjectif de Luc Rouban comme meilleur prédicteur du vote RN, devant le diplôme et le territoire (fiche 52).</w:t>
            </w:r>
          </w:p>
        </w:tc>
        <w:tc>
          <w:tcPr>
            <w:tcW w:type="dxa" w:w="2500"/>
            <w:shd w:fill="F2E6EC" w:color="auto" w:val="clear"/>
            <w:tcMar>
              <w:top w:type="dxa" w:w="80"/>
              <w:left w:type="dxa" w:w="100"/>
              <w:bottom w:type="dxa" w:w="80"/>
              <w:right w:type="dxa" w:w="100"/>
            </w:tcMar>
          </w:tcPr>
          <w:p>
            <w:r>
              <w:rPr>
                <w:sz w:val="18"/>
                <w:szCs w:val="18"/>
              </w:rPr>
              <w:t xml:space="preserve">Cours magistral</w:t>
            </w:r>
          </w:p>
        </w:tc>
      </w:tr>
      <w:tr>
        <w:tc>
          <w:tcPr>
            <w:tcW w:type="dxa" w:w="6500"/>
            <w:shd w:fill="FFFFFF" w:color="auto" w:val="clear"/>
            <w:tcMar>
              <w:top w:type="dxa" w:w="80"/>
              <w:left w:type="dxa" w:w="100"/>
              <w:bottom w:type="dxa" w:w="80"/>
              <w:right w:type="dxa" w:w="100"/>
            </w:tcMar>
          </w:tcPr>
          <w:p>
            <w:r>
              <w:rPr>
                <w:sz w:val="18"/>
                <w:szCs w:val="18"/>
              </w:rPr>
              <w:t xml:space="preserve">Pause</w:t>
            </w:r>
          </w:p>
        </w:tc>
        <w:tc>
          <w:tcPr>
            <w:tcW w:type="dxa" w:w="2500"/>
            <w:shd w:fill="FFFFFF" w:color="auto" w:val="clear"/>
            <w:tcMar>
              <w:top w:type="dxa" w:w="80"/>
              <w:left w:type="dxa" w:w="100"/>
              <w:bottom w:type="dxa" w:w="80"/>
              <w:right w:type="dxa" w:w="100"/>
            </w:tcMar>
          </w:tcPr>
          <w:p>
            <w:r>
              <w:rPr>
                <w:sz w:val="18"/>
                <w:szCs w:val="18"/>
              </w:rPr>
              <w:t xml:space="preserve">—</w:t>
            </w:r>
          </w:p>
        </w:tc>
      </w:tr>
      <w:tr>
        <w:tc>
          <w:tcPr>
            <w:tcW w:type="dxa" w:w="6500"/>
            <w:shd w:fill="F2E6EC" w:color="auto" w:val="clear"/>
            <w:tcMar>
              <w:top w:type="dxa" w:w="80"/>
              <w:left w:type="dxa" w:w="100"/>
              <w:bottom w:type="dxa" w:w="80"/>
              <w:right w:type="dxa" w:w="100"/>
            </w:tcMar>
          </w:tcPr>
          <w:p>
            <w:r>
              <w:rPr>
                <w:sz w:val="18"/>
                <w:szCs w:val="18"/>
              </w:rPr>
              <w:t xml:space="preserve">Partie 3 — La fracture générationnelle : convergence de l'intérêt pour la politique entre jeunes et seniors, droitisation nette des moins de 35 ans (fiche 58) et émergence d'un « modern gender gap » inédit — jeunes hommes plus proches du RN, jeunes femmes plus ancrées à gauche (fiche 59). Illustration par les données sur l'égalité femmes-hommes, où l'écart de perception entre jeunes hommes et jeunes femmes atteint son maximum (fiche 64).</w:t>
            </w:r>
          </w:p>
        </w:tc>
        <w:tc>
          <w:tcPr>
            <w:tcW w:type="dxa" w:w="2500"/>
            <w:shd w:fill="F2E6EC" w:color="auto" w:val="clear"/>
            <w:tcMar>
              <w:top w:type="dxa" w:w="80"/>
              <w:left w:type="dxa" w:w="100"/>
              <w:bottom w:type="dxa" w:w="80"/>
              <w:right w:type="dxa" w:w="100"/>
            </w:tcMar>
          </w:tcPr>
          <w:p>
            <w:r>
              <w:rPr>
                <w:sz w:val="18"/>
                <w:szCs w:val="18"/>
              </w:rPr>
              <w:t xml:space="preserve">CM, données commentées</w:t>
            </w:r>
          </w:p>
        </w:tc>
      </w:tr>
      <w:tr>
        <w:tc>
          <w:tcPr>
            <w:tcW w:type="dxa" w:w="6500"/>
            <w:shd w:fill="FFFFFF" w:color="auto" w:val="clear"/>
            <w:tcMar>
              <w:top w:type="dxa" w:w="80"/>
              <w:left w:type="dxa" w:w="100"/>
              <w:bottom w:type="dxa" w:w="80"/>
              <w:right w:type="dxa" w:w="100"/>
            </w:tcMar>
          </w:tcPr>
          <w:p>
            <w:r>
              <w:rPr>
                <w:sz w:val="18"/>
                <w:szCs w:val="18"/>
              </w:rPr>
              <w:t xml:space="preserve">Partie 4 — Réseaux sociaux et démocratie, une thèse contrariante : présentation des résultats de Chanvril et Rouban, qui invalident la thèse médiatique du « techno-fascisme » en montrant que l'usage intensif des réseaux sociaux est associé, en France, à la gauche radicale plutôt qu'à l'extrême droite (fiche 60), puis sociologie fine des usages par plateforme et leur lien avec le déclassement plutôt qu'avec la solitude (fiche 61).</w:t>
            </w:r>
          </w:p>
        </w:tc>
        <w:tc>
          <w:tcPr>
            <w:tcW w:type="dxa" w:w="2500"/>
            <w:shd w:fill="FFFFFF" w:color="auto" w:val="clear"/>
            <w:tcMar>
              <w:top w:type="dxa" w:w="80"/>
              <w:left w:type="dxa" w:w="100"/>
              <w:bottom w:type="dxa" w:w="80"/>
              <w:right w:type="dxa" w:w="100"/>
            </w:tcMar>
          </w:tcPr>
          <w:p>
            <w:r>
              <w:rPr>
                <w:sz w:val="18"/>
                <w:szCs w:val="18"/>
              </w:rPr>
              <w:t xml:space="preserve">Cours magistral</w:t>
            </w:r>
          </w:p>
        </w:tc>
      </w:tr>
      <w:tr>
        <w:tc>
          <w:tcPr>
            <w:tcW w:type="dxa" w:w="6500"/>
            <w:shd w:fill="F2E6EC" w:color="auto" w:val="clear"/>
            <w:tcMar>
              <w:top w:type="dxa" w:w="80"/>
              <w:left w:type="dxa" w:w="100"/>
              <w:bottom w:type="dxa" w:w="80"/>
              <w:right w:type="dxa" w:w="100"/>
            </w:tcMar>
          </w:tcPr>
          <w:p>
            <w:r>
              <w:rPr>
                <w:sz w:val="18"/>
                <w:szCs w:val="18"/>
              </w:rPr>
              <w:t xml:space="preserve">Partie 5 — Déconsolidation démocratique et confiance politique : présentation de la thèse originale de Foa et Mounk (2016-2017) et de sa critique méthodologique par Wuttke, Gavras et Schoen (2020) (fiches 70-71), puis vérification empirique sur données françaises (fiche 72) et actualisation par le baromètre CEVIPOF de février 2026 — confiance dans les partis : 15 %, attachement à la démocratie comme régime : 82 % (fiches 73-74).</w:t>
            </w:r>
          </w:p>
        </w:tc>
        <w:tc>
          <w:tcPr>
            <w:tcW w:type="dxa" w:w="2500"/>
            <w:shd w:fill="F2E6EC" w:color="auto" w:val="clear"/>
            <w:tcMar>
              <w:top w:type="dxa" w:w="80"/>
              <w:left w:type="dxa" w:w="100"/>
              <w:bottom w:type="dxa" w:w="80"/>
              <w:right w:type="dxa" w:w="100"/>
            </w:tcMar>
          </w:tcPr>
          <w:p>
            <w:r>
              <w:rPr>
                <w:sz w:val="18"/>
                <w:szCs w:val="18"/>
              </w:rPr>
              <w:t xml:space="preserve">Cours magistral</w:t>
            </w:r>
          </w:p>
        </w:tc>
      </w:tr>
      <w:tr>
        <w:tc>
          <w:tcPr>
            <w:tcW w:type="dxa" w:w="6500"/>
            <w:shd w:fill="FFFFFF" w:color="auto" w:val="clear"/>
            <w:tcMar>
              <w:top w:type="dxa" w:w="80"/>
              <w:left w:type="dxa" w:w="100"/>
              <w:bottom w:type="dxa" w:w="80"/>
              <w:right w:type="dxa" w:w="100"/>
            </w:tcMar>
          </w:tcPr>
          <w:p>
            <w:r>
              <w:rPr>
                <w:sz w:val="18"/>
                <w:szCs w:val="18"/>
              </w:rPr>
              <w:t xml:space="preserve">Étude de cas conclusive : les municipales de mars 2026 et le budget 2026 comme tests empiriques des dynamiques mesurées par les enquêtes — percée des listes citoyennes (159 communes, plus du double de 2020) (fiche 75), confirmation des bastions RN mais plafond de verre persistant dans les grandes métropoles (fiche 76), adoption du budget 2026 via l'article 49.3 et survie du gouvernement grâce à la non-censure du PS (fiche 77).</w:t>
            </w:r>
          </w:p>
        </w:tc>
        <w:tc>
          <w:tcPr>
            <w:tcW w:type="dxa" w:w="2500"/>
            <w:shd w:fill="FFFFFF" w:color="auto" w:val="clear"/>
            <w:tcMar>
              <w:top w:type="dxa" w:w="80"/>
              <w:left w:type="dxa" w:w="100"/>
              <w:bottom w:type="dxa" w:w="80"/>
              <w:right w:type="dxa" w:w="100"/>
            </w:tcMar>
          </w:tcPr>
          <w:p>
            <w:r>
              <w:rPr>
                <w:sz w:val="18"/>
                <w:szCs w:val="18"/>
              </w:rPr>
              <w:t xml:space="preserve">Étude de cas guidée</w:t>
            </w:r>
          </w:p>
        </w:tc>
      </w:tr>
      <w:tr>
        <w:tc>
          <w:tcPr>
            <w:tcW w:type="dxa" w:w="6500"/>
            <w:shd w:fill="F2E6EC" w:color="auto" w:val="clear"/>
            <w:tcMar>
              <w:top w:type="dxa" w:w="80"/>
              <w:left w:type="dxa" w:w="100"/>
              <w:bottom w:type="dxa" w:w="80"/>
              <w:right w:type="dxa" w:w="100"/>
            </w:tcMar>
          </w:tcPr>
          <w:p>
            <w:r>
              <w:rPr>
                <w:sz w:val="18"/>
                <w:szCs w:val="18"/>
              </w:rPr>
              <w:t xml:space="preserve">Synthèse générale du cours : cartographie croisée des quatre axes (territoire, génération, société, valeurs) ; discussion de la notion de « fracture » face à des notions concurrentes (polarisation, recomposition, déconsolidation) ; annonce du travail de synthèse final.</w:t>
            </w:r>
          </w:p>
        </w:tc>
        <w:tc>
          <w:tcPr>
            <w:tcW w:type="dxa" w:w="2500"/>
            <w:shd w:fill="F2E6EC" w:color="auto" w:val="clear"/>
            <w:tcMar>
              <w:top w:type="dxa" w:w="80"/>
              <w:left w:type="dxa" w:w="100"/>
              <w:bottom w:type="dxa" w:w="80"/>
              <w:right w:type="dxa" w:w="100"/>
            </w:tcMar>
          </w:tcPr>
          <w:p>
            <w:r>
              <w:rPr>
                <w:sz w:val="18"/>
                <w:szCs w:val="18"/>
              </w:rPr>
              <w:t xml:space="preserve">CM de synthèse</w:t>
            </w:r>
          </w:p>
        </w:tc>
      </w:tr>
    </w:tbl>
    <w:p>
      <w:pPr>
        <w:spacing w:after="120"/>
      </w:pPr>
    </w:p>
    <w:tbl>
      <w:tblPr>
        <w:tblW w:type="pct" w:w="100%"/>
        <w:tblBorders>
          <w:top w:val="single" w:color="5A1A3A" w:sz="4"/>
          <w:left w:val="single" w:color="5A1A3A" w:sz="4"/>
          <w:bottom w:val="single" w:color="5A1A3A" w:sz="4"/>
          <w:right w:val="single" w:color="5A1A3A" w:sz="4"/>
          <w:insideH w:val="none" w:color="FFFFFF" w:sz="0"/>
          <w:insideV w:val="none" w:color="FFFFFF" w:sz="0"/>
        </w:tblBorders>
      </w:tblPr>
      <w:tblGrid>
        <w:gridCol w:w="100"/>
      </w:tblGrid>
      <w:tr>
        <w:tc>
          <w:tcPr>
            <w:shd w:fill="F2E6EC" w:color="auto" w:val="clear"/>
            <w:tcMar>
              <w:top w:type="dxa" w:w="150"/>
              <w:left w:type="dxa" w:w="200"/>
              <w:bottom w:type="dxa" w:w="150"/>
              <w:right w:type="dxa" w:w="200"/>
            </w:tcMar>
          </w:tcPr>
          <w:p>
            <w:pPr>
              <w:spacing w:after="100"/>
            </w:pPr>
            <w:r>
              <w:rPr>
                <w:b/>
                <w:bCs/>
                <w:color w:val="5A1A3A"/>
                <w:sz w:val="18"/>
                <w:szCs w:val="18"/>
              </w:rPr>
              <w:t xml:space="preserve">ENCADRÉ 1 — Déconsolidation démocratique : thèse solide ou artefact statistique ?</w:t>
            </w:r>
          </w:p>
          <w:p>
            <w:pPr>
              <w:spacing w:after="80"/>
            </w:pPr>
            <w:r>
              <w:rPr>
                <w:sz w:val="20"/>
                <w:szCs w:val="20"/>
              </w:rPr>
              <w:t xml:space="preserve">La thèse de la « déconsolidation démocratique », formulée par Roberto Foa et Yascha Mounk en 2016-2017, soutient que le soutien populaire aux normes démocratiques s'érode dans les démocraties occidentales établies, ce recul étant particulièrement marqué, selon eux, chez les jeunes générations — un effet de cohorte durable plutôt qu'un simple effet conjoncturel. Cette lecture, largement reprise dans le débat public après l'élection de Trump et le vote du Brexit, a fait l'objet d'une critique méthodologique majeure de la part d'Alexander Wuttke, Christian Gavras et Harald Schoen (2020), qui reprochent à Foa et Mounk de confondre effets d'âge, de génération et de période dans leurs comparaisons de cohortes.</w:t>
            </w:r>
          </w:p>
          <w:p>
            <w:pPr>
              <w:spacing w:after="80"/>
            </w:pPr>
            <w:r>
              <w:rPr>
                <w:sz w:val="20"/>
                <w:szCs w:val="20"/>
              </w:rPr>
              <w:t xml:space="preserve">En dissociant statistiquement ces trois effets sur dix-huit démocraties européennes consolidées, Wuttke et ses coauteurs montrent que le soutien démocratique générique reste stable, et que les variations observées tiennent surtout au contexte conjoncturel plutôt qu'à un renouvellement générationnel structurel — tout en concédant une tolérance croissante à l'autoritarisme chez certaines cohortes de certains pays, qu'ils nomment « democrats in name only ».</w:t>
            </w:r>
          </w:p>
          <w:p>
            <w:pPr>
              <w:spacing w:after="80"/>
            </w:pPr>
            <w:r>
              <w:rPr>
                <w:sz w:val="20"/>
                <w:szCs w:val="20"/>
              </w:rPr>
              <w:t xml:space="preserve">Les données françaises mobilisées par Anne Muxel apportent un troisième point de vue : elles confirment empiriquement un écart générationnel net sur l'adhésion à la démocratie, mais Muxel elle-même prend soin de qualifier ce résultat de simple « amplification » de tendances déjà présentes dans l'ensemble de la population plutôt que de « rupture franche » — une position intermédiaire entre le catastrophisme initial de Foa-Mounk et l'optimisme prudent de leurs critiques.</w:t>
            </w:r>
          </w:p>
          <w:p>
            <w:pPr>
              <w:spacing w:after="80"/>
            </w:pPr>
            <w:r>
              <w:rPr>
                <w:sz w:val="20"/>
                <w:szCs w:val="20"/>
              </w:rPr>
              <w:t xml:space="preserve">Consigne de débat : demander aux étudiants, à partir des trois textes (Foa-Mounk, Wuttke et al., Muxel), de rédiger en binôme une phrase de synthèse qui ne trahisse aucun des trois, puis de discuter collectivement pourquoi un même jeu de données peut donner lieu à des lectures aussi différentes selon la méthode statistique employée.</w:t>
            </w:r>
          </w:p>
        </w:tc>
      </w:tr>
    </w:tbl>
    <w:p>
      <w:pPr>
        <w:spacing w:after="120"/>
      </w:pPr>
    </w:p>
    <w:p>
      <w:pPr>
        <w:spacing w:after="120"/>
      </w:pPr>
    </w:p>
    <w:tbl>
      <w:tblPr>
        <w:tblW w:type="pct" w:w="100%"/>
        <w:tblBorders>
          <w:top w:val="single" w:color="5A1A3A" w:sz="4"/>
          <w:left w:val="single" w:color="5A1A3A" w:sz="4"/>
          <w:bottom w:val="single" w:color="5A1A3A" w:sz="4"/>
          <w:right w:val="single" w:color="5A1A3A" w:sz="4"/>
          <w:insideH w:val="none" w:color="FFFFFF" w:sz="0"/>
          <w:insideV w:val="none" w:color="FFFFFF" w:sz="0"/>
        </w:tblBorders>
      </w:tblPr>
      <w:tblGrid>
        <w:gridCol w:w="100"/>
      </w:tblGrid>
      <w:tr>
        <w:tc>
          <w:tcPr>
            <w:shd w:fill="F2E6EC" w:color="auto" w:val="clear"/>
            <w:tcMar>
              <w:top w:type="dxa" w:w="150"/>
              <w:left w:type="dxa" w:w="200"/>
              <w:bottom w:type="dxa" w:w="150"/>
              <w:right w:type="dxa" w:w="200"/>
            </w:tcMar>
          </w:tcPr>
          <w:p>
            <w:pPr>
              <w:spacing w:after="100"/>
            </w:pPr>
            <w:r>
              <w:rPr>
                <w:b/>
                <w:bCs/>
                <w:color w:val="5A1A3A"/>
                <w:sz w:val="18"/>
                <w:szCs w:val="18"/>
              </w:rPr>
              <w:t xml:space="preserve">ENCADRÉ 2 — Quatre familles politiques ou clivage gauche-droite : quelle grille pour lire l'électorat français ?</w:t>
            </w:r>
          </w:p>
          <w:p>
            <w:pPr>
              <w:spacing w:after="80"/>
            </w:pPr>
            <w:r>
              <w:rPr>
                <w:sz w:val="20"/>
                <w:szCs w:val="20"/>
              </w:rPr>
              <w:t xml:space="preserve">La typologie CEVIPOF à quatre familles (étatistes nationaux, étatistes ouverts, libéraux nationaux, libéraux ouverts), construite par Kevin Arceneaux et Anne Muxel, révèle une hétérogénéité interne considérable au sein de chaque camp partisan : 29 % des sympathisants du RN restent étatistes nationaux quand 66 % sont libéraux nationaux ; 15 % des sympathisants de la gauche radicale restent étatistes nationaux quand 65 % sont libéraux ouverts. Cette grille permet de comprendre pourquoi un même électorat peut sembler idéologiquement incohérent si l'on s'en tient au seul axe gauche-droite.</w:t>
            </w:r>
          </w:p>
          <w:p>
            <w:pPr>
              <w:spacing w:after="80"/>
            </w:pPr>
            <w:r>
              <w:rPr>
                <w:sz w:val="20"/>
                <w:szCs w:val="20"/>
              </w:rPr>
              <w:t xml:space="preserve">Les tenants de l'axe gauche-droite classique objectent que cette grille, séduisante sur le plan analytique, complique inutilement la lecture électorale sans offrir de meilleur pouvoir prédictif du vote effectif que le positionnement gauche-droite auto-déclaré, qui reste, dans les enquêtes électorales, l'un des meilleurs prédicteurs isolés du choix de vote. D'autres chercheurs, au contraire, estiment que la persistance du clivage gauche-droite dans le langage courant masque déjà, depuis les années 1990, une recomposition bien plus profonde — documentée notamment par le renversement du « clivage éducatif » (diplômés désormais plus à gauche, non-diplômés plus proches des partis anti-immigration), qui ne se lit pas directement sur un simple axe gauche-droite.</w:t>
            </w:r>
          </w:p>
          <w:p>
            <w:pPr>
              <w:spacing w:after="80"/>
            </w:pPr>
            <w:r>
              <w:rPr>
                <w:sz w:val="20"/>
                <w:szCs w:val="20"/>
              </w:rPr>
              <w:t xml:space="preserve">Cette discussion fait écho directe au bloc 1 : la grille à quatre familles du CEVIPOF partage avec les typologies de Goodhart et de Sainte-Marie l'ambition de dépasser le clivage gauche-droite, mais s'en distingue par sa construction empirique à partir de deux axes de valeurs mesurés statistiquement plutôt que par une intuition qualitative de terrain.</w:t>
            </w:r>
          </w:p>
          <w:p>
            <w:pPr>
              <w:spacing w:after="80"/>
            </w:pPr>
            <w:r>
              <w:rPr>
                <w:sz w:val="20"/>
                <w:szCs w:val="20"/>
              </w:rPr>
              <w:t xml:space="preserve">Consigne de débat : demander aux étudiants de classer, à l'aide de la grille à quatre familles, deux ou trois personnalités politiques contemporaines de leur choix, puis de discuter si ce classement contredit ou confirme leur perception spontanée du positionnement gauche-droite de ces personnalités.</w:t>
            </w:r>
          </w:p>
        </w:tc>
      </w:tr>
    </w:tbl>
    <w:p>
      <w:pPr>
        <w:spacing w:after="120"/>
      </w:pPr>
    </w:p>
    <w:p>
      <w:pPr>
        <w:spacing w:after="120"/>
      </w:pPr>
    </w:p>
    <w:tbl>
      <w:tblPr>
        <w:tblW w:type="pct" w:w="100%"/>
        <w:tblBorders>
          <w:top w:val="single" w:color="5A1A3A" w:sz="4"/>
          <w:left w:val="single" w:color="5A1A3A" w:sz="4"/>
          <w:bottom w:val="single" w:color="5A1A3A" w:sz="4"/>
          <w:right w:val="single" w:color="5A1A3A" w:sz="4"/>
          <w:insideH w:val="none" w:color="FFFFFF" w:sz="0"/>
          <w:insideV w:val="none" w:color="FFFFFF" w:sz="0"/>
        </w:tblBorders>
      </w:tblPr>
      <w:tblGrid>
        <w:gridCol w:w="100"/>
      </w:tblGrid>
      <w:tr>
        <w:tc>
          <w:tcPr>
            <w:shd w:fill="F2E6EC" w:color="auto" w:val="clear"/>
            <w:tcMar>
              <w:top w:type="dxa" w:w="150"/>
              <w:left w:type="dxa" w:w="200"/>
              <w:bottom w:type="dxa" w:w="150"/>
              <w:right w:type="dxa" w:w="200"/>
            </w:tcMar>
          </w:tcPr>
          <w:p>
            <w:pPr>
              <w:spacing w:after="100"/>
            </w:pPr>
            <w:r>
              <w:rPr>
                <w:b/>
                <w:bCs/>
                <w:color w:val="5A1A3A"/>
                <w:sz w:val="18"/>
                <w:szCs w:val="18"/>
              </w:rPr>
              <w:t xml:space="preserve">ENCADRÉ 3 — Le vote RN : marqueur territorial ou marqueur de vulnérabilité sociale ?</w:t>
            </w:r>
          </w:p>
          <w:p>
            <w:pPr>
              <w:spacing w:after="80"/>
            </w:pPr>
            <w:r>
              <w:rPr>
                <w:sz w:val="20"/>
                <w:szCs w:val="20"/>
              </w:rPr>
              <w:t xml:space="preserve">La séquence 1 de ce cours a présenté le vote RN essentiellement sous l'angle territorial, à travers la carte sociale du territoire de Hervé Le Bras. Les données du CEVIPOF mobilisées dans ce bloc invitent à nuancer fortement cette lecture : l'indice d'échec social subjectif construit par Luc Rouban — sentiment de dégradation relative par rapport aux autres groupes et à ses propres parents — est le meilleur prédicteur statistique du vote RN, devant le diplôme et devant le seul critère géographique, avec un vote Le Pen passant de 20 % à 64 % entre les niveaux extrêmes de cet indice.</w:t>
            </w:r>
          </w:p>
          <w:p>
            <w:pPr>
              <w:spacing w:after="80"/>
            </w:pPr>
            <w:r>
              <w:rPr>
                <w:sz w:val="20"/>
                <w:szCs w:val="20"/>
              </w:rPr>
              <w:t xml:space="preserve">Cette lecture par la trajectoire individuelle plutôt que par le territoire ou la catégorie socioprofessionnelle est directement corroborée par les résultats des municipales de mars 2026 : le RN confirme solidement ses bastions historiques (réélection de Louis Aliot dès le premier tour à Perpignan, de Steeve Briois à Hénin-Beaumont) mais se heurte à un plafond de verre persistant dans les grandes métropoles diplômées, avec des scores inférieurs à 8 % à Paris, Bordeaux et Toulouse — configuration cohérente avec un vote porté par la vulnérabilité sociale vécue plutôt que par la seule appartenance à un territoire périphérique en tant que tel.</w:t>
            </w:r>
          </w:p>
          <w:p>
            <w:pPr>
              <w:spacing w:after="80"/>
            </w:pPr>
            <w:r>
              <w:rPr>
                <w:sz w:val="20"/>
                <w:szCs w:val="20"/>
              </w:rPr>
              <w:t xml:space="preserve">Consigne de débat : demander aux étudiants si l'opposition entre lecture territoriale (séquence 1) et lecture par la vulnérabilité sociale subjective (bloc 2) est réellement tranchée, ou si les deux facteurs se renforcent mutuellement — un territoire périphérique pouvant précisément être le lieu où se concentre le sentiment d'échec social documenté par Rouban.</w:t>
            </w:r>
          </w:p>
        </w:tc>
      </w:tr>
    </w:tbl>
    <w:p>
      <w:pPr>
        <w:spacing w:after="120"/>
      </w:pPr>
    </w:p>
    <w:p>
      <w:pPr>
        <w:pStyle w:val="Heading3"/>
        <w:spacing w:after="100" w:before="240"/>
      </w:pPr>
      <w:r>
        <w:rPr>
          <w:b/>
          <w:bCs/>
          <w:color w:val="5A1A3A"/>
        </w:rPr>
        <w:t xml:space="preserve">1. Les 4 familles politiques du CEVIPOF : un espace bien plus divers que le clivage gauche-droite</w:t>
      </w:r>
    </w:p>
    <w:p>
      <w:pPr>
        <w:spacing w:after="140"/>
      </w:pPr>
      <w:r>
        <w:t xml:space="preserve">Le bilan longitudinal treize ans (2013-2025) de l'enquête Fractures françaises montre un déclinisme record : 90 % des Français jugent la France « en déclin » en 2025, tandis que la préoccupation pour le pouvoir d'achat (36 %) reste la première préoccupation citée. Fait contre-intuitif à souligner : la compatibilité perçue de l'islam avec les valeurs françaises progresse sur longue période, de 26 % en 2013 à 42 % en 2025 (fiche 45).</w:t>
      </w:r>
    </w:p>
    <w:p>
      <w:pPr>
        <w:spacing w:after="140"/>
      </w:pPr>
      <w:r>
        <w:t xml:space="preserve">Kevin Arceneaux et Anne Muxel croisent un axe économique (étatiste vs libéral) et un axe culturel (national vs ouvert) pour bâtir une typologie à quatre pôles, qui révèle une hétérogénéité interne considérable à chaque famille partisane : à l'extrême droite, 66 % se classent libéraux nationaux mais 29 % restent étatistes nationaux ; à la gauche radicale, 65 % sont libéraux ouverts mais 15 % restent étatistes nationaux. Parmi les personnes ne se reconnaissant dans aucun parti, la distribution est quasi équilibrée entre les quatre pôles — signe que l'abstention ne recoupe pas un profil de valeurs homogène (fiche 46).</w:t>
      </w:r>
    </w:p>
    <w:p>
      <w:pPr>
        <w:spacing w:after="140"/>
      </w:pPr>
      <w:r>
        <w:t xml:space="preserve">Les données 2025 révèlent des combinaisons de valeurs contre-intuitives : 61 % des Français jugent qu'il faudrait « prendre aux riches pour donner aux pauvres », mais l'adhésion à la théorie du ruissellement atteint simultanément 49 %, son plus haut niveau depuis 2018. Le RN occupe une position singulière et hybride, à la fois plus favorable à la redistribution (57 %) que Renaissance (49 %) et fortement adhérent au ruissellement (50 %) — une combinaison que ni la gauche ni la droite classique n'affichent avec cette intensité (fiche 47).</w:t>
      </w:r>
    </w:p>
    <w:p>
      <w:pPr>
        <w:pStyle w:val="ListParagraph"/>
        <w:numPr>
          <w:ilvl w:val="0"/>
          <w:numId w:val="1"/>
        </w:numPr>
        <w:spacing w:after="80"/>
      </w:pPr>
      <w:r>
        <w:t xml:space="preserve">Extrême droite : 66 % libéraux nationaux, mais 29 % étatistes nationaux (fiche 46)</w:t>
      </w:r>
    </w:p>
    <w:p>
      <w:pPr>
        <w:pStyle w:val="ListParagraph"/>
        <w:numPr>
          <w:ilvl w:val="0"/>
          <w:numId w:val="1"/>
        </w:numPr>
        <w:spacing w:after="80"/>
      </w:pPr>
      <w:r>
        <w:t xml:space="preserve">61 % pour « prendre aux riches pour donner aux pauvres » ET 49 % adhèrent au ruissellement, record depuis 2018 (fiche 47)</w:t>
      </w:r>
    </w:p>
    <w:p>
      <w:pPr>
        <w:pStyle w:val="ListParagraph"/>
        <w:numPr>
          <w:ilvl w:val="0"/>
          <w:numId w:val="1"/>
        </w:numPr>
        <w:spacing w:after="80"/>
      </w:pPr>
      <w:r>
        <w:t xml:space="preserve">RN : position hybride, 57 % pro-redistribution / 50 % pro-ruissellement (fiche 47)</w:t>
      </w:r>
    </w:p>
    <w:p>
      <w:pPr>
        <w:pStyle w:val="Heading3"/>
        <w:spacing w:after="100" w:before="240"/>
      </w:pPr>
      <w:r>
        <w:rPr>
          <w:b/>
          <w:bCs/>
          <w:color w:val="5A1A3A"/>
        </w:rPr>
        <w:t xml:space="preserve">2. Le Rassemblement national : normalisation de l'image, sociologie du vote et échec social subjectif</w:t>
      </w:r>
    </w:p>
    <w:p>
      <w:pPr>
        <w:spacing w:after="140"/>
      </w:pPr>
      <w:r>
        <w:t xml:space="preserve">Luc Rouban démontre que la percée électorale du RN depuis 2022 n'a pas été un choc soudain mais l'aboutissement d'une banalisation progressive entamée dès 2015, avec des temporalités différenciées : accélération chez les ouvriers dès 2017 (crise des Gilets jaunes), basculement chez les cadres à partir de 2021, inflexion chez les retraités dès 2018 mais levée des réserves sur le danger démocratique seulement après 2021. Point central : ce n'est pas la xénophobie qui explique la dynamique — les indices de rejet de l'immigration restent stables depuis 2019 — mais le rejet croissant de la mondialisation, seul indice de valeurs en hausse continue depuis 2018 (fiche 48).</w:t>
      </w:r>
    </w:p>
    <w:p>
      <w:pPr>
        <w:spacing w:after="140"/>
      </w:pPr>
      <w:r>
        <w:t xml:space="preserve">Les séries longitudinales 2014-2025 confirment une normalisation qui se poursuit : le qualificatif « capable de gouverner le pays » atteint 47 % en 2025 contre 23 % en 2014, tandis que « dangereux pour la démocratie » passe pour la première fois sous la barre des 50 % (49 %). Fait à souligner : malgré cette normalisation, 66 % des Français continuent de qualifier le RN de parti « d'extrême droite » — la banalisation de l'image de compétence coexiste donc avec une identification idéologique persistante (fiche 49).</w:t>
      </w:r>
    </w:p>
    <w:p>
      <w:pPr>
        <w:spacing w:after="140"/>
      </w:pPr>
      <w:r>
        <w:t xml:space="preserve">Le soutien déclaré ne se traduit pas mécaniquement en vote : parmi les plus forts soutiens au RN, seuls 46 % ont effectivement voté RN au premier tour des législatives 2024, 31 % s'étant abstenus ou ayant voté blanc — l'abstention constitue ainsi un « vivier électoral » potentiel (fiche 50). Le meilleur prédicteur du vote RN n'est ni le diplôme ni le territoire seuls, mais l'indice d'échec social subjectif construit par Rouban : le vote Marine Le Pen au second tour de 2022 passe de 20 % chez les personnes au niveau le plus bas de cet indice à 64 % chez celles au niveau maximal (fiche 52).</w:t>
      </w:r>
    </w:p>
    <w:p>
      <w:pPr>
        <w:pStyle w:val="ListParagraph"/>
        <w:numPr>
          <w:ilvl w:val="0"/>
          <w:numId w:val="1"/>
        </w:numPr>
        <w:spacing w:after="80"/>
      </w:pPr>
      <w:r>
        <w:t xml:space="preserve">« Capable de gouverner le pays » : 23 % (2014) → 47 % (2025), record (fiche 49)</w:t>
      </w:r>
    </w:p>
    <w:p>
      <w:pPr>
        <w:pStyle w:val="ListParagraph"/>
        <w:numPr>
          <w:ilvl w:val="0"/>
          <w:numId w:val="1"/>
        </w:numPr>
        <w:spacing w:after="80"/>
      </w:pPr>
      <w:r>
        <w:t xml:space="preserve">Seuls 46 % des plus forts soutiens déclarés au RN ont effectivement voté RN aux législatives 2024 (fiche 50)</w:t>
      </w:r>
    </w:p>
    <w:p>
      <w:pPr>
        <w:pStyle w:val="ListParagraph"/>
        <w:numPr>
          <w:ilvl w:val="0"/>
          <w:numId w:val="1"/>
        </w:numPr>
        <w:spacing w:after="80"/>
      </w:pPr>
      <w:r>
        <w:t xml:space="preserve">Vote Marine Le Pen au 2nd tour 2022 : 20 % (niveau 0 d'échec social) → 64 % (niveau maximum) (fiche 52)</w:t>
      </w:r>
    </w:p>
    <w:p>
      <w:pPr>
        <w:pStyle w:val="ListParagraph"/>
        <w:numPr>
          <w:ilvl w:val="0"/>
          <w:numId w:val="1"/>
        </w:numPr>
        <w:spacing w:after="80"/>
      </w:pPr>
      <w:r>
        <w:t xml:space="preserve">Rejet de la mondialisation : seul indice de valeurs en hausse continue depuis 2018 (fiche 48)</w:t>
      </w:r>
    </w:p>
    <w:p>
      <w:pPr>
        <w:pStyle w:val="Heading3"/>
        <w:spacing w:after="100" w:before="240"/>
      </w:pPr>
      <w:r>
        <w:rPr>
          <w:b/>
          <w:bCs/>
          <w:color w:val="5A1A3A"/>
        </w:rPr>
        <w:t xml:space="preserve">3. La fracture générationnelle : un marqueur politique recomposé, un fossé de genre inédit</w:t>
      </w:r>
    </w:p>
    <w:p>
      <w:pPr>
        <w:spacing w:after="140"/>
      </w:pPr>
      <w:r>
        <w:t xml:space="preserve">Anne Muxel bat en brèche le récit d'une dépolitisation des jeunes générations : l'écart d'intérêt pour la politique entre moins de 35 ans et plus de 60 ans est passé de -25 points à -10 points en dix ans. Mais cette convergence s'accompagne d'une droitisation nette : les positionnements « de droite » chez les moins de 35 ans passent de 28 % à 38 % entre 2020 et 2024, et la proximité au RN chez les jeunes dépasse désormais celle de LFI (fiche 58).</w:t>
      </w:r>
    </w:p>
    <w:p>
      <w:pPr>
        <w:spacing w:after="140"/>
      </w:pPr>
      <w:r>
        <w:t xml:space="preserve">Muxel documente également un renversement générationnel majeur : le « gender gap traditionnel » (femmes plus conservatrices) est remplacé, chez les moins de 35 ans, par un « modern gender gap » inverse — les jeunes femmes s'orientent plus fortement à gauche que les jeunes hommes et que les femmes plus âgées. En 2024, 30 % des jeunes hommes se déclarent proches du RN contre seulement 13 % des jeunes femmes, un écart qui ne recoupe pas un écart de politisation : les jeunes femmes restent moins nombreuses à déclarer un intérêt pour la politique (fiche 59).</w:t>
      </w:r>
    </w:p>
    <w:p>
      <w:pPr>
        <w:spacing w:after="140"/>
      </w:pPr>
      <w:r>
        <w:t xml:space="preserve">Ce fossé se retrouve sur la question de l'égalité femmes-hommes elle-même : 31 % des hommes de moins de 35 ans jugent qu'on est allé « trop loin » — le sous-groupe le plus critique de tout l'échantillon — contre 46 % des jeunes femmes qui jugent au contraire qu'on n'est « pas assez loin ». L'écart de note moyenne entre jeunes hommes et jeunes femmes atteint 1,6 point, contre seulement 0,1 point chez les 60 ans et plus (fiche 64).</w:t>
      </w:r>
    </w:p>
    <w:p>
      <w:pPr>
        <w:pStyle w:val="ListParagraph"/>
        <w:numPr>
          <w:ilvl w:val="0"/>
          <w:numId w:val="1"/>
        </w:numPr>
        <w:spacing w:after="80"/>
      </w:pPr>
      <w:r>
        <w:t xml:space="preserve">Proximité RN chez les moins de 35 ans : 10 % (2017) → 16 % (2024) (fiche 58)</w:t>
      </w:r>
    </w:p>
    <w:p>
      <w:pPr>
        <w:pStyle w:val="ListParagraph"/>
        <w:numPr>
          <w:ilvl w:val="0"/>
          <w:numId w:val="1"/>
        </w:numPr>
        <w:spacing w:after="80"/>
      </w:pPr>
      <w:r>
        <w:t xml:space="preserve">RN 2024 : 30 % des jeunes hommes proches du parti contre 13 % des jeunes femmes (fiche 59)</w:t>
      </w:r>
    </w:p>
    <w:p>
      <w:pPr>
        <w:pStyle w:val="ListParagraph"/>
        <w:numPr>
          <w:ilvl w:val="0"/>
          <w:numId w:val="1"/>
        </w:numPr>
        <w:spacing w:after="80"/>
      </w:pPr>
      <w:r>
        <w:t xml:space="preserve">Écart de perception sur l'égalité F/H entre jeunes hommes et jeunes femmes : 1,6 point, le plus élevé du baromètre (fiche 64)</w:t>
      </w:r>
    </w:p>
    <w:p>
      <w:pPr>
        <w:pStyle w:val="Heading3"/>
        <w:spacing w:after="100" w:before="240"/>
      </w:pPr>
      <w:r>
        <w:rPr>
          <w:b/>
          <w:bCs/>
          <w:color w:val="5A1A3A"/>
        </w:rPr>
        <w:t xml:space="preserve">4. Réseaux sociaux et démocratie : une thèse contrariante</w:t>
      </w:r>
    </w:p>
    <w:p>
      <w:pPr>
        <w:spacing w:after="140"/>
      </w:pPr>
      <w:r>
        <w:t xml:space="preserve">Flora Chanvril et Luc Rouban livrent une note délibérément à contre-courant du discours ambiant sur les réseaux sociaux comme vecteurs de radicalisation d'extrême droite. Ils invalident le concept de « techno-fascisme » (alliance élites tech / extrême droite) en montrant que l'usage intensif des réseaux sociaux en France est associé à la gauche et à la gauche radicale, non à l'extrême droite : le soutien au RN reste stable autour de 48-52 % quelle que soit l'intensité d'usage, tandis que le soutien à LFI grimpe de 20 % à 40 %, et jusqu'à 46 % chez les utilisateurs fréquents de TikTok. Confirmé par le vote : au premier tour des législatives 2024, les utilisateurs intenses votent davantage NFP (24 % contre 14 %) et moins RN (20 % contre 26 %) que les utilisateurs occasionnels (fiche 60).</w:t>
      </w:r>
    </w:p>
    <w:p>
      <w:pPr>
        <w:spacing w:after="140"/>
      </w:pPr>
      <w:r>
        <w:t xml:space="preserve">La sociologie fine des usages révèle des publics très contrastés selon la plateforme : Facebook reste ancré chez les 45-59 ans, TikTok concentre les jeunes (39 % des utilisateurs quotidiens ont 18-24 ans) et les foyers modestes, LinkedIn est masculin et très diplômé. Résultat le plus significatif pour le cours : l'usage intensif des réseaux sociaux est associé à un profil de déclassement — jeune, diplômé mais à faible revenu — 47 % des utilisateurs intensifs se situant en précarité élevée. Contre-intuitif : aucune corrélation statistique n'est mesurée entre usage des réseaux et solitude ou assignation spatiale, ce qui invalide la thèse d'un repli numérique compensatoire chez les plus isolés géographiquement (fiche 61).</w:t>
      </w:r>
    </w:p>
    <w:p>
      <w:pPr>
        <w:pStyle w:val="ListParagraph"/>
        <w:numPr>
          <w:ilvl w:val="0"/>
          <w:numId w:val="1"/>
        </w:numPr>
        <w:spacing w:after="80"/>
      </w:pPr>
      <w:r>
        <w:t xml:space="preserve">Soutien à LFI selon l'usage des réseaux : 20 % (usage faible) → 40 % (usage très élevé) → 46 % chez les utilisateurs fréquents de TikTok (fiche 60)</w:t>
      </w:r>
    </w:p>
    <w:p>
      <w:pPr>
        <w:pStyle w:val="ListParagraph"/>
        <w:numPr>
          <w:ilvl w:val="0"/>
          <w:numId w:val="1"/>
        </w:numPr>
        <w:spacing w:after="80"/>
      </w:pPr>
      <w:r>
        <w:t xml:space="preserve">Soutien au RN quasi stable (48-52 %) quelle que soit l'intensité d'usage des réseaux (fiche 60)</w:t>
      </w:r>
    </w:p>
    <w:p>
      <w:pPr>
        <w:pStyle w:val="ListParagraph"/>
        <w:numPr>
          <w:ilvl w:val="0"/>
          <w:numId w:val="1"/>
        </w:numPr>
        <w:spacing w:after="80"/>
      </w:pPr>
      <w:r>
        <w:t xml:space="preserve">47 % des utilisateurs intensifs des réseaux sont en situation de précarité élevée (fiche 61)</w:t>
      </w:r>
    </w:p>
    <w:p>
      <w:pPr>
        <w:pStyle w:val="Heading3"/>
        <w:spacing w:after="100" w:before="240"/>
      </w:pPr>
      <w:r>
        <w:rPr>
          <w:b/>
          <w:bCs/>
          <w:color w:val="5A1A3A"/>
        </w:rPr>
        <w:t xml:space="preserve">5. Déconsolidation démocratique et confiance politique : un attachement de principe qui coexiste avec un rejet du fonctionnement</w:t>
      </w:r>
    </w:p>
    <w:p>
      <w:pPr>
        <w:spacing w:after="140"/>
      </w:pPr>
      <w:r>
        <w:t xml:space="preserve">Roberto Foa et Yascha Mounk soutiennent depuis 2016-2017 la thèse d'une « déconsolidation démocratique » généralisée dans les démocraties occidentales, plus marquée selon eux chez les jeunes générations. Alexander Wuttke, Christian Gavras et Harald Schoen (2020) opposent une critique méthodologique solide : en dissociant rigoureusement les effets d'âge, de génération et de période sur dix-huit démocraties européennes, ils montrent que le soutien démocratique générique reste globalement stable, et que les variations observées relèvent surtout d'effets de contexte conjoncturel plutôt que d'un renouvellement générationnel structurel — tout en concédant une tolérance croissante à l'autoritarisme chez certaines cohortes, qu'ils qualifient de « democrats in name only » (fiches 70-71).</w:t>
      </w:r>
    </w:p>
    <w:p>
      <w:pPr>
        <w:spacing w:after="140"/>
      </w:pPr>
      <w:r>
        <w:t xml:space="preserve">Les données françaises du CEVIPOF, mobilisées par Anne Muxel, apportent un troisième point de vue : elles confirment un écart générationnel net — chez les moins de 35 ans, la part jugeant que d'autres systèmes politiques peuvent être aussi bons que la démocratie passe de 29 % à 42 % entre 2014 et 2024, quand elle recule symétriquement chez les 60 ans et plus (36 % à 30 %). Muxel qualifie néanmoins ce résultat de simple « amplification » de tendances déjà présentes dans l'ensemble de la population plutôt que de « rupture franche » — une position intermédiaire entre le catastrophisme de Foa-Mounk et l'optimisme prudent de leurs critiques (fiche 72).</w:t>
      </w:r>
    </w:p>
    <w:p>
      <w:pPr>
        <w:spacing w:after="140"/>
      </w:pPr>
      <w:r>
        <w:t xml:space="preserve">Le baromètre CEVIPOF de février 2026 (vague 17) confirme cette configuration paradoxale : la confiance dans les partis politiques tombe à 15 %, celle dans l'Assemblée nationale à 20 %, mais l'attachement à la démocratie comme régime reste élevé à 82 %, malgré 76 % jugeant qu'elle « ne fonctionne pas bien ». Deux dynamiques transpartisanes se dégagent : une demande de démocratie directe (79 % favorables à un référendum plus fréquent) et une demande de décentralisation tout aussi massive et rare par son caractère consensuel, ne variant ni selon le diplôme ni selon la catégorie socioprofessionnelle (fiches 73-74).</w:t>
      </w:r>
    </w:p>
    <w:p>
      <w:pPr>
        <w:pStyle w:val="ListParagraph"/>
        <w:numPr>
          <w:ilvl w:val="0"/>
          <w:numId w:val="1"/>
        </w:numPr>
        <w:spacing w:after="80"/>
      </w:pPr>
      <w:r>
        <w:t xml:space="preserve">« D'autres systèmes politiques aussi bons que la démocratie » chez les moins de 35 ans : 29 % (2014) → 42 % (2024) (fiche 72)</w:t>
      </w:r>
    </w:p>
    <w:p>
      <w:pPr>
        <w:pStyle w:val="ListParagraph"/>
        <w:numPr>
          <w:ilvl w:val="0"/>
          <w:numId w:val="1"/>
        </w:numPr>
        <w:spacing w:after="80"/>
      </w:pPr>
      <w:r>
        <w:t xml:space="preserve">Attachement à la démocratie comme régime : 82 % en 2026, malgré 76 % jugeant qu'elle « ne fonctionne pas bien » (fiche 73)</w:t>
      </w:r>
    </w:p>
    <w:p>
      <w:pPr>
        <w:pStyle w:val="ListParagraph"/>
        <w:numPr>
          <w:ilvl w:val="0"/>
          <w:numId w:val="1"/>
        </w:numPr>
        <w:spacing w:after="80"/>
      </w:pPr>
      <w:r>
        <w:t xml:space="preserve">79 % favorables à la décentralisation, un consensus transpartisan rare (fiche 73)</w:t>
      </w:r>
    </w:p>
    <w:p>
      <w:pPr>
        <w:pStyle w:val="Heading1"/>
        <w:spacing w:after="200" w:before="120"/>
      </w:pPr>
      <w:r>
        <w:t xml:space="preserve">Activité en ligne (1h) — MOOC yapluka-edu.fr</w:t>
      </w:r>
    </w:p>
    <w:p>
      <w:pPr>
        <w:pStyle w:val="Heading3"/>
        <w:spacing w:after="100" w:before="240"/>
      </w:pPr>
      <w:r>
        <w:rPr>
          <w:b/>
          <w:bCs/>
          <w:color w:val="5A1A3A"/>
        </w:rPr>
        <w:t xml:space="preserve">Partie 1 (20 min) — Quiz auto-corrigé (10 questions)</w:t>
      </w:r>
    </w:p>
    <w:p>
      <w:pPr>
        <w:spacing w:after="140"/>
      </w:pPr>
      <w:r>
        <w:t xml:space="preserve">Porte sur les données du bloc 1 (structure des classes sociales, recomposition familiale, perception des religions, écosystème numérique de la fachosphère).</w:t>
      </w:r>
    </w:p>
    <w:p>
      <w:pPr>
        <w:pStyle w:val="Heading3"/>
        <w:spacing w:after="100" w:before="240"/>
      </w:pPr>
      <w:r>
        <w:rPr>
          <w:b/>
          <w:bCs/>
          <w:color w:val="5A1A3A"/>
        </w:rPr>
        <w:t xml:space="preserve">Partie 2 (40 min) — Étude de cas notée (production courte, 200-250 mots)</w:t>
      </w:r>
    </w:p>
    <w:p>
      <w:pPr>
        <w:spacing w:after="140"/>
      </w:pPr>
      <w:r>
        <w:t xml:space="preserve">Corpus fourni : extrait synthétique de l'entretien de François de Singly, tableau des usages des réseaux sociaux par catégorie sociale (Chanvril/Rouban) et graphique de compatibilité perçue des religions (2013-2025).</w:t>
      </w:r>
    </w:p>
    <w:p>
      <w:pPr>
        <w:spacing w:after="140"/>
      </w:pPr>
      <w:r>
        <w:t xml:space="preserve">Consigne : « En vous appuyant sur au moins trois éléments du corpus, vous répondrez à la question suivante : la famille, la religion et les réseaux sociaux sont-ils des espaces où les fractures sociales se répètent, ou des espaces où elles pourraient s'atténuer ? » Réponse individuelle déposée sur le MOOC, relecture par les pairs, validation enseignant avant le bloc 2.</w:t>
      </w:r>
    </w:p>
    <w:p>
      <w:pPr>
        <w:pStyle w:val="Heading1"/>
        <w:spacing w:after="200" w:before="120"/>
      </w:pPr>
      <w:r>
        <w:t xml:space="preserve">Évaluation formative</w:t>
      </w:r>
    </w:p>
    <w:p>
      <w:pPr>
        <w:pStyle w:val="ListParagraph"/>
        <w:numPr>
          <w:ilvl w:val="0"/>
          <w:numId w:val="1"/>
        </w:numPr>
        <w:spacing w:after="80"/>
      </w:pPr>
      <w:r>
        <w:t xml:space="preserve">Grille d'auto-évaluation en fin de MOOC (4 items : je sais expliquer la logique du tableau à 4 familles politiques ; je sais donner l'ordre de grandeur du lien entre échec social subjectif et vote RN ; je sais distinguer défiance envers les acteurs et défiance envers le régime démocratique ; je sais citer un débat contradictoire opposant Goodhart, ou la thèse de Coquard, à leurs critiques universitaires).</w:t>
      </w:r>
    </w:p>
    <w:p>
      <w:pPr>
        <w:pStyle w:val="ListParagraph"/>
        <w:numPr>
          <w:ilvl w:val="0"/>
          <w:numId w:val="1"/>
        </w:numPr>
        <w:spacing w:after="80"/>
      </w:pPr>
      <w:r>
        <w:t xml:space="preserve">Question de synthèse intermédiaire (fin de bloc 1) : en 150 mots, expliquer pourquoi le poids démographique stable des classes populaires (fiche 1) coexiste avec leur invisibilité croissante dans le débat public.</w:t>
      </w:r>
    </w:p>
    <w:p>
      <w:pPr>
        <w:pStyle w:val="ListParagraph"/>
        <w:numPr>
          <w:ilvl w:val="0"/>
          <w:numId w:val="1"/>
        </w:numPr>
        <w:spacing w:after="80"/>
      </w:pPr>
      <w:r>
        <w:t xml:space="preserve">Travail de synthèse final (après la séquence 2) : une carte mentale ou un texte de 500 mots croisant au moins trois des quatre axes du cours (territoire, génération, société, valeurs) à partir d'un fait d'actualité au choix, sourcé.</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5"/>
        <w:szCs w:val="15"/>
      </w:rPr>
      <w:t xml:space="preserve">Fractures françaises — Séquence 2 — Déroulé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2026-09-01T10:05:43.883Z</dcterms:created>
  <dcterms:modified xsi:type="dcterms:W3CDTF">2026-09-01T10:05:43.898Z</dcterms:modified>
</cp:coreProperties>
</file>

<file path=docProps/custom.xml><?xml version="1.0" encoding="utf-8"?>
<Properties xmlns="http://schemas.openxmlformats.org/officeDocument/2006/custom-properties" xmlns:vt="http://schemas.openxmlformats.org/officeDocument/2006/docPropsVTypes"/>
</file>