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AIOps Workshop Prep — Project Plan</w:t>
      </w:r>
    </w:p>
    <w:p>
      <w:pPr>
        <w:pStyle w:val="Heading1"/>
      </w:pPr>
      <w:r>
        <w:t>Overview</w:t>
      </w:r>
    </w:p>
    <w:p>
      <w:r>
        <w:t>This project automates the setup of the ansible-tmm/aiops-summitlab AIOps workshop so that each demo section is ready to run without manual steps. The goal is to let the presenter focus entirely on the demo story rather than clicking through AAP setup.</w:t>
      </w:r>
    </w:p>
    <w:p>
      <w:pPr>
        <w:pStyle w:val="Heading1"/>
      </w:pPr>
      <w:r>
        <w:t>Upstream Dependency</w:t>
      </w:r>
    </w:p>
    <w:p>
      <w:r>
        <w:t>All automation in this repo targets a running instance of the upstream lab:</w:t>
      </w:r>
    </w:p>
    <w:p>
      <w:r>
        <w:rPr>
          <w:b/>
        </w:rPr>
        <w:t xml:space="preserve">Repo: </w:t>
      </w:r>
      <w:r>
        <w:t>https://github.com/ansible-tmm/aiops-summitlab</w:t>
      </w:r>
    </w:p>
    <w:p>
      <w:r>
        <w:rPr>
          <w:b/>
        </w:rPr>
        <w:t xml:space="preserve">Description: </w:t>
      </w:r>
      <w:r>
        <w:t>Summit 2025 AIOps Lab — the source of all job templates, rulebooks, and playbooks used in the workshop.</w:t>
      </w:r>
    </w:p>
    <w:p>
      <w:r>
        <w:t>The upstream repo must be deployed to the RHDP environment before running any playbooks from this repo.</w:t>
      </w:r>
    </w:p>
    <w:p>
      <w:pPr>
        <w:pStyle w:val="Heading1"/>
      </w:pPr>
      <w:r>
        <w:t>Repository Structure</w:t>
      </w:r>
    </w:p>
    <w:tbl>
      <w:tblPr>
        <w:tblStyle w:val="TableGrid"/>
        <w:tblW w:type="auto" w:w="0"/>
        <w:tblLook w:firstColumn="1" w:firstRow="1" w:lastColumn="0" w:lastRow="0" w:noHBand="0" w:noVBand="1" w:val="04A0"/>
      </w:tblPr>
      <w:tblGrid>
        <w:gridCol w:w="4320"/>
        <w:gridCol w:w="4320"/>
      </w:tblGrid>
      <w:tr>
        <w:tc>
          <w:tcPr>
            <w:tcW w:type="dxa" w:w="4320"/>
          </w:tcPr>
          <w:p>
            <w:r>
              <w:rPr>
                <w:b/>
              </w:rPr>
              <w:t>File / Directory</w:t>
            </w:r>
          </w:p>
        </w:tc>
        <w:tc>
          <w:tcPr>
            <w:tcW w:type="dxa" w:w="4320"/>
          </w:tcPr>
          <w:p>
            <w:r>
              <w:rPr>
                <w:b/>
              </w:rPr>
              <w:t>Purpose</w:t>
            </w:r>
          </w:p>
        </w:tc>
      </w:tr>
      <w:tr>
        <w:tc>
          <w:tcPr>
            <w:tcW w:type="dxa" w:w="4320"/>
          </w:tcPr>
          <w:p>
            <w:r>
              <w:t>README.md</w:t>
            </w:r>
          </w:p>
        </w:tc>
        <w:tc>
          <w:tcPr>
            <w:tcW w:type="dxa" w:w="4320"/>
          </w:tcPr>
          <w:p>
            <w:r>
              <w:t>Upstream dependency, RHDP prerequisites, usage instructions</w:t>
            </w:r>
          </w:p>
        </w:tc>
      </w:tr>
      <w:tr>
        <w:tc>
          <w:tcPr>
            <w:tcW w:type="dxa" w:w="4320"/>
          </w:tcPr>
          <w:p>
            <w:r>
              <w:t>LICENSE</w:t>
            </w:r>
          </w:p>
        </w:tc>
        <w:tc>
          <w:tcPr>
            <w:tcW w:type="dxa" w:w="4320"/>
          </w:tcPr>
          <w:p>
            <w:r>
              <w:t>MIT License</w:t>
            </w:r>
          </w:p>
        </w:tc>
      </w:tr>
      <w:tr>
        <w:tc>
          <w:tcPr>
            <w:tcW w:type="dxa" w:w="4320"/>
          </w:tcPr>
          <w:p>
            <w:r>
              <w:t>CODE_OF_CONDUCT.md</w:t>
            </w:r>
          </w:p>
        </w:tc>
        <w:tc>
          <w:tcPr>
            <w:tcW w:type="dxa" w:w="4320"/>
          </w:tcPr>
          <w:p>
            <w:r>
              <w:t>Contributor Covenant standard code of conduct</w:t>
            </w:r>
          </w:p>
        </w:tc>
      </w:tr>
      <w:tr>
        <w:tc>
          <w:tcPr>
            <w:tcW w:type="dxa" w:w="4320"/>
          </w:tcPr>
          <w:p>
            <w:r>
              <w:t>CONTRIBUTING.md</w:t>
            </w:r>
          </w:p>
        </w:tc>
        <w:tc>
          <w:tcPr>
            <w:tcW w:type="dxa" w:w="4320"/>
          </w:tcPr>
          <w:p>
            <w:r>
              <w:t>Guidance for contributors</w:t>
            </w:r>
          </w:p>
        </w:tc>
      </w:tr>
      <w:tr>
        <w:tc>
          <w:tcPr>
            <w:tcW w:type="dxa" w:w="4320"/>
          </w:tcPr>
          <w:p>
            <w:r>
              <w:t>CHANGELOG.md</w:t>
            </w:r>
          </w:p>
        </w:tc>
        <w:tc>
          <w:tcPr>
            <w:tcW w:type="dxa" w:w="4320"/>
          </w:tcPr>
          <w:p>
            <w:r>
              <w:t>Record of all changes</w:t>
            </w:r>
          </w:p>
        </w:tc>
      </w:tr>
      <w:tr>
        <w:tc>
          <w:tcPr>
            <w:tcW w:type="dxa" w:w="4320"/>
          </w:tcPr>
          <w:p>
            <w:r>
              <w:t>ansible.cfg</w:t>
            </w:r>
          </w:p>
        </w:tc>
        <w:tc>
          <w:tcPr>
            <w:tcW w:type="dxa" w:w="4320"/>
          </w:tcPr>
          <w:p>
            <w:r>
              <w:t>Project-level Ansible config — points to collections/, disables host key checking</w:t>
            </w:r>
          </w:p>
        </w:tc>
      </w:tr>
      <w:tr>
        <w:tc>
          <w:tcPr>
            <w:tcW w:type="dxa" w:w="4320"/>
          </w:tcPr>
          <w:p>
            <w:r>
              <w:t>.gitignore</w:t>
            </w:r>
          </w:p>
        </w:tc>
        <w:tc>
          <w:tcPr>
            <w:tcW w:type="dxa" w:w="4320"/>
          </w:tcPr>
          <w:p>
            <w:r>
              <w:t>Excludes collections/, docs/dev-environment.md, *.retry</w:t>
            </w:r>
          </w:p>
        </w:tc>
      </w:tr>
      <w:tr>
        <w:tc>
          <w:tcPr>
            <w:tcW w:type="dxa" w:w="4320"/>
          </w:tcPr>
          <w:p>
            <w:r>
              <w:t>collections/requirements.yml</w:t>
            </w:r>
          </w:p>
        </w:tc>
        <w:tc>
          <w:tcPr>
            <w:tcW w:type="dxa" w:w="4320"/>
          </w:tcPr>
          <w:p>
            <w:r>
              <w:t>Declares ansible.controller, ansible.platform dependencies</w:t>
            </w:r>
          </w:p>
        </w:tc>
      </w:tr>
      <w:tr>
        <w:tc>
          <w:tcPr>
            <w:tcW w:type="dxa" w:w="4320"/>
          </w:tcPr>
          <w:p>
            <w:r>
              <w:t>docs/dev-environment.md</w:t>
            </w:r>
          </w:p>
        </w:tc>
        <w:tc>
          <w:tcPr>
            <w:tcW w:type="dxa" w:w="4320"/>
          </w:tcPr>
          <w:p>
            <w:r>
              <w:t>RHDP credentials for current environment — gitignored, never committed</w:t>
            </w:r>
          </w:p>
        </w:tc>
      </w:tr>
      <w:tr>
        <w:tc>
          <w:tcPr>
            <w:tcW w:type="dxa" w:w="4320"/>
          </w:tcPr>
          <w:p>
            <w:r>
              <w:t>inventories/rhdp-sample/</w:t>
            </w:r>
          </w:p>
        </w:tc>
        <w:tc>
          <w:tcPr>
            <w:tcW w:type="dxa" w:w="4320"/>
          </w:tcPr>
          <w:p>
            <w:r>
              <w:t>Sample inventory — copy for each new RHDP environment</w:t>
            </w:r>
          </w:p>
        </w:tc>
      </w:tr>
      <w:tr>
        <w:tc>
          <w:tcPr>
            <w:tcW w:type="dxa" w:w="4320"/>
          </w:tcPr>
          <w:p>
            <w:r>
              <w:t>playbooks/preflight.yml</w:t>
            </w:r>
          </w:p>
        </w:tc>
        <w:tc>
          <w:tcPr>
            <w:tcW w:type="dxa" w:w="4320"/>
          </w:tcPr>
          <w:p>
            <w:r>
              <w:t>Validates upstream lab is deployed before running setup</w:t>
            </w:r>
          </w:p>
        </w:tc>
      </w:tr>
      <w:tr>
        <w:tc>
          <w:tcPr>
            <w:tcW w:type="dxa" w:w="4320"/>
          </w:tcPr>
          <w:p>
            <w:r>
              <w:t>playbooks/setup_phase1_apache.yml</w:t>
            </w:r>
          </w:p>
        </w:tc>
        <w:tc>
          <w:tcPr>
            <w:tcW w:type="dxa" w:w="4320"/>
          </w:tcPr>
          <w:p>
            <w:r>
              <w:t>Phase 1 setup — Apache AIOps workflows</w:t>
            </w:r>
          </w:p>
        </w:tc>
      </w:tr>
      <w:tr>
        <w:tc>
          <w:tcPr>
            <w:tcW w:type="dxa" w:w="4320"/>
          </w:tcPr>
          <w:p>
            <w:r>
              <w:t>playbooks/setup_phase2_network.yml</w:t>
            </w:r>
          </w:p>
        </w:tc>
        <w:tc>
          <w:tcPr>
            <w:tcW w:type="dxa" w:w="4320"/>
          </w:tcPr>
          <w:p>
            <w:r>
              <w:t>Phase 2 setup — Splunk, Cisco, EDA</w:t>
            </w:r>
          </w:p>
        </w:tc>
      </w:tr>
      <w:tr>
        <w:tc>
          <w:tcPr>
            <w:tcW w:type="dxa" w:w="4320"/>
          </w:tcPr>
          <w:p>
            <w:r>
              <w:t>playbooks/setup_phase3_windows.yml</w:t>
            </w:r>
          </w:p>
        </w:tc>
        <w:tc>
          <w:tcPr>
            <w:tcW w:type="dxa" w:w="4320"/>
          </w:tcPr>
          <w:p>
            <w:r>
              <w:t>Phase 3 setup — Windows AIOps</w:t>
            </w:r>
          </w:p>
        </w:tc>
      </w:tr>
      <w:tr>
        <w:tc>
          <w:tcPr>
            <w:tcW w:type="dxa" w:w="4320"/>
          </w:tcPr>
          <w:p>
            <w:r>
              <w:t>playbooks/reset_phase1_apache.yml</w:t>
            </w:r>
          </w:p>
        </w:tc>
        <w:tc>
          <w:tcPr>
            <w:tcW w:type="dxa" w:w="4320"/>
          </w:tcPr>
          <w:p>
            <w:r>
              <w:t>Reset Phase 1 to demo-ready state</w:t>
            </w:r>
          </w:p>
        </w:tc>
      </w:tr>
      <w:tr>
        <w:tc>
          <w:tcPr>
            <w:tcW w:type="dxa" w:w="4320"/>
          </w:tcPr>
          <w:p>
            <w:r>
              <w:t>playbooks/reset_phase2_network.yml</w:t>
            </w:r>
          </w:p>
        </w:tc>
        <w:tc>
          <w:tcPr>
            <w:tcW w:type="dxa" w:w="4320"/>
          </w:tcPr>
          <w:p>
            <w:r>
              <w:t>Reset Phase 2 to demo-ready state</w:t>
            </w:r>
          </w:p>
        </w:tc>
      </w:tr>
      <w:tr>
        <w:tc>
          <w:tcPr>
            <w:tcW w:type="dxa" w:w="4320"/>
          </w:tcPr>
          <w:p>
            <w:r>
              <w:t>playbooks/reset_phase3_windows.yml</w:t>
            </w:r>
          </w:p>
        </w:tc>
        <w:tc>
          <w:tcPr>
            <w:tcW w:type="dxa" w:w="4320"/>
          </w:tcPr>
          <w:p>
            <w:r>
              <w:t>Reset Phase 3 to demo-ready state</w:t>
            </w:r>
          </w:p>
        </w:tc>
      </w:tr>
    </w:tbl>
    <w:p>
      <w:pPr>
        <w:pStyle w:val="Heading1"/>
      </w:pPr>
      <w:r>
        <w:t>Phased Plan</w:t>
      </w:r>
    </w:p>
    <w:p>
      <w:pPr>
        <w:pStyle w:val="Heading2"/>
      </w:pPr>
      <w:r>
        <w:t>Phase 1 — Apache AIOps (RHEL)</w:t>
      </w:r>
    </w:p>
    <w:p>
      <w:r>
        <w:t>Automates the manual UI steps an attendee would otherwise perform in Section 1 and Section 2 of the lab.</w:t>
      </w:r>
    </w:p>
    <w:p>
      <w:pPr>
        <w:pStyle w:val="ListBullet"/>
      </w:pPr>
      <w:r>
        <w:t>Setup tasks:</w:t>
      </w:r>
    </w:p>
    <w:p>
      <w:pPr>
        <w:pStyle w:val="ListBullet2"/>
      </w:pPr>
      <w:r>
        <w:t>Create 'AI Insights and Lightspeed prompt generation' workflow (4 nodes: Apache Status Check → RHEL AI Analyze → Notify via Mattermost → Build Lightspeed Job Template)</w:t>
      </w:r>
    </w:p>
    <w:p>
      <w:pPr>
        <w:pStyle w:val="ListBullet2"/>
      </w:pPr>
      <w:r>
        <w:t>Create 'Remediation Workflow' (Lightspeed Generator → Commit Fix to Gitea → Project Sync → Build HTTPD Remediation Template)</w:t>
      </w:r>
    </w:p>
    <w:p>
      <w:pPr>
        <w:pStyle w:val="ListBullet2"/>
      </w:pPr>
      <w:r>
        <w:t>Verify all prerequisite job templates exist (pre-flight check)</w:t>
      </w:r>
    </w:p>
    <w:p>
      <w:pPr>
        <w:pStyle w:val="ListBullet2"/>
      </w:pPr>
      <w:r>
        <w:t>Reset Apache to known-good state</w:t>
      </w:r>
    </w:p>
    <w:p>
      <w:r>
        <w:rPr>
          <w:b/>
        </w:rPr>
        <w:t xml:space="preserve">Demo entry point: </w:t>
      </w:r>
      <w:r>
        <w:t>Run '❌ Break Apache' and watch EDA → AI analysis → Lightspeed remediation cascade.</w:t>
      </w:r>
    </w:p>
    <w:p>
      <w:pPr>
        <w:pStyle w:val="Heading2"/>
      </w:pPr>
      <w:r>
        <w:t>Phase 2 — Network AIOps (Splunk + Cisco + EDA)</w:t>
      </w:r>
    </w:p>
    <w:p>
      <w:r>
        <w:t>Automates the manual Splunk configuration and router setup steps in Sections 3 and 4.</w:t>
      </w:r>
    </w:p>
    <w:p>
      <w:pPr>
        <w:pStyle w:val="ListBullet"/>
      </w:pPr>
      <w:r>
        <w:t>Setup tasks:</w:t>
      </w:r>
    </w:p>
    <w:p>
      <w:pPr>
        <w:pStyle w:val="ListBullet2"/>
      </w:pPr>
      <w:r>
        <w:t>Configure Splunk TCP data input (port 5514, source type cisco:ios) via Splunk REST API</w:t>
      </w:r>
    </w:p>
    <w:p>
      <w:pPr>
        <w:pStyle w:val="ListBullet2"/>
      </w:pPr>
      <w:r>
        <w:t>Run 'Network-Router-Setup' job template to configure Cisco routers</w:t>
      </w:r>
    </w:p>
    <w:p>
      <w:pPr>
        <w:pStyle w:val="ListBullet2"/>
      </w:pPr>
      <w:r>
        <w:t>Create Splunk 'ospf-neighbor' real-time alert with webhook pointing to EDA</w:t>
      </w:r>
    </w:p>
    <w:p>
      <w:pPr>
        <w:pStyle w:val="ListBullet2"/>
      </w:pPr>
      <w:r>
        <w:t>Verify EDA 'OSPF Neighbor' rulebook activation is in Running state</w:t>
      </w:r>
    </w:p>
    <w:p>
      <w:pPr>
        <w:pStyle w:val="ListBullet2"/>
      </w:pPr>
      <w:r>
        <w:t>Ensure routers in known-good state (OSPF up, tunnel0 no shut)</w:t>
      </w:r>
    </w:p>
    <w:p>
      <w:r>
        <w:rPr>
          <w:b/>
        </w:rPr>
        <w:t xml:space="preserve">Demo entry point: </w:t>
      </w:r>
      <w:r>
        <w:t>SSH to cisco-rtr1, shut tunnel0 — Splunk detects, EDA triggers, Lightspeed generates playbook, human approval, fix applied.</w:t>
      </w:r>
    </w:p>
    <w:p>
      <w:pPr>
        <w:pStyle w:val="Heading2"/>
      </w:pPr>
      <w:r>
        <w:t>Phase 3 — Windows AIOps</w:t>
      </w:r>
    </w:p>
    <w:p>
      <w:r>
        <w:t>Automates setup of the Windows section covering Active Directory event detection, AI-enriched Mattermost tickets, and firewall change analysis.</w:t>
      </w:r>
    </w:p>
    <w:p>
      <w:pPr>
        <w:pStyle w:val="ListBullet"/>
      </w:pPr>
      <w:r>
        <w:t>Note: full task breakdown pending detailed review of the Windows module content.</w:t>
      </w:r>
    </w:p>
    <w:p>
      <w:pPr>
        <w:pStyle w:val="Heading1"/>
      </w:pPr>
      <w:r>
        <w:t>Lab Environment Credentials</w:t>
      </w:r>
    </w:p>
    <w:p>
      <w:r>
        <w:t>Store in docs/dev-environment.md (gitignored). Current RHDP environment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URL</w:t>
            </w:r>
          </w:p>
        </w:tc>
        <w:tc>
          <w:tcPr>
            <w:tcW w:type="dxa" w:w="2160"/>
          </w:tcPr>
          <w:p>
            <w:r>
              <w:rPr>
                <w:b/>
              </w:rPr>
              <w:t>Username</w:t>
            </w:r>
          </w:p>
        </w:tc>
        <w:tc>
          <w:tcPr>
            <w:tcW w:type="dxa" w:w="2160"/>
          </w:tcPr>
          <w:p>
            <w:r>
              <w:rPr>
                <w:b/>
              </w:rPr>
              <w:t>Password / Token</w:t>
            </w:r>
          </w:p>
        </w:tc>
      </w:tr>
      <w:tr>
        <w:tc>
          <w:tcPr>
            <w:tcW w:type="dxa" w:w="2160"/>
          </w:tcPr>
          <w:p>
            <w:r>
              <w:t>AAP (Controller)</w:t>
            </w:r>
          </w:p>
        </w:tc>
        <w:tc>
          <w:tcPr>
            <w:tcW w:type="dxa" w:w="2160"/>
          </w:tcPr>
          <w:p>
            <w:r>
              <w:t>https://controller-lmpch.apps.ocpv06.rhdp.net</w:t>
            </w:r>
          </w:p>
        </w:tc>
        <w:tc>
          <w:tcPr>
            <w:tcW w:type="dxa" w:w="2160"/>
          </w:tcPr>
          <w:p>
            <w:r>
              <w:t>admin</w:t>
            </w:r>
          </w:p>
        </w:tc>
        <w:tc>
          <w:tcPr>
            <w:tcW w:type="dxa" w:w="2160"/>
          </w:tcPr>
          <w:p>
            <w:r>
              <w:t>ansible123!</w:t>
            </w:r>
          </w:p>
        </w:tc>
      </w:tr>
      <w:tr>
        <w:tc>
          <w:tcPr>
            <w:tcW w:type="dxa" w:w="2160"/>
          </w:tcPr>
          <w:p>
            <w:r>
              <w:t>Mattermost</w:t>
            </w:r>
          </w:p>
        </w:tc>
        <w:tc>
          <w:tcPr>
            <w:tcW w:type="dxa" w:w="2160"/>
          </w:tcPr>
          <w:p>
            <w:r>
              <w:t>https://mattermost-lmpch.apps.ocpv06.rhdp.net</w:t>
            </w:r>
          </w:p>
        </w:tc>
        <w:tc>
          <w:tcPr>
            <w:tcW w:type="dxa" w:w="2160"/>
          </w:tcPr>
          <w:p>
            <w:r>
              <w:t>ansibleadmin@ansible.com</w:t>
            </w:r>
          </w:p>
        </w:tc>
        <w:tc>
          <w:tcPr>
            <w:tcW w:type="dxa" w:w="2160"/>
          </w:tcPr>
          <w:p>
            <w:r>
              <w:t>MTgwMDQw_1</w:t>
            </w:r>
          </w:p>
        </w:tc>
      </w:tr>
      <w:tr>
        <w:tc>
          <w:tcPr>
            <w:tcW w:type="dxa" w:w="2160"/>
          </w:tcPr>
          <w:p>
            <w:r>
              <w:t>Gitea</w:t>
            </w:r>
          </w:p>
        </w:tc>
        <w:tc>
          <w:tcPr>
            <w:tcW w:type="dxa" w:w="2160"/>
          </w:tcPr>
          <w:p>
            <w:r>
              <w:t>https://gitea-lmpch.apps.ocpv06.rhdp.net</w:t>
            </w:r>
          </w:p>
        </w:tc>
        <w:tc>
          <w:tcPr>
            <w:tcW w:type="dxa" w:w="2160"/>
          </w:tcPr>
          <w:p>
            <w:r>
              <w:t>lab-user</w:t>
            </w:r>
          </w:p>
        </w:tc>
        <w:tc>
          <w:tcPr>
            <w:tcW w:type="dxa" w:w="2160"/>
          </w:tcPr>
          <w:p>
            <w:r>
              <w:t>MTgwMDQw_1</w:t>
            </w:r>
          </w:p>
        </w:tc>
      </w:tr>
      <w:tr>
        <w:tc>
          <w:tcPr>
            <w:tcW w:type="dxa" w:w="2160"/>
          </w:tcPr>
          <w:p>
            <w:r>
              <w:t>Splunk</w:t>
            </w:r>
          </w:p>
        </w:tc>
        <w:tc>
          <w:tcPr>
            <w:tcW w:type="dxa" w:w="2160"/>
          </w:tcPr>
          <w:p>
            <w:r>
              <w:t>https://splunk-lmpch.apps.ocpv06.rhdp.net</w:t>
            </w:r>
          </w:p>
        </w:tc>
        <w:tc>
          <w:tcPr>
            <w:tcW w:type="dxa" w:w="2160"/>
          </w:tcPr>
          <w:p>
            <w:r>
              <w:t>admin</w:t>
            </w:r>
          </w:p>
        </w:tc>
        <w:tc>
          <w:tcPr>
            <w:tcW w:type="dxa" w:w="2160"/>
          </w:tcPr>
          <w:p>
            <w:r>
              <w:t>MTgwMDQw_1</w:t>
            </w:r>
          </w:p>
        </w:tc>
      </w:tr>
      <w:tr>
        <w:tc>
          <w:tcPr>
            <w:tcW w:type="dxa" w:w="2160"/>
          </w:tcPr>
          <w:p>
            <w:r>
              <w:t>SSH (Bastion / cisco-rtr1)</w:t>
            </w:r>
          </w:p>
        </w:tc>
        <w:tc>
          <w:tcPr>
            <w:tcW w:type="dxa" w:w="2160"/>
          </w:tcPr>
          <w:p>
            <w:r>
              <w:t>—</w:t>
            </w:r>
          </w:p>
        </w:tc>
        <w:tc>
          <w:tcPr>
            <w:tcW w:type="dxa" w:w="2160"/>
          </w:tcPr>
          <w:p>
            <w:r>
              <w:t>admin</w:t>
            </w:r>
          </w:p>
        </w:tc>
        <w:tc>
          <w:tcPr>
            <w:tcW w:type="dxa" w:w="2160"/>
          </w:tcPr>
          <w:p>
            <w:r>
              <w:t>ansible123!</w:t>
            </w:r>
          </w:p>
        </w:tc>
      </w:tr>
      <w:tr>
        <w:tc>
          <w:tcPr>
            <w:tcW w:type="dxa" w:w="2160"/>
          </w:tcPr>
          <w:p>
            <w:r>
              <w:t>EDA Webhook</w:t>
            </w:r>
          </w:p>
        </w:tc>
        <w:tc>
          <w:tcPr>
            <w:tcW w:type="dxa" w:w="2160"/>
          </w:tcPr>
          <w:p>
            <w:r>
              <w:t>https://eda-webhook-lmpch.apps.ocpv06.rhdp.net</w:t>
            </w:r>
          </w:p>
        </w:tc>
        <w:tc>
          <w:tcPr>
            <w:tcW w:type="dxa" w:w="2160"/>
          </w:tcPr>
          <w:p>
            <w:r>
              <w:t>—</w:t>
            </w:r>
          </w:p>
        </w:tc>
        <w:tc>
          <w:tcPr>
            <w:tcW w:type="dxa" w:w="2160"/>
          </w:tcPr>
          <w:p>
            <w:r>
              <w:t>—</w:t>
            </w:r>
          </w:p>
        </w:tc>
      </w:tr>
      <w:tr>
        <w:tc>
          <w:tcPr>
            <w:tcW w:type="dxa" w:w="2160"/>
          </w:tcPr>
          <w:p>
            <w:r>
              <w:t>AI Inference (LiteLLM/Granite)</w:t>
            </w:r>
          </w:p>
        </w:tc>
        <w:tc>
          <w:tcPr>
            <w:tcW w:type="dxa" w:w="2160"/>
          </w:tcPr>
          <w:p>
            <w:r>
              <w:t>https://litellm-prod.apps.maas.redhatworkshops.io/v1/completions</w:t>
            </w:r>
          </w:p>
        </w:tc>
        <w:tc>
          <w:tcPr>
            <w:tcW w:type="dxa" w:w="2160"/>
          </w:tcPr>
          <w:p>
            <w:r>
              <w:t>—</w:t>
            </w:r>
          </w:p>
        </w:tc>
        <w:tc>
          <w:tcPr>
            <w:tcW w:type="dxa" w:w="2160"/>
          </w:tcPr>
          <w:p>
            <w:r>
              <w:t>Bearer sk-Vyl2pQe3bsKcCmYU-IGl_g</w:t>
            </w:r>
          </w:p>
        </w:tc>
      </w:tr>
    </w:tbl>
    <w:p>
      <w:pPr>
        <w:pStyle w:val="Heading1"/>
      </w:pPr>
      <w:r>
        <w:t>Conventions</w:t>
      </w:r>
    </w:p>
    <w:p>
      <w:pPr>
        <w:pStyle w:val="ListBullet"/>
      </w:pPr>
      <w:r>
        <w:t>Use ansible.platform modules where available; fall back to ansible.controller only when no platform equivalent exists</w:t>
      </w:r>
    </w:p>
    <w:p>
      <w:pPr>
        <w:pStyle w:val="ListBullet"/>
      </w:pPr>
      <w:r>
        <w:t>All playbooks must be idempotent — safe to re-run between customer sessions</w:t>
      </w:r>
    </w:p>
    <w:p>
      <w:pPr>
        <w:pStyle w:val="ListBullet"/>
      </w:pPr>
      <w:r>
        <w:t>Update CHANGELOG.md before every commit</w:t>
      </w:r>
    </w:p>
    <w:p>
      <w:pPr>
        <w:pStyle w:val="ListBullet"/>
      </w:pPr>
      <w:r>
        <w:t>One fix per branch and PR</w:t>
      </w:r>
    </w:p>
    <w:p>
      <w:pPr>
        <w:pStyle w:val="ListBullet"/>
      </w:pPr>
      <w:r>
        <w:t>Any playbook that creates a token must delete it in an always: block</w:t>
      </w:r>
    </w:p>
    <w:p>
      <w:pPr>
        <w:pStyle w:val="ListBullet"/>
      </w:pPr>
      <w:r>
        <w:t>Never commit credentials — use docs/dev-environment.md (gitignored) and environment variables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