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7CF1" w14:textId="77777777" w:rsidR="003A6B5B" w:rsidRPr="00A67A16" w:rsidRDefault="003A6B5B" w:rsidP="00C82EF6">
      <w:pPr>
        <w:spacing w:after="160" w:line="480" w:lineRule="auto"/>
        <w:jc w:val="center"/>
        <w:rPr>
          <w:rFonts w:ascii="Times New Roman" w:hAnsi="Times New Roman" w:cs="Times New Roman"/>
        </w:rPr>
      </w:pPr>
    </w:p>
    <w:p w14:paraId="0C3CFC0D" w14:textId="77777777" w:rsidR="003A6B5B" w:rsidRPr="00A67A16" w:rsidRDefault="003A6B5B" w:rsidP="00C82EF6">
      <w:pPr>
        <w:spacing w:after="160" w:line="480" w:lineRule="auto"/>
        <w:jc w:val="center"/>
        <w:rPr>
          <w:rFonts w:ascii="Times New Roman" w:hAnsi="Times New Roman" w:cs="Times New Roman"/>
        </w:rPr>
      </w:pPr>
    </w:p>
    <w:p w14:paraId="1A9E31AD" w14:textId="77777777" w:rsidR="003A6B5B" w:rsidRPr="00A67A16" w:rsidRDefault="003A6B5B" w:rsidP="00C82EF6">
      <w:pPr>
        <w:spacing w:after="160" w:line="480" w:lineRule="auto"/>
        <w:jc w:val="center"/>
        <w:rPr>
          <w:rFonts w:ascii="Times New Roman" w:hAnsi="Times New Roman" w:cs="Times New Roman"/>
        </w:rPr>
      </w:pPr>
    </w:p>
    <w:p w14:paraId="7639B8AE" w14:textId="0A8A2F4B" w:rsidR="003A6B5B" w:rsidRPr="00A67A16" w:rsidRDefault="003A6B5B" w:rsidP="00C82EF6">
      <w:pPr>
        <w:spacing w:after="160" w:line="480" w:lineRule="auto"/>
        <w:jc w:val="center"/>
        <w:rPr>
          <w:rFonts w:ascii="Times New Roman" w:hAnsi="Times New Roman" w:cs="Times New Roman"/>
        </w:rPr>
      </w:pPr>
      <w:r w:rsidRPr="00A67A16">
        <w:rPr>
          <w:rFonts w:ascii="Times New Roman" w:hAnsi="Times New Roman" w:cs="Times New Roman"/>
          <w:b/>
        </w:rPr>
        <w:t>Sailing Past the Cargo: Would Foreign Ships Carrying Domestic Cargo Lower Hawaiʻi’s Westbound Freight Rate?</w:t>
      </w:r>
    </w:p>
    <w:p w14:paraId="22952375" w14:textId="77777777" w:rsidR="003A6B5B" w:rsidRPr="00A67A16" w:rsidRDefault="003A6B5B" w:rsidP="00C82EF6">
      <w:pPr>
        <w:spacing w:after="160" w:line="480" w:lineRule="auto"/>
        <w:jc w:val="center"/>
        <w:rPr>
          <w:rFonts w:ascii="Times New Roman" w:hAnsi="Times New Roman" w:cs="Times New Roman"/>
        </w:rPr>
      </w:pPr>
      <w:r w:rsidRPr="00A67A16">
        <w:rPr>
          <w:rFonts w:ascii="Times New Roman" w:hAnsi="Times New Roman" w:cs="Times New Roman"/>
        </w:rPr>
        <w:t>Eric Carmichael</w:t>
      </w:r>
    </w:p>
    <w:p w14:paraId="4E7E0D81" w14:textId="77777777" w:rsidR="003A6B5B" w:rsidRPr="00A67A16" w:rsidRDefault="003A6B5B" w:rsidP="00C82EF6">
      <w:pPr>
        <w:spacing w:after="160" w:line="480" w:lineRule="auto"/>
        <w:jc w:val="center"/>
        <w:rPr>
          <w:rFonts w:ascii="Times New Roman" w:hAnsi="Times New Roman" w:cs="Times New Roman"/>
        </w:rPr>
      </w:pPr>
      <w:r w:rsidRPr="00A67A16">
        <w:rPr>
          <w:rFonts w:ascii="Times New Roman" w:hAnsi="Times New Roman" w:cs="Times New Roman"/>
        </w:rPr>
        <w:t>BUS 620 — Individual Research Paper</w:t>
      </w:r>
    </w:p>
    <w:p w14:paraId="458EEDBF" w14:textId="02F948F7" w:rsidR="003A6B5B" w:rsidRPr="00A67A16" w:rsidRDefault="003A6B5B" w:rsidP="00C82EF6">
      <w:pPr>
        <w:spacing w:after="160" w:line="480" w:lineRule="auto"/>
        <w:jc w:val="center"/>
        <w:rPr>
          <w:rFonts w:ascii="Times New Roman" w:hAnsi="Times New Roman" w:cs="Times New Roman"/>
        </w:rPr>
      </w:pPr>
      <w:r w:rsidRPr="00A67A16">
        <w:rPr>
          <w:rFonts w:ascii="Times New Roman" w:hAnsi="Times New Roman" w:cs="Times New Roman"/>
        </w:rPr>
        <w:t xml:space="preserve">Shidler College of Business, University of Hawaiʻi at </w:t>
      </w:r>
      <w:proofErr w:type="spellStart"/>
      <w:r w:rsidRPr="00A67A16">
        <w:rPr>
          <w:rFonts w:ascii="Times New Roman" w:hAnsi="Times New Roman" w:cs="Times New Roman"/>
        </w:rPr>
        <w:t>Mānoa</w:t>
      </w:r>
      <w:proofErr w:type="spellEnd"/>
    </w:p>
    <w:p w14:paraId="36B088FD" w14:textId="693C796D" w:rsidR="003A6B5B" w:rsidRPr="00A67A16" w:rsidRDefault="003A6B5B" w:rsidP="00402288">
      <w:pPr>
        <w:spacing w:line="480" w:lineRule="auto"/>
        <w:jc w:val="center"/>
        <w:rPr>
          <w:rFonts w:ascii="Times New Roman" w:hAnsi="Times New Roman" w:cs="Times New Roman"/>
        </w:rPr>
      </w:pPr>
      <w:r w:rsidRPr="00A67A16">
        <w:rPr>
          <w:rFonts w:ascii="Times New Roman" w:hAnsi="Times New Roman" w:cs="Times New Roman"/>
        </w:rPr>
        <w:t>10.09.2026</w:t>
      </w:r>
      <w:r w:rsidRPr="00A67A16">
        <w:rPr>
          <w:rFonts w:ascii="Times New Roman" w:hAnsi="Times New Roman" w:cs="Times New Roman"/>
        </w:rPr>
        <w:br w:type="page"/>
      </w:r>
      <w:r w:rsidRPr="00A67A16">
        <w:rPr>
          <w:rFonts w:ascii="Times New Roman" w:hAnsi="Times New Roman" w:cs="Times New Roman"/>
          <w:b/>
        </w:rPr>
        <w:lastRenderedPageBreak/>
        <w:t>Would Foreign Ships Carrying Domestic Cargo Lower Hawaiʻi’s Westbound Freight Rate?</w:t>
      </w:r>
    </w:p>
    <w:p w14:paraId="44F20C77" w14:textId="45908224" w:rsidR="00D07357" w:rsidRPr="00A67A16" w:rsidRDefault="003A6B5B" w:rsidP="00C82EF6">
      <w:pPr>
        <w:spacing w:line="480" w:lineRule="auto"/>
        <w:rPr>
          <w:rFonts w:ascii="Times New Roman" w:hAnsi="Times New Roman" w:cs="Times New Roman"/>
        </w:rPr>
      </w:pPr>
      <w:r w:rsidRPr="00A67A16">
        <w:rPr>
          <w:rFonts w:ascii="Times New Roman" w:hAnsi="Times New Roman" w:cs="Times New Roman"/>
        </w:rPr>
        <w:tab/>
      </w:r>
      <w:r w:rsidR="00B8186E" w:rsidRPr="00A67A16">
        <w:rPr>
          <w:rFonts w:ascii="Times New Roman" w:hAnsi="Times New Roman" w:cs="Times New Roman"/>
        </w:rPr>
        <w:t xml:space="preserve">Almost everything sold in </w:t>
      </w:r>
      <w:r w:rsidR="00272197">
        <w:rPr>
          <w:rFonts w:ascii="Times New Roman" w:hAnsi="Times New Roman" w:cs="Times New Roman"/>
        </w:rPr>
        <w:t xml:space="preserve">the </w:t>
      </w:r>
      <w:r w:rsidR="00E01205">
        <w:rPr>
          <w:rFonts w:ascii="Times New Roman" w:hAnsi="Times New Roman" w:cs="Times New Roman"/>
        </w:rPr>
        <w:t xml:space="preserve">State of </w:t>
      </w:r>
      <w:r w:rsidR="00B8186E" w:rsidRPr="00A67A16">
        <w:rPr>
          <w:rFonts w:ascii="Times New Roman" w:hAnsi="Times New Roman" w:cs="Times New Roman"/>
        </w:rPr>
        <w:t xml:space="preserve">Hawaiʻi depends on ocean freight. The Hawaiʻi Department of Transportation (HDOT, 2024) estimates that 85% of goods consumed in the state are imported and 91% of those imports arrive through commercial ports. </w:t>
      </w:r>
      <w:r w:rsidR="00A87A0B">
        <w:rPr>
          <w:rFonts w:ascii="Times New Roman" w:hAnsi="Times New Roman" w:cs="Times New Roman"/>
        </w:rPr>
        <w:t xml:space="preserve">Much of this volume is transported by </w:t>
      </w:r>
      <w:r w:rsidR="00B8186E" w:rsidRPr="00A67A16">
        <w:rPr>
          <w:rFonts w:ascii="Times New Roman" w:hAnsi="Times New Roman" w:cs="Times New Roman"/>
        </w:rPr>
        <w:t>Matson and Pasha</w:t>
      </w:r>
      <w:r w:rsidR="00A6200A">
        <w:rPr>
          <w:rFonts w:ascii="Times New Roman" w:hAnsi="Times New Roman" w:cs="Times New Roman"/>
        </w:rPr>
        <w:t xml:space="preserve"> who together</w:t>
      </w:r>
      <w:r w:rsidR="00B8186E" w:rsidRPr="00A67A16">
        <w:rPr>
          <w:rFonts w:ascii="Times New Roman" w:hAnsi="Times New Roman" w:cs="Times New Roman"/>
        </w:rPr>
        <w:t xml:space="preserve"> form a duopoly in the West Coast–Hawaiʻi trade. Federal coastwise law reserves domestic merchandise moves for U.S.-owned, coastwise-qualified vessels (Maritime Administration [MARAD], 2026). I test a narrower counterfactual: let</w:t>
      </w:r>
      <w:r w:rsidR="001F469E">
        <w:rPr>
          <w:rFonts w:ascii="Times New Roman" w:hAnsi="Times New Roman" w:cs="Times New Roman"/>
        </w:rPr>
        <w:t>ting</w:t>
      </w:r>
      <w:r w:rsidR="00B8186E" w:rsidRPr="00A67A16">
        <w:rPr>
          <w:rFonts w:ascii="Times New Roman" w:hAnsi="Times New Roman" w:cs="Times New Roman"/>
        </w:rPr>
        <w:t xml:space="preserve"> a foreign-flag container ship already serving Honolulu carry domestic containers from a West Coast port to Honolulu, waiving vessel eligibility only for that westbound move.</w:t>
      </w:r>
    </w:p>
    <w:p w14:paraId="212F73A4" w14:textId="699FB9BC" w:rsidR="003A6B5B" w:rsidRPr="00A67A16" w:rsidRDefault="003A6B5B" w:rsidP="00C82EF6">
      <w:pPr>
        <w:spacing w:line="480" w:lineRule="auto"/>
        <w:rPr>
          <w:rFonts w:ascii="Times New Roman" w:hAnsi="Times New Roman" w:cs="Times New Roman"/>
        </w:rPr>
      </w:pPr>
      <w:r w:rsidRPr="00A67A16">
        <w:rPr>
          <w:rFonts w:ascii="Times New Roman" w:hAnsi="Times New Roman" w:cs="Times New Roman"/>
        </w:rPr>
        <w:tab/>
      </w:r>
      <w:r w:rsidR="002243F7" w:rsidRPr="002243F7">
        <w:rPr>
          <w:rFonts w:ascii="Times New Roman" w:hAnsi="Times New Roman" w:cs="Times New Roman"/>
        </w:rPr>
        <w:t>The question is current. Rep. Ed Case introduced H.R. 667 in January 2025 to open noncontiguous trade more broadly to qualifying foreign-flag vessels, but it has not advanced to a House vote (Noncontiguous Shipping Relief Act of 2024, 2025).</w:t>
      </w:r>
      <w:r w:rsidRPr="00A67A16">
        <w:rPr>
          <w:rFonts w:ascii="Times New Roman" w:hAnsi="Times New Roman" w:cs="Times New Roman"/>
        </w:rPr>
        <w:t xml:space="preserve"> </w:t>
      </w:r>
      <w:r w:rsidR="00EA3838" w:rsidRPr="00A67A16">
        <w:rPr>
          <w:rFonts w:ascii="Times New Roman" w:hAnsi="Times New Roman" w:cs="Times New Roman"/>
        </w:rPr>
        <w:t xml:space="preserve">Lower rates </w:t>
      </w:r>
      <w:r w:rsidR="0095708B">
        <w:rPr>
          <w:rFonts w:ascii="Times New Roman" w:hAnsi="Times New Roman" w:cs="Times New Roman"/>
        </w:rPr>
        <w:t xml:space="preserve">would </w:t>
      </w:r>
      <w:r w:rsidR="00EA3838" w:rsidRPr="00A67A16">
        <w:rPr>
          <w:rFonts w:ascii="Times New Roman" w:hAnsi="Times New Roman" w:cs="Times New Roman"/>
        </w:rPr>
        <w:t xml:space="preserve">first reduce </w:t>
      </w:r>
      <w:proofErr w:type="gramStart"/>
      <w:r w:rsidR="00EA3838" w:rsidRPr="00A67A16">
        <w:rPr>
          <w:rFonts w:ascii="Times New Roman" w:hAnsi="Times New Roman" w:cs="Times New Roman"/>
        </w:rPr>
        <w:t>shippers’</w:t>
      </w:r>
      <w:proofErr w:type="gramEnd"/>
      <w:r w:rsidR="00EA3838" w:rsidRPr="00A67A16">
        <w:rPr>
          <w:rFonts w:ascii="Times New Roman" w:hAnsi="Times New Roman" w:cs="Times New Roman"/>
        </w:rPr>
        <w:t xml:space="preserve"> </w:t>
      </w:r>
      <w:proofErr w:type="gramStart"/>
      <w:r w:rsidR="00EA3838" w:rsidRPr="00A67A16">
        <w:rPr>
          <w:rFonts w:ascii="Times New Roman" w:hAnsi="Times New Roman" w:cs="Times New Roman"/>
        </w:rPr>
        <w:t>landed</w:t>
      </w:r>
      <w:proofErr w:type="gramEnd"/>
      <w:r w:rsidR="00EA3838" w:rsidRPr="00A67A16">
        <w:rPr>
          <w:rFonts w:ascii="Times New Roman" w:hAnsi="Times New Roman" w:cs="Times New Roman"/>
        </w:rPr>
        <w:t xml:space="preserve"> costs</w:t>
      </w:r>
      <w:r w:rsidR="0095708B">
        <w:rPr>
          <w:rFonts w:ascii="Times New Roman" w:hAnsi="Times New Roman" w:cs="Times New Roman"/>
        </w:rPr>
        <w:t>.</w:t>
      </w:r>
      <w:r w:rsidR="00EA3838" w:rsidRPr="00A67A16">
        <w:rPr>
          <w:rFonts w:ascii="Times New Roman" w:hAnsi="Times New Roman" w:cs="Times New Roman"/>
        </w:rPr>
        <w:t xml:space="preserve"> </w:t>
      </w:r>
      <w:r w:rsidR="0095708B">
        <w:rPr>
          <w:rFonts w:ascii="Times New Roman" w:hAnsi="Times New Roman" w:cs="Times New Roman"/>
        </w:rPr>
        <w:t>C</w:t>
      </w:r>
      <w:r w:rsidR="00EA3838" w:rsidRPr="00A67A16">
        <w:rPr>
          <w:rFonts w:ascii="Times New Roman" w:hAnsi="Times New Roman" w:cs="Times New Roman"/>
        </w:rPr>
        <w:t xml:space="preserve">onsumers </w:t>
      </w:r>
      <w:proofErr w:type="gramStart"/>
      <w:r w:rsidR="002243F7">
        <w:rPr>
          <w:rFonts w:ascii="Times New Roman" w:hAnsi="Times New Roman" w:cs="Times New Roman"/>
        </w:rPr>
        <w:t>would</w:t>
      </w:r>
      <w:proofErr w:type="gramEnd"/>
      <w:r w:rsidR="002243F7">
        <w:rPr>
          <w:rFonts w:ascii="Times New Roman" w:hAnsi="Times New Roman" w:cs="Times New Roman"/>
        </w:rPr>
        <w:t xml:space="preserve"> </w:t>
      </w:r>
      <w:r w:rsidR="00EA3838" w:rsidRPr="00A67A16">
        <w:rPr>
          <w:rFonts w:ascii="Times New Roman" w:hAnsi="Times New Roman" w:cs="Times New Roman"/>
        </w:rPr>
        <w:t xml:space="preserve">gain only if savings pass through to shelf prices. Incumbent carriers and U.S.-flag maritime labor </w:t>
      </w:r>
      <w:r w:rsidR="00B81223">
        <w:rPr>
          <w:rFonts w:ascii="Times New Roman" w:hAnsi="Times New Roman" w:cs="Times New Roman"/>
        </w:rPr>
        <w:t>could</w:t>
      </w:r>
      <w:r w:rsidR="002243F7">
        <w:rPr>
          <w:rFonts w:ascii="Times New Roman" w:hAnsi="Times New Roman" w:cs="Times New Roman"/>
        </w:rPr>
        <w:t xml:space="preserve"> </w:t>
      </w:r>
      <w:r w:rsidR="00EA3838" w:rsidRPr="00A67A16">
        <w:rPr>
          <w:rFonts w:ascii="Times New Roman" w:hAnsi="Times New Roman" w:cs="Times New Roman"/>
        </w:rPr>
        <w:t xml:space="preserve">lose if volume </w:t>
      </w:r>
      <w:r w:rsidR="00327EEB" w:rsidRPr="00A67A16">
        <w:rPr>
          <w:rFonts w:ascii="Times New Roman" w:hAnsi="Times New Roman" w:cs="Times New Roman"/>
        </w:rPr>
        <w:t>shifted</w:t>
      </w:r>
      <w:r w:rsidR="00EA3838" w:rsidRPr="00A67A16">
        <w:rPr>
          <w:rFonts w:ascii="Times New Roman" w:hAnsi="Times New Roman" w:cs="Times New Roman"/>
        </w:rPr>
        <w:t>.</w:t>
      </w:r>
      <w:r w:rsidRPr="00A67A16">
        <w:rPr>
          <w:rFonts w:ascii="Times New Roman" w:hAnsi="Times New Roman" w:cs="Times New Roman"/>
        </w:rPr>
        <w:t xml:space="preserve"> </w:t>
      </w:r>
      <w:r w:rsidR="00092CA9" w:rsidRPr="00A67A16">
        <w:rPr>
          <w:rFonts w:ascii="Times New Roman" w:hAnsi="Times New Roman" w:cs="Times New Roman"/>
        </w:rPr>
        <w:t xml:space="preserve">The </w:t>
      </w:r>
      <w:r w:rsidRPr="00A67A16">
        <w:rPr>
          <w:rFonts w:ascii="Times New Roman" w:hAnsi="Times New Roman" w:cs="Times New Roman"/>
        </w:rPr>
        <w:t>decision hinges on</w:t>
      </w:r>
      <w:r w:rsidR="0058717B">
        <w:rPr>
          <w:rFonts w:ascii="Times New Roman" w:hAnsi="Times New Roman" w:cs="Times New Roman"/>
        </w:rPr>
        <w:t xml:space="preserve"> market entry</w:t>
      </w:r>
      <w:r w:rsidR="004674A2" w:rsidRPr="00A67A16">
        <w:rPr>
          <w:rFonts w:ascii="Times New Roman" w:hAnsi="Times New Roman" w:cs="Times New Roman"/>
        </w:rPr>
        <w:t>, competitive response</w:t>
      </w:r>
      <w:r w:rsidR="00C670C4">
        <w:rPr>
          <w:rFonts w:ascii="Times New Roman" w:hAnsi="Times New Roman" w:cs="Times New Roman"/>
        </w:rPr>
        <w:t>,</w:t>
      </w:r>
      <w:r w:rsidR="004674A2" w:rsidRPr="00A67A16">
        <w:rPr>
          <w:rFonts w:ascii="Times New Roman" w:hAnsi="Times New Roman" w:cs="Times New Roman"/>
        </w:rPr>
        <w:t xml:space="preserve"> and route economics.</w:t>
      </w:r>
    </w:p>
    <w:p w14:paraId="181D8E88" w14:textId="411C81A5" w:rsidR="003A6B5B" w:rsidRPr="00A67A16" w:rsidRDefault="003A6B5B" w:rsidP="00C82EF6">
      <w:pPr>
        <w:spacing w:line="480" w:lineRule="auto"/>
        <w:jc w:val="center"/>
        <w:rPr>
          <w:rFonts w:ascii="Times New Roman" w:hAnsi="Times New Roman" w:cs="Times New Roman"/>
          <w:b/>
          <w:bCs/>
        </w:rPr>
      </w:pPr>
      <w:r w:rsidRPr="00A67A16">
        <w:rPr>
          <w:rFonts w:ascii="Times New Roman" w:hAnsi="Times New Roman" w:cs="Times New Roman"/>
          <w:b/>
          <w:bCs/>
        </w:rPr>
        <w:t>The Jones Act R</w:t>
      </w:r>
      <w:r w:rsidR="00CF1247" w:rsidRPr="00A67A16">
        <w:rPr>
          <w:rFonts w:ascii="Times New Roman" w:hAnsi="Times New Roman" w:cs="Times New Roman"/>
          <w:b/>
          <w:bCs/>
        </w:rPr>
        <w:t xml:space="preserve">estricts the </w:t>
      </w:r>
      <w:r w:rsidRPr="00A67A16">
        <w:rPr>
          <w:rFonts w:ascii="Times New Roman" w:hAnsi="Times New Roman" w:cs="Times New Roman"/>
          <w:b/>
          <w:bCs/>
        </w:rPr>
        <w:t>Potential Competitive Set</w:t>
      </w:r>
    </w:p>
    <w:p w14:paraId="15BC092B" w14:textId="51049F2F" w:rsidR="003A6B5B" w:rsidRPr="00A67A16" w:rsidRDefault="003A6B5B" w:rsidP="00C82EF6">
      <w:pPr>
        <w:spacing w:line="480" w:lineRule="auto"/>
        <w:rPr>
          <w:rFonts w:ascii="Times New Roman" w:hAnsi="Times New Roman" w:cs="Times New Roman"/>
        </w:rPr>
      </w:pPr>
      <w:r w:rsidRPr="00A67A16">
        <w:rPr>
          <w:rFonts w:ascii="Times New Roman" w:hAnsi="Times New Roman" w:cs="Times New Roman"/>
        </w:rPr>
        <w:tab/>
        <w:t>Ocean transport has substantial fixed costs and economies of scale, which means removing a single legal barrier would not create perfect competition. Instead, a viable market entrant still need</w:t>
      </w:r>
      <w:r w:rsidR="00AF1AC3" w:rsidRPr="00A67A16">
        <w:rPr>
          <w:rFonts w:ascii="Times New Roman" w:hAnsi="Times New Roman" w:cs="Times New Roman"/>
        </w:rPr>
        <w:t>s</w:t>
      </w:r>
      <w:r w:rsidRPr="00A67A16">
        <w:rPr>
          <w:rFonts w:ascii="Times New Roman" w:hAnsi="Times New Roman" w:cs="Times New Roman"/>
        </w:rPr>
        <w:t xml:space="preserve"> sustainable volume, port access, containers, crews</w:t>
      </w:r>
      <w:r w:rsidR="00921B79">
        <w:rPr>
          <w:rFonts w:ascii="Times New Roman" w:hAnsi="Times New Roman" w:cs="Times New Roman"/>
        </w:rPr>
        <w:t>,</w:t>
      </w:r>
      <w:r w:rsidRPr="00A67A16">
        <w:rPr>
          <w:rFonts w:ascii="Times New Roman" w:hAnsi="Times New Roman" w:cs="Times New Roman"/>
        </w:rPr>
        <w:t xml:space="preserve"> and a </w:t>
      </w:r>
      <w:r w:rsidR="00170085" w:rsidRPr="00A67A16">
        <w:rPr>
          <w:rFonts w:ascii="Times New Roman" w:hAnsi="Times New Roman" w:cs="Times New Roman"/>
        </w:rPr>
        <w:t xml:space="preserve">competitive sailing </w:t>
      </w:r>
      <w:r w:rsidRPr="00A67A16">
        <w:rPr>
          <w:rFonts w:ascii="Times New Roman" w:hAnsi="Times New Roman" w:cs="Times New Roman"/>
        </w:rPr>
        <w:t>schedule. Matson identifies Pasha as its primary U.S</w:t>
      </w:r>
      <w:r w:rsidR="00E65B6B" w:rsidRPr="00A67A16">
        <w:rPr>
          <w:rFonts w:ascii="Times New Roman" w:hAnsi="Times New Roman" w:cs="Times New Roman"/>
        </w:rPr>
        <w:t xml:space="preserve">.-flagged </w:t>
      </w:r>
      <w:r w:rsidRPr="00A67A16">
        <w:rPr>
          <w:rFonts w:ascii="Times New Roman" w:hAnsi="Times New Roman" w:cs="Times New Roman"/>
        </w:rPr>
        <w:t xml:space="preserve">competitor in Hawai’i and foreign carriers </w:t>
      </w:r>
      <w:r w:rsidR="00B925CF" w:rsidRPr="00A67A16">
        <w:rPr>
          <w:rFonts w:ascii="Times New Roman" w:hAnsi="Times New Roman" w:cs="Times New Roman"/>
        </w:rPr>
        <w:t xml:space="preserve">Ocean Network Express </w:t>
      </w:r>
      <w:r w:rsidRPr="00A67A16">
        <w:rPr>
          <w:rFonts w:ascii="Times New Roman" w:hAnsi="Times New Roman" w:cs="Times New Roman"/>
        </w:rPr>
        <w:t xml:space="preserve">and CMA CGM as competitors for international cargo </w:t>
      </w:r>
      <w:r w:rsidR="005B1586" w:rsidRPr="005B1586">
        <w:rPr>
          <w:rFonts w:ascii="Times New Roman" w:hAnsi="Times New Roman" w:cs="Times New Roman"/>
        </w:rPr>
        <w:t>(Matson, Inc., 2026)</w:t>
      </w:r>
      <w:r w:rsidRPr="00A67A16">
        <w:rPr>
          <w:rFonts w:ascii="Times New Roman" w:hAnsi="Times New Roman" w:cs="Times New Roman"/>
        </w:rPr>
        <w:t>.</w:t>
      </w:r>
      <w:r w:rsidR="00012467" w:rsidRPr="00A67A16">
        <w:rPr>
          <w:rFonts w:ascii="Times New Roman" w:hAnsi="Times New Roman" w:cs="Times New Roman"/>
          <w:kern w:val="0"/>
          <w14:ligatures w14:val="none"/>
        </w:rPr>
        <w:t xml:space="preserve"> </w:t>
      </w:r>
      <w:r w:rsidR="00012467" w:rsidRPr="00A67A16">
        <w:rPr>
          <w:rFonts w:ascii="Times New Roman" w:hAnsi="Times New Roman" w:cs="Times New Roman"/>
        </w:rPr>
        <w:t xml:space="preserve">The counterfactual simply makes those foreign carriers eligible for domestic cargo without first </w:t>
      </w:r>
      <w:r w:rsidR="000B65B5">
        <w:rPr>
          <w:rFonts w:ascii="Times New Roman" w:hAnsi="Times New Roman" w:cs="Times New Roman"/>
        </w:rPr>
        <w:t>acquiring</w:t>
      </w:r>
      <w:r w:rsidR="00012467" w:rsidRPr="00A67A16">
        <w:rPr>
          <w:rFonts w:ascii="Times New Roman" w:hAnsi="Times New Roman" w:cs="Times New Roman"/>
        </w:rPr>
        <w:t xml:space="preserve"> a U.S. coastwise</w:t>
      </w:r>
      <w:r w:rsidR="005B1586">
        <w:rPr>
          <w:rFonts w:ascii="Times New Roman" w:hAnsi="Times New Roman" w:cs="Times New Roman"/>
        </w:rPr>
        <w:t>-</w:t>
      </w:r>
      <w:r w:rsidR="000B65B5">
        <w:rPr>
          <w:rFonts w:ascii="Times New Roman" w:hAnsi="Times New Roman" w:cs="Times New Roman"/>
        </w:rPr>
        <w:t xml:space="preserve">qualified </w:t>
      </w:r>
      <w:r w:rsidR="00012467" w:rsidRPr="00A67A16">
        <w:rPr>
          <w:rFonts w:ascii="Times New Roman" w:hAnsi="Times New Roman" w:cs="Times New Roman"/>
        </w:rPr>
        <w:t>fleet.</w:t>
      </w:r>
    </w:p>
    <w:p w14:paraId="5856F810" w14:textId="73DC10FA" w:rsidR="0056437E" w:rsidRPr="00A67A16" w:rsidRDefault="003A6B5B" w:rsidP="00C82EF6">
      <w:pPr>
        <w:spacing w:line="480" w:lineRule="auto"/>
        <w:rPr>
          <w:rFonts w:ascii="Times New Roman" w:hAnsi="Times New Roman" w:cs="Times New Roman"/>
        </w:rPr>
      </w:pPr>
      <w:r w:rsidRPr="00A67A16">
        <w:rPr>
          <w:rFonts w:ascii="Times New Roman" w:hAnsi="Times New Roman" w:cs="Times New Roman"/>
        </w:rPr>
        <w:lastRenderedPageBreak/>
        <w:tab/>
      </w:r>
      <w:r w:rsidR="008B2AE3" w:rsidRPr="00A67A16">
        <w:rPr>
          <w:rFonts w:ascii="Times New Roman" w:hAnsi="Times New Roman" w:cs="Times New Roman"/>
        </w:rPr>
        <w:t>CMA CGM’s 2025 Eagle Express X rotation called</w:t>
      </w:r>
      <w:r w:rsidR="006B73B1">
        <w:rPr>
          <w:rFonts w:ascii="Times New Roman" w:hAnsi="Times New Roman" w:cs="Times New Roman"/>
        </w:rPr>
        <w:t xml:space="preserve"> at</w:t>
      </w:r>
      <w:r w:rsidR="008B2AE3" w:rsidRPr="00A67A16">
        <w:rPr>
          <w:rFonts w:ascii="Times New Roman" w:hAnsi="Times New Roman" w:cs="Times New Roman"/>
        </w:rPr>
        <w:t xml:space="preserve"> Los Angeles, Oakland, then Honolulu and Dutch Harbor, with Honolulu every two weeks (CMA CGM, 2025)</w:t>
      </w:r>
      <w:r w:rsidR="00A730AB" w:rsidRPr="00A67A16">
        <w:rPr>
          <w:rFonts w:ascii="Times New Roman" w:hAnsi="Times New Roman" w:cs="Times New Roman"/>
        </w:rPr>
        <w:t>.</w:t>
      </w:r>
      <w:r w:rsidR="003275E1">
        <w:rPr>
          <w:rFonts w:ascii="Times New Roman" w:hAnsi="Times New Roman" w:cs="Times New Roman"/>
        </w:rPr>
        <w:t xml:space="preserve"> In 2025, Los Angeles</w:t>
      </w:r>
      <w:r w:rsidR="002D409C" w:rsidRPr="00A67A16">
        <w:rPr>
          <w:rFonts w:ascii="Times New Roman" w:hAnsi="Times New Roman" w:cs="Times New Roman"/>
        </w:rPr>
        <w:t xml:space="preserve"> handled 5.32 million loaded import</w:t>
      </w:r>
      <w:r w:rsidR="00A022E7">
        <w:rPr>
          <w:rFonts w:ascii="Times New Roman" w:hAnsi="Times New Roman" w:cs="Times New Roman"/>
        </w:rPr>
        <w:t xml:space="preserve"> twenty-foot equivalent units (TEUs)</w:t>
      </w:r>
      <w:r w:rsidR="002D409C" w:rsidRPr="00A67A16">
        <w:rPr>
          <w:rFonts w:ascii="Times New Roman" w:hAnsi="Times New Roman" w:cs="Times New Roman"/>
        </w:rPr>
        <w:t>, 1.43 million loaded export TEUs, and about 3.49 million empty</w:t>
      </w:r>
      <w:r w:rsidR="00E660A5" w:rsidRPr="00A67A16">
        <w:rPr>
          <w:rFonts w:ascii="Times New Roman" w:hAnsi="Times New Roman" w:cs="Times New Roman"/>
        </w:rPr>
        <w:t xml:space="preserve"> TEUs</w:t>
      </w:r>
      <w:r w:rsidR="002D409C" w:rsidRPr="00A67A16">
        <w:rPr>
          <w:rFonts w:ascii="Times New Roman" w:hAnsi="Times New Roman" w:cs="Times New Roman"/>
        </w:rPr>
        <w:t xml:space="preserve"> (Port of Los Angeles, 2025)</w:t>
      </w:r>
      <w:r w:rsidR="00D3757A" w:rsidRPr="00A67A16">
        <w:rPr>
          <w:rFonts w:ascii="Times New Roman" w:hAnsi="Times New Roman" w:cs="Times New Roman"/>
        </w:rPr>
        <w:t>.</w:t>
      </w:r>
      <w:r w:rsidR="00B53AF0" w:rsidRPr="00A67A16">
        <w:rPr>
          <w:rFonts w:ascii="Times New Roman" w:eastAsiaTheme="minorEastAsia" w:hAnsi="Times New Roman" w:cs="Times New Roman"/>
          <w:kern w:val="0"/>
          <w:szCs w:val="22"/>
          <w14:ligatures w14:val="none"/>
        </w:rPr>
        <w:t xml:space="preserve"> </w:t>
      </w:r>
      <w:r w:rsidR="00A939F9">
        <w:rPr>
          <w:rFonts w:ascii="Times New Roman" w:eastAsiaTheme="minorEastAsia" w:hAnsi="Times New Roman" w:cs="Times New Roman"/>
          <w:kern w:val="0"/>
          <w:szCs w:val="22"/>
          <w14:ligatures w14:val="none"/>
        </w:rPr>
        <w:t xml:space="preserve">That imbalance </w:t>
      </w:r>
      <w:r w:rsidR="00B53AF0" w:rsidRPr="00A67A16">
        <w:rPr>
          <w:rFonts w:ascii="Times New Roman" w:hAnsi="Times New Roman" w:cs="Times New Roman"/>
        </w:rPr>
        <w:t>suggest</w:t>
      </w:r>
      <w:r w:rsidR="00A939F9">
        <w:rPr>
          <w:rFonts w:ascii="Times New Roman" w:hAnsi="Times New Roman" w:cs="Times New Roman"/>
        </w:rPr>
        <w:t xml:space="preserve">s </w:t>
      </w:r>
      <w:r w:rsidR="00B53AF0" w:rsidRPr="00A67A16">
        <w:rPr>
          <w:rFonts w:ascii="Times New Roman" w:hAnsi="Times New Roman" w:cs="Times New Roman"/>
        </w:rPr>
        <w:t xml:space="preserve">westbound capacity that could earn incremental Hawaiʻi revenue. </w:t>
      </w:r>
    </w:p>
    <w:p w14:paraId="0A00696F" w14:textId="20EB91C8" w:rsidR="003A6B5B" w:rsidRPr="00A67A16" w:rsidRDefault="003A6B5B" w:rsidP="00C82EF6">
      <w:pPr>
        <w:spacing w:line="480" w:lineRule="auto"/>
        <w:jc w:val="center"/>
        <w:rPr>
          <w:rFonts w:ascii="Times New Roman" w:hAnsi="Times New Roman" w:cs="Times New Roman"/>
          <w:b/>
          <w:bCs/>
        </w:rPr>
      </w:pPr>
      <w:r w:rsidRPr="00A67A16">
        <w:rPr>
          <w:rFonts w:ascii="Times New Roman" w:hAnsi="Times New Roman" w:cs="Times New Roman"/>
          <w:b/>
          <w:bCs/>
        </w:rPr>
        <w:t>Competition Has Changed Pricing Behavior Previously</w:t>
      </w:r>
    </w:p>
    <w:p w14:paraId="60C6D2C3" w14:textId="2E5A9E9A" w:rsidR="00E46E53" w:rsidRPr="00A67A16" w:rsidRDefault="00E46E53" w:rsidP="00C82EF6">
      <w:pPr>
        <w:spacing w:line="480" w:lineRule="auto"/>
        <w:ind w:firstLine="720"/>
        <w:rPr>
          <w:rFonts w:ascii="Times New Roman" w:hAnsi="Times New Roman" w:cs="Times New Roman"/>
        </w:rPr>
      </w:pPr>
      <w:r w:rsidRPr="00A67A16">
        <w:rPr>
          <w:rFonts w:ascii="Times New Roman" w:hAnsi="Times New Roman" w:cs="Times New Roman"/>
        </w:rPr>
        <w:t>Matson’s pricing responses show competition can matter. A 2016 household-goods loyalty program aimed at Pasha offered a 15% discount at a 90% Hawaiʻi-volume threshold. After APL entered Guam, Matson expanded the program in 2018 to 20% at a 90% threshold in either Hawaiʻi or Guam and 25% when customers met it in both markets (</w:t>
      </w:r>
      <w:r w:rsidRPr="00A67A16">
        <w:rPr>
          <w:rFonts w:ascii="Times New Roman" w:hAnsi="Times New Roman" w:cs="Times New Roman"/>
          <w:i/>
        </w:rPr>
        <w:t>American President Lines, LLC v. Matson, Inc.</w:t>
      </w:r>
      <w:r w:rsidRPr="00A67A16">
        <w:rPr>
          <w:rFonts w:ascii="Times New Roman" w:hAnsi="Times New Roman" w:cs="Times New Roman"/>
        </w:rPr>
        <w:t>, 2025, pp. 45–46). The original discount responded to Pasha; the larger cross-trade tiers followed APL’s Guam entry. The discounts show an incumbent using price to defend volume, although loyalty terms can raise switching costs.</w:t>
      </w:r>
    </w:p>
    <w:p w14:paraId="69768C0B" w14:textId="5BCF893A" w:rsidR="00D4275B" w:rsidRPr="00A67A16" w:rsidRDefault="003A6B5B" w:rsidP="00C82EF6">
      <w:pPr>
        <w:spacing w:line="480" w:lineRule="auto"/>
        <w:ind w:firstLine="720"/>
        <w:rPr>
          <w:rFonts w:ascii="Times New Roman" w:hAnsi="Times New Roman" w:cs="Times New Roman"/>
        </w:rPr>
      </w:pPr>
      <w:r w:rsidRPr="00A67A16">
        <w:rPr>
          <w:rFonts w:ascii="Times New Roman" w:hAnsi="Times New Roman" w:cs="Times New Roman"/>
        </w:rPr>
        <w:t>Guam provides a</w:t>
      </w:r>
      <w:r w:rsidR="001D70D8">
        <w:rPr>
          <w:rFonts w:ascii="Times New Roman" w:hAnsi="Times New Roman" w:cs="Times New Roman"/>
        </w:rPr>
        <w:t xml:space="preserve">nother </w:t>
      </w:r>
      <w:r w:rsidR="00097271" w:rsidRPr="00A67A16">
        <w:rPr>
          <w:rFonts w:ascii="Times New Roman" w:hAnsi="Times New Roman" w:cs="Times New Roman"/>
        </w:rPr>
        <w:t xml:space="preserve">example </w:t>
      </w:r>
      <w:r w:rsidR="004E2E15" w:rsidRPr="00A67A16">
        <w:rPr>
          <w:rFonts w:ascii="Times New Roman" w:hAnsi="Times New Roman" w:cs="Times New Roman"/>
        </w:rPr>
        <w:t xml:space="preserve">but is not a direct foreign-flagged </w:t>
      </w:r>
      <w:r w:rsidR="007E5BF0" w:rsidRPr="00A67A16">
        <w:rPr>
          <w:rFonts w:ascii="Times New Roman" w:hAnsi="Times New Roman" w:cs="Times New Roman"/>
        </w:rPr>
        <w:t>comparison</w:t>
      </w:r>
      <w:r w:rsidR="00DF52AA" w:rsidRPr="00A67A16">
        <w:rPr>
          <w:rFonts w:ascii="Times New Roman" w:hAnsi="Times New Roman" w:cs="Times New Roman"/>
        </w:rPr>
        <w:t>. American President Lines (</w:t>
      </w:r>
      <w:r w:rsidR="00CA3BFE" w:rsidRPr="00A67A16">
        <w:rPr>
          <w:rFonts w:ascii="Times New Roman" w:hAnsi="Times New Roman" w:cs="Times New Roman"/>
        </w:rPr>
        <w:t>APL</w:t>
      </w:r>
      <w:r w:rsidR="00DF52AA" w:rsidRPr="00A67A16">
        <w:rPr>
          <w:rFonts w:ascii="Times New Roman" w:hAnsi="Times New Roman" w:cs="Times New Roman"/>
        </w:rPr>
        <w:t>)</w:t>
      </w:r>
      <w:r w:rsidRPr="00A67A16">
        <w:rPr>
          <w:rFonts w:ascii="Times New Roman" w:hAnsi="Times New Roman" w:cs="Times New Roman"/>
        </w:rPr>
        <w:t xml:space="preserve"> entered the U.S – Guam trade</w:t>
      </w:r>
      <w:r w:rsidR="00204D22" w:rsidRPr="00A67A16">
        <w:rPr>
          <w:rFonts w:ascii="Times New Roman" w:hAnsi="Times New Roman" w:cs="Times New Roman"/>
        </w:rPr>
        <w:t xml:space="preserve"> with U.S.-flagged, foreign-built ships</w:t>
      </w:r>
      <w:r w:rsidR="004C1E25" w:rsidRPr="00A67A16">
        <w:rPr>
          <w:rFonts w:ascii="Times New Roman" w:hAnsi="Times New Roman" w:cs="Times New Roman"/>
        </w:rPr>
        <w:t xml:space="preserve"> at</w:t>
      </w:r>
      <w:r w:rsidR="00C805AE" w:rsidRPr="00A67A16">
        <w:rPr>
          <w:rFonts w:ascii="Times New Roman" w:hAnsi="Times New Roman" w:cs="Times New Roman"/>
        </w:rPr>
        <w:t xml:space="preserve"> e</w:t>
      </w:r>
      <w:r w:rsidR="00590CA7" w:rsidRPr="00A67A16">
        <w:rPr>
          <w:rFonts w:ascii="Times New Roman" w:hAnsi="Times New Roman" w:cs="Times New Roman"/>
        </w:rPr>
        <w:t>nd of</w:t>
      </w:r>
      <w:r w:rsidR="00C805AE" w:rsidRPr="00A67A16">
        <w:rPr>
          <w:rFonts w:ascii="Times New Roman" w:hAnsi="Times New Roman" w:cs="Times New Roman"/>
        </w:rPr>
        <w:t xml:space="preserve"> 2015</w:t>
      </w:r>
      <w:r w:rsidR="004C1E25" w:rsidRPr="00A67A16">
        <w:rPr>
          <w:rFonts w:ascii="Times New Roman" w:hAnsi="Times New Roman" w:cs="Times New Roman"/>
        </w:rPr>
        <w:t xml:space="preserve">. After entry, </w:t>
      </w:r>
      <w:r w:rsidRPr="00A67A16">
        <w:rPr>
          <w:rFonts w:ascii="Times New Roman" w:hAnsi="Times New Roman" w:cs="Times New Roman"/>
        </w:rPr>
        <w:t xml:space="preserve">Matson’s market share fell from around 94% in 2016 to </w:t>
      </w:r>
      <w:r w:rsidR="0018727F" w:rsidRPr="00A67A16">
        <w:rPr>
          <w:rFonts w:ascii="Times New Roman" w:hAnsi="Times New Roman" w:cs="Times New Roman"/>
        </w:rPr>
        <w:t>82% in 2017 and 74% in 2018</w:t>
      </w:r>
      <w:r w:rsidR="00E1242B" w:rsidRPr="00A67A16">
        <w:rPr>
          <w:rFonts w:ascii="Times New Roman" w:hAnsi="Times New Roman" w:cs="Times New Roman"/>
        </w:rPr>
        <w:t>;</w:t>
      </w:r>
      <w:r w:rsidR="003B7808" w:rsidRPr="00A67A16">
        <w:rPr>
          <w:rFonts w:ascii="Times New Roman" w:hAnsi="Times New Roman" w:cs="Times New Roman"/>
        </w:rPr>
        <w:t xml:space="preserve"> 2025 court record</w:t>
      </w:r>
      <w:r w:rsidR="008458DD" w:rsidRPr="00A67A16">
        <w:rPr>
          <w:rFonts w:ascii="Times New Roman" w:hAnsi="Times New Roman" w:cs="Times New Roman"/>
        </w:rPr>
        <w:t>s</w:t>
      </w:r>
      <w:r w:rsidR="00F655A3" w:rsidRPr="00A67A16">
        <w:rPr>
          <w:rFonts w:ascii="Times New Roman" w:hAnsi="Times New Roman" w:cs="Times New Roman"/>
        </w:rPr>
        <w:t xml:space="preserve"> </w:t>
      </w:r>
      <w:r w:rsidR="00CD2701" w:rsidRPr="00A67A16">
        <w:rPr>
          <w:rFonts w:ascii="Times New Roman" w:hAnsi="Times New Roman" w:cs="Times New Roman"/>
        </w:rPr>
        <w:t>showed the figure at</w:t>
      </w:r>
      <w:r w:rsidR="006454DF" w:rsidRPr="00A67A16">
        <w:rPr>
          <w:rFonts w:ascii="Times New Roman" w:hAnsi="Times New Roman" w:cs="Times New Roman"/>
        </w:rPr>
        <w:t xml:space="preserve"> 70% </w:t>
      </w:r>
      <w:r w:rsidR="005440C7" w:rsidRPr="00A67A16">
        <w:rPr>
          <w:rFonts w:ascii="Times New Roman" w:hAnsi="Times New Roman" w:cs="Times New Roman"/>
        </w:rPr>
        <w:t>(Figure 1; American President Lines, LLC v. Matson, Inc., 2025, pp. 14–17)</w:t>
      </w:r>
      <w:r w:rsidR="00503303" w:rsidRPr="00A67A16">
        <w:rPr>
          <w:rFonts w:ascii="Times New Roman" w:hAnsi="Times New Roman" w:cs="Times New Roman"/>
        </w:rPr>
        <w:t>.</w:t>
      </w:r>
      <w:r w:rsidR="00F06067" w:rsidRPr="00A67A16">
        <w:rPr>
          <w:rFonts w:ascii="Times New Roman" w:hAnsi="Times New Roman" w:cs="Times New Roman"/>
        </w:rPr>
        <w:t xml:space="preserve"> Post APL entry,</w:t>
      </w:r>
      <w:r w:rsidR="00503303" w:rsidRPr="00A67A16">
        <w:rPr>
          <w:rFonts w:ascii="Times New Roman" w:hAnsi="Times New Roman" w:cs="Times New Roman"/>
        </w:rPr>
        <w:t xml:space="preserve"> </w:t>
      </w:r>
      <w:r w:rsidR="006D5BF4" w:rsidRPr="00A67A16">
        <w:rPr>
          <w:rFonts w:ascii="Times New Roman" w:hAnsi="Times New Roman" w:cs="Times New Roman"/>
        </w:rPr>
        <w:t>Home Depot initially allocated only 10% of its Guam volume to APL even though APL was about 40% cheaper because transit was roughly seven days longer</w:t>
      </w:r>
      <w:r w:rsidR="00292C54" w:rsidRPr="00A67A16">
        <w:rPr>
          <w:rFonts w:ascii="Times New Roman" w:hAnsi="Times New Roman" w:cs="Times New Roman"/>
        </w:rPr>
        <w:t xml:space="preserve"> </w:t>
      </w:r>
      <w:r w:rsidR="00FA6D86" w:rsidRPr="00A67A16">
        <w:rPr>
          <w:rFonts w:ascii="Times New Roman" w:hAnsi="Times New Roman" w:cs="Times New Roman"/>
        </w:rPr>
        <w:t>(</w:t>
      </w:r>
      <w:r w:rsidR="00FA6D86" w:rsidRPr="00A67A16">
        <w:rPr>
          <w:rFonts w:ascii="Times New Roman" w:hAnsi="Times New Roman" w:cs="Times New Roman"/>
          <w:i/>
        </w:rPr>
        <w:t>American President Lines, LLC v. Matson, Inc.</w:t>
      </w:r>
      <w:r w:rsidR="00FA6D86" w:rsidRPr="00A67A16">
        <w:rPr>
          <w:rFonts w:ascii="Times New Roman" w:hAnsi="Times New Roman" w:cs="Times New Roman"/>
        </w:rPr>
        <w:t>, 2025, p. 55)</w:t>
      </w:r>
      <w:r w:rsidR="006D5BF4" w:rsidRPr="00A67A16">
        <w:rPr>
          <w:rFonts w:ascii="Times New Roman" w:hAnsi="Times New Roman" w:cs="Times New Roman"/>
        </w:rPr>
        <w:t xml:space="preserve">. </w:t>
      </w:r>
      <w:r w:rsidR="001D70D8" w:rsidRPr="001D70D8">
        <w:rPr>
          <w:rFonts w:ascii="Times New Roman" w:hAnsi="Times New Roman" w:cs="Times New Roman"/>
        </w:rPr>
        <w:t>Matson’s former vice president of pricing said Matson sometimes adjusted Pacific Northwest prices in response to APL’s Oakland rates</w:t>
      </w:r>
      <w:r w:rsidR="00D4275B" w:rsidRPr="00A67A16">
        <w:rPr>
          <w:rFonts w:ascii="Times New Roman" w:hAnsi="Times New Roman" w:cs="Times New Roman"/>
        </w:rPr>
        <w:t xml:space="preserve"> (</w:t>
      </w:r>
      <w:r w:rsidR="00D4275B" w:rsidRPr="00A67A16">
        <w:rPr>
          <w:rFonts w:ascii="Times New Roman" w:hAnsi="Times New Roman" w:cs="Times New Roman"/>
          <w:i/>
        </w:rPr>
        <w:t>American President Lines, LLC v. Matson, Inc.</w:t>
      </w:r>
      <w:r w:rsidR="00D4275B" w:rsidRPr="00A67A16">
        <w:rPr>
          <w:rFonts w:ascii="Times New Roman" w:hAnsi="Times New Roman" w:cs="Times New Roman"/>
        </w:rPr>
        <w:t>, 2025, p. 12). Guam supports the competitive-response mechanism, not foreign-entry probability.</w:t>
      </w:r>
    </w:p>
    <w:p w14:paraId="07703622" w14:textId="1F75136A" w:rsidR="000E510C" w:rsidRPr="00A67A16" w:rsidRDefault="000E510C" w:rsidP="00C82EF6">
      <w:pPr>
        <w:spacing w:line="480" w:lineRule="auto"/>
        <w:jc w:val="center"/>
        <w:rPr>
          <w:rFonts w:ascii="Times New Roman" w:hAnsi="Times New Roman" w:cs="Times New Roman"/>
          <w:b/>
          <w:bCs/>
        </w:rPr>
      </w:pPr>
      <w:r w:rsidRPr="00A67A16">
        <w:rPr>
          <w:rFonts w:ascii="Times New Roman" w:hAnsi="Times New Roman" w:cs="Times New Roman"/>
          <w:b/>
        </w:rPr>
        <w:lastRenderedPageBreak/>
        <w:t>Directional Pricing Limits How Much Competition Can Do</w:t>
      </w:r>
    </w:p>
    <w:p w14:paraId="4B9F30DA" w14:textId="318704F1" w:rsidR="003A6B5B" w:rsidRPr="00A67A16" w:rsidRDefault="00756549" w:rsidP="00C82EF6">
      <w:pPr>
        <w:spacing w:line="480" w:lineRule="auto"/>
        <w:rPr>
          <w:rFonts w:ascii="Times New Roman" w:hAnsi="Times New Roman" w:cs="Times New Roman"/>
        </w:rPr>
      </w:pPr>
      <w:r w:rsidRPr="00A67A16">
        <w:rPr>
          <w:rFonts w:ascii="Times New Roman" w:hAnsi="Times New Roman" w:cs="Times New Roman"/>
        </w:rPr>
        <w:tab/>
        <w:t>Matson</w:t>
      </w:r>
      <w:r w:rsidR="00E46E58" w:rsidRPr="00A67A16">
        <w:rPr>
          <w:rFonts w:ascii="Times New Roman" w:hAnsi="Times New Roman" w:cs="Times New Roman"/>
        </w:rPr>
        <w:t>’s</w:t>
      </w:r>
      <w:r w:rsidRPr="00A67A16">
        <w:rPr>
          <w:rFonts w:ascii="Times New Roman" w:hAnsi="Times New Roman" w:cs="Times New Roman"/>
        </w:rPr>
        <w:t xml:space="preserve"> household goods rates show a large directional discrepanc</w:t>
      </w:r>
      <w:r w:rsidR="00102992" w:rsidRPr="00A67A16">
        <w:rPr>
          <w:rFonts w:ascii="Times New Roman" w:hAnsi="Times New Roman" w:cs="Times New Roman"/>
        </w:rPr>
        <w:t>y</w:t>
      </w:r>
      <w:r w:rsidR="00235059" w:rsidRPr="00A67A16">
        <w:rPr>
          <w:rFonts w:ascii="Times New Roman" w:hAnsi="Times New Roman" w:cs="Times New Roman"/>
        </w:rPr>
        <w:t xml:space="preserve"> for Hawai’</w:t>
      </w:r>
      <w:r w:rsidR="00C90C0E" w:rsidRPr="00A67A16">
        <w:rPr>
          <w:rFonts w:ascii="Times New Roman" w:hAnsi="Times New Roman" w:cs="Times New Roman"/>
        </w:rPr>
        <w:t>i (Figure 2)</w:t>
      </w:r>
      <w:r w:rsidR="00F04895" w:rsidRPr="00A67A16">
        <w:rPr>
          <w:rFonts w:ascii="Times New Roman" w:hAnsi="Times New Roman" w:cs="Times New Roman"/>
        </w:rPr>
        <w:t xml:space="preserve">. In 2025, the base rate for a 40ft container was $7,276 </w:t>
      </w:r>
      <w:r w:rsidR="007936DC" w:rsidRPr="00A67A16">
        <w:rPr>
          <w:rFonts w:ascii="Times New Roman" w:hAnsi="Times New Roman" w:cs="Times New Roman"/>
        </w:rPr>
        <w:t xml:space="preserve">westbound and </w:t>
      </w:r>
      <w:r w:rsidR="00F04895" w:rsidRPr="00A67A16">
        <w:rPr>
          <w:rFonts w:ascii="Times New Roman" w:hAnsi="Times New Roman" w:cs="Times New Roman"/>
        </w:rPr>
        <w:t>$</w:t>
      </w:r>
      <w:r w:rsidR="000129F0" w:rsidRPr="00A67A16">
        <w:rPr>
          <w:rFonts w:ascii="Times New Roman" w:hAnsi="Times New Roman" w:cs="Times New Roman"/>
        </w:rPr>
        <w:t>4,254</w:t>
      </w:r>
      <w:r w:rsidR="007936DC" w:rsidRPr="00A67A16">
        <w:rPr>
          <w:rFonts w:ascii="Times New Roman" w:hAnsi="Times New Roman" w:cs="Times New Roman"/>
        </w:rPr>
        <w:t xml:space="preserve"> eastbound</w:t>
      </w:r>
      <w:r w:rsidR="000129F0" w:rsidRPr="00A67A16">
        <w:rPr>
          <w:rFonts w:ascii="Times New Roman" w:hAnsi="Times New Roman" w:cs="Times New Roman"/>
        </w:rPr>
        <w:t>.</w:t>
      </w:r>
      <w:r w:rsidR="00E0732F" w:rsidRPr="00A67A16">
        <w:rPr>
          <w:rFonts w:ascii="Times New Roman" w:hAnsi="Times New Roman" w:cs="Times New Roman"/>
        </w:rPr>
        <w:t xml:space="preserve"> In 2026, the same rates were $7,476 </w:t>
      </w:r>
      <w:r w:rsidR="006B63CC" w:rsidRPr="00A67A16">
        <w:rPr>
          <w:rFonts w:ascii="Times New Roman" w:hAnsi="Times New Roman" w:cs="Times New Roman"/>
        </w:rPr>
        <w:t>and</w:t>
      </w:r>
      <w:r w:rsidR="00E0732F" w:rsidRPr="00A67A16">
        <w:rPr>
          <w:rFonts w:ascii="Times New Roman" w:hAnsi="Times New Roman" w:cs="Times New Roman"/>
        </w:rPr>
        <w:t xml:space="preserve"> $</w:t>
      </w:r>
      <w:r w:rsidR="006B63CC" w:rsidRPr="00A67A16">
        <w:rPr>
          <w:rFonts w:ascii="Times New Roman" w:hAnsi="Times New Roman" w:cs="Times New Roman"/>
        </w:rPr>
        <w:t>4,354 respectively</w:t>
      </w:r>
      <w:r w:rsidR="00590AD1" w:rsidRPr="00A67A16">
        <w:rPr>
          <w:rFonts w:ascii="Times New Roman" w:hAnsi="Times New Roman" w:cs="Times New Roman"/>
        </w:rPr>
        <w:t xml:space="preserve"> (Matson Navigation Company, 2025, 2026).</w:t>
      </w:r>
      <w:r w:rsidR="006B63CC" w:rsidRPr="00A67A16">
        <w:rPr>
          <w:rFonts w:ascii="Times New Roman" w:hAnsi="Times New Roman" w:cs="Times New Roman"/>
        </w:rPr>
        <w:t xml:space="preserve"> The westbound rate was </w:t>
      </w:r>
      <w:r w:rsidR="00201C2E" w:rsidRPr="00A67A16">
        <w:rPr>
          <w:rFonts w:ascii="Times New Roman" w:hAnsi="Times New Roman" w:cs="Times New Roman"/>
        </w:rPr>
        <w:t>~</w:t>
      </w:r>
      <w:r w:rsidR="006B63CC" w:rsidRPr="00A67A16">
        <w:rPr>
          <w:rFonts w:ascii="Times New Roman" w:hAnsi="Times New Roman" w:cs="Times New Roman"/>
        </w:rPr>
        <w:t>71% higher in both years</w:t>
      </w:r>
      <w:r w:rsidR="002245BD" w:rsidRPr="00A67A16">
        <w:rPr>
          <w:rFonts w:ascii="Times New Roman" w:hAnsi="Times New Roman" w:cs="Times New Roman"/>
        </w:rPr>
        <w:t xml:space="preserve">. </w:t>
      </w:r>
      <w:r w:rsidR="00AE242F" w:rsidRPr="00A67A16">
        <w:rPr>
          <w:rFonts w:ascii="Times New Roman" w:hAnsi="Times New Roman" w:cs="Times New Roman"/>
        </w:rPr>
        <w:t>B</w:t>
      </w:r>
      <w:r w:rsidR="002245BD" w:rsidRPr="00A67A16">
        <w:rPr>
          <w:rFonts w:ascii="Times New Roman" w:hAnsi="Times New Roman" w:cs="Times New Roman"/>
        </w:rPr>
        <w:t>oth directions operate under the same coastwise law</w:t>
      </w:r>
      <w:r w:rsidR="00AE242F" w:rsidRPr="00A67A16">
        <w:rPr>
          <w:rFonts w:ascii="Times New Roman" w:hAnsi="Times New Roman" w:cs="Times New Roman"/>
        </w:rPr>
        <w:t>s</w:t>
      </w:r>
      <w:r w:rsidR="002245BD" w:rsidRPr="00A67A16">
        <w:rPr>
          <w:rFonts w:ascii="Times New Roman" w:hAnsi="Times New Roman" w:cs="Times New Roman"/>
        </w:rPr>
        <w:t xml:space="preserve"> and carrier market, </w:t>
      </w:r>
      <w:r w:rsidR="00CD26AE" w:rsidRPr="00A67A16">
        <w:rPr>
          <w:rFonts w:ascii="Times New Roman" w:hAnsi="Times New Roman" w:cs="Times New Roman"/>
        </w:rPr>
        <w:t xml:space="preserve">so the gap cannot be </w:t>
      </w:r>
      <w:r w:rsidR="002245BD" w:rsidRPr="00A67A16">
        <w:rPr>
          <w:rFonts w:ascii="Times New Roman" w:hAnsi="Times New Roman" w:cs="Times New Roman"/>
        </w:rPr>
        <w:t>identif</w:t>
      </w:r>
      <w:r w:rsidR="00CD26AE" w:rsidRPr="00A67A16">
        <w:rPr>
          <w:rFonts w:ascii="Times New Roman" w:hAnsi="Times New Roman" w:cs="Times New Roman"/>
        </w:rPr>
        <w:t>ied as</w:t>
      </w:r>
      <w:r w:rsidR="002245BD" w:rsidRPr="00A67A16">
        <w:rPr>
          <w:rFonts w:ascii="Times New Roman" w:hAnsi="Times New Roman" w:cs="Times New Roman"/>
        </w:rPr>
        <w:t xml:space="preserve"> a Jones </w:t>
      </w:r>
      <w:r w:rsidR="00931F3E" w:rsidRPr="00A67A16">
        <w:rPr>
          <w:rFonts w:ascii="Times New Roman" w:hAnsi="Times New Roman" w:cs="Times New Roman"/>
        </w:rPr>
        <w:t xml:space="preserve">Act premium. </w:t>
      </w:r>
    </w:p>
    <w:p w14:paraId="68C09BAB" w14:textId="5BE7B6A6" w:rsidR="004B3292" w:rsidRPr="00A67A16" w:rsidRDefault="004B3292" w:rsidP="00C82EF6">
      <w:pPr>
        <w:spacing w:line="480" w:lineRule="auto"/>
        <w:ind w:firstLine="720"/>
        <w:rPr>
          <w:rFonts w:ascii="Times New Roman" w:hAnsi="Times New Roman" w:cs="Times New Roman"/>
        </w:rPr>
      </w:pPr>
      <w:r w:rsidRPr="00A67A16">
        <w:rPr>
          <w:rFonts w:ascii="Times New Roman" w:hAnsi="Times New Roman" w:cs="Times New Roman"/>
        </w:rPr>
        <w:t xml:space="preserve">Hawaiʻi’s </w:t>
      </w:r>
      <w:r w:rsidR="00480B28" w:rsidRPr="00A67A16">
        <w:rPr>
          <w:rFonts w:ascii="Times New Roman" w:hAnsi="Times New Roman" w:cs="Times New Roman"/>
        </w:rPr>
        <w:t xml:space="preserve">ocean cargo </w:t>
      </w:r>
      <w:r w:rsidRPr="00A67A16">
        <w:rPr>
          <w:rFonts w:ascii="Times New Roman" w:hAnsi="Times New Roman" w:cs="Times New Roman"/>
        </w:rPr>
        <w:t>flows are strongly inbound: from 2001 through 2016, the state averaged 12.8 million tons inbound and 1.7 million tons outbound annually (Hawaiʻi Department of Business, Economic Development &amp; Tourism [DBEDT], 2019). That imbalance supports cheap eastbound backhaul and greater recovery of round-trip cost westbound. More competitors could narrow westbound markups without erasing th</w:t>
      </w:r>
      <w:r w:rsidR="00EF5860">
        <w:rPr>
          <w:rFonts w:ascii="Times New Roman" w:hAnsi="Times New Roman" w:cs="Times New Roman"/>
        </w:rPr>
        <w:t>at</w:t>
      </w:r>
      <w:r w:rsidRPr="00A67A16">
        <w:rPr>
          <w:rFonts w:ascii="Times New Roman" w:hAnsi="Times New Roman" w:cs="Times New Roman"/>
        </w:rPr>
        <w:t xml:space="preserve"> structural gap</w:t>
      </w:r>
      <w:r w:rsidR="00480B28" w:rsidRPr="00A67A16">
        <w:rPr>
          <w:rFonts w:ascii="Times New Roman" w:hAnsi="Times New Roman" w:cs="Times New Roman"/>
        </w:rPr>
        <w:t>. I</w:t>
      </w:r>
      <w:r w:rsidRPr="00A67A16">
        <w:rPr>
          <w:rFonts w:ascii="Times New Roman" w:hAnsi="Times New Roman" w:cs="Times New Roman"/>
        </w:rPr>
        <w:t>ndirect responses could include schedule or network-price changes (Figure 3). GAO reported that four carriers described noncontiguous rates as generally stable and seven of nine interviewed entities considered carrier numbers adequate, while cautioning that the interviews were not generalizable (U.S. Government Accountability Office [GAO], 2022).</w:t>
      </w:r>
    </w:p>
    <w:p w14:paraId="7127ECA3" w14:textId="77777777" w:rsidR="00A604FA" w:rsidRPr="00A67A16" w:rsidRDefault="00A604FA" w:rsidP="00C82EF6">
      <w:pPr>
        <w:spacing w:line="480" w:lineRule="auto"/>
        <w:jc w:val="center"/>
        <w:rPr>
          <w:rFonts w:ascii="Times New Roman" w:hAnsi="Times New Roman" w:cs="Times New Roman"/>
          <w:b/>
          <w:bCs/>
        </w:rPr>
      </w:pPr>
      <w:r w:rsidRPr="00A67A16">
        <w:rPr>
          <w:rFonts w:ascii="Times New Roman" w:hAnsi="Times New Roman" w:cs="Times New Roman"/>
          <w:b/>
        </w:rPr>
        <w:t>The Strongest In-Scope Objection Is That Foreign Carriers May Not Enter</w:t>
      </w:r>
    </w:p>
    <w:p w14:paraId="14499CDF" w14:textId="37B2A70E" w:rsidR="00E458AD" w:rsidRDefault="00E458AD" w:rsidP="00C82EF6">
      <w:pPr>
        <w:spacing w:line="480" w:lineRule="auto"/>
        <w:ind w:firstLine="720"/>
        <w:rPr>
          <w:rFonts w:ascii="Times New Roman" w:hAnsi="Times New Roman" w:cs="Times New Roman"/>
        </w:rPr>
      </w:pPr>
      <w:r w:rsidRPr="00E458AD">
        <w:rPr>
          <w:rFonts w:ascii="Times New Roman" w:hAnsi="Times New Roman" w:cs="Times New Roman"/>
        </w:rPr>
        <w:t>Foreign carriers must still consider transit time, service frequency, and switching costs. Matson’s five weekly West Coast departure</w:t>
      </w:r>
      <w:r w:rsidR="003428D6">
        <w:rPr>
          <w:rFonts w:ascii="Times New Roman" w:hAnsi="Times New Roman" w:cs="Times New Roman"/>
        </w:rPr>
        <w:t>s – two</w:t>
      </w:r>
      <w:r w:rsidRPr="00E458AD">
        <w:rPr>
          <w:rFonts w:ascii="Times New Roman" w:hAnsi="Times New Roman" w:cs="Times New Roman"/>
        </w:rPr>
        <w:t xml:space="preserve"> each from Long Beach and Oakland and one from Tacoma</w:t>
      </w:r>
      <w:r w:rsidR="003428D6">
        <w:rPr>
          <w:rFonts w:ascii="Times New Roman" w:hAnsi="Times New Roman" w:cs="Times New Roman"/>
        </w:rPr>
        <w:t xml:space="preserve"> –</w:t>
      </w:r>
      <w:r w:rsidR="003428D6" w:rsidRPr="003428D6">
        <w:t xml:space="preserve"> </w:t>
      </w:r>
      <w:r w:rsidR="003428D6" w:rsidRPr="003428D6">
        <w:rPr>
          <w:rFonts w:ascii="Times New Roman" w:hAnsi="Times New Roman" w:cs="Times New Roman"/>
        </w:rPr>
        <w:t>give it a significant service-frequency advantage over CMA CGM’s fortnightly Honolulu service (CMA CGM, 2025; Matson, Inc., 2026).</w:t>
      </w:r>
    </w:p>
    <w:p w14:paraId="2DEBFF94" w14:textId="77777777" w:rsidR="00F034B1" w:rsidRDefault="00F034B1" w:rsidP="00C82EF6">
      <w:pPr>
        <w:spacing w:line="480" w:lineRule="auto"/>
        <w:ind w:firstLine="720"/>
        <w:rPr>
          <w:rFonts w:ascii="Times New Roman" w:hAnsi="Times New Roman" w:cs="Times New Roman"/>
        </w:rPr>
      </w:pPr>
      <w:r w:rsidRPr="00F034B1">
        <w:rPr>
          <w:rFonts w:ascii="Times New Roman" w:hAnsi="Times New Roman" w:cs="Times New Roman"/>
        </w:rPr>
        <w:t xml:space="preserve">The Guam evidence shows that lower-priced service may not win much volume when it is slower. CMA CGM already calls </w:t>
      </w:r>
      <w:proofErr w:type="gramStart"/>
      <w:r w:rsidRPr="00F034B1">
        <w:rPr>
          <w:rFonts w:ascii="Times New Roman" w:hAnsi="Times New Roman" w:cs="Times New Roman"/>
        </w:rPr>
        <w:t>Honolulu</w:t>
      </w:r>
      <w:proofErr w:type="gramEnd"/>
      <w:r w:rsidRPr="00F034B1">
        <w:rPr>
          <w:rFonts w:ascii="Times New Roman" w:hAnsi="Times New Roman" w:cs="Times New Roman"/>
        </w:rPr>
        <w:t xml:space="preserve"> and westbound cargo offers </w:t>
      </w:r>
      <w:proofErr w:type="gramStart"/>
      <w:r w:rsidRPr="00F034B1">
        <w:rPr>
          <w:rFonts w:ascii="Times New Roman" w:hAnsi="Times New Roman" w:cs="Times New Roman"/>
        </w:rPr>
        <w:t>incremental-revenue</w:t>
      </w:r>
      <w:proofErr w:type="gramEnd"/>
      <w:r w:rsidRPr="00F034B1">
        <w:rPr>
          <w:rFonts w:ascii="Times New Roman" w:hAnsi="Times New Roman" w:cs="Times New Roman"/>
        </w:rPr>
        <w:t xml:space="preserve"> potential, but the business case remains unproven. Matson’s Form 10-K lists Jones Act repeal, </w:t>
      </w:r>
      <w:r w:rsidRPr="00F034B1">
        <w:rPr>
          <w:rFonts w:ascii="Times New Roman" w:hAnsi="Times New Roman" w:cs="Times New Roman"/>
        </w:rPr>
        <w:lastRenderedPageBreak/>
        <w:t>amendment, or waiver as a competitive risk if lower-cost foreign-built or foreign-flag vessels enter Hawaiʻi (Matson, Inc., 2026). That shows the incumbent recognizes the competitive risk, not that a foreign carrier intends to enter. Without participation, there is no new competitive constraint and no rate benefit.</w:t>
      </w:r>
    </w:p>
    <w:p w14:paraId="191499EC" w14:textId="03BB2DA7" w:rsidR="00A67A16" w:rsidRPr="00A67A16" w:rsidRDefault="003A52F0" w:rsidP="00C82EF6">
      <w:pPr>
        <w:spacing w:line="480" w:lineRule="auto"/>
        <w:ind w:firstLine="720"/>
        <w:rPr>
          <w:rFonts w:ascii="Times New Roman" w:hAnsi="Times New Roman" w:cs="Times New Roman"/>
        </w:rPr>
      </w:pPr>
      <w:r w:rsidRPr="003A52F0">
        <w:rPr>
          <w:rFonts w:ascii="Times New Roman" w:hAnsi="Times New Roman" w:cs="Times New Roman"/>
        </w:rPr>
        <w:t>A separate policy consideration is the national-security capacity potentially put at risk. The Jones Act is defended partly on the grounds that it supports merchant-marine, mariner, shipyard, and military-sealift capacity (</w:t>
      </w:r>
      <w:proofErr w:type="spellStart"/>
      <w:r w:rsidRPr="003A52F0">
        <w:rPr>
          <w:rFonts w:ascii="Times New Roman" w:hAnsi="Times New Roman" w:cs="Times New Roman"/>
        </w:rPr>
        <w:t>Frittelli</w:t>
      </w:r>
      <w:proofErr w:type="spellEnd"/>
      <w:r w:rsidRPr="003A52F0">
        <w:rPr>
          <w:rFonts w:ascii="Times New Roman" w:hAnsi="Times New Roman" w:cs="Times New Roman"/>
        </w:rPr>
        <w:t>, 2019; GAO, 2022), which this freight-rate analysis does not attempt to value</w:t>
      </w:r>
      <w:r w:rsidR="00A67A16" w:rsidRPr="00A67A16">
        <w:rPr>
          <w:rFonts w:ascii="Times New Roman" w:hAnsi="Times New Roman" w:cs="Times New Roman"/>
        </w:rPr>
        <w:t>.</w:t>
      </w:r>
    </w:p>
    <w:p w14:paraId="28965ACA" w14:textId="29BE3EF9" w:rsidR="007341EA" w:rsidRPr="00A67A16" w:rsidRDefault="007341EA" w:rsidP="00C82EF6">
      <w:pPr>
        <w:spacing w:line="480" w:lineRule="auto"/>
        <w:jc w:val="center"/>
        <w:rPr>
          <w:rFonts w:ascii="Times New Roman" w:hAnsi="Times New Roman" w:cs="Times New Roman"/>
          <w:b/>
          <w:bCs/>
        </w:rPr>
      </w:pPr>
      <w:r w:rsidRPr="00A67A16">
        <w:rPr>
          <w:rFonts w:ascii="Times New Roman" w:hAnsi="Times New Roman" w:cs="Times New Roman"/>
          <w:b/>
          <w:bCs/>
        </w:rPr>
        <w:t>Decision Rule and Recommendation</w:t>
      </w:r>
    </w:p>
    <w:p w14:paraId="2AD29B54" w14:textId="77777777" w:rsidR="0030709E" w:rsidRDefault="0030709E" w:rsidP="00C82EF6">
      <w:pPr>
        <w:spacing w:line="480" w:lineRule="auto"/>
        <w:ind w:firstLine="720"/>
        <w:rPr>
          <w:rFonts w:ascii="Times New Roman" w:hAnsi="Times New Roman" w:cs="Times New Roman"/>
        </w:rPr>
      </w:pPr>
      <w:r w:rsidRPr="0030709E">
        <w:rPr>
          <w:rFonts w:ascii="Times New Roman" w:hAnsi="Times New Roman" w:cs="Times New Roman"/>
        </w:rPr>
        <w:t xml:space="preserve">On freight-rate grounds, I </w:t>
      </w:r>
      <w:proofErr w:type="gramStart"/>
      <w:r w:rsidRPr="0030709E">
        <w:rPr>
          <w:rFonts w:ascii="Times New Roman" w:hAnsi="Times New Roman" w:cs="Times New Roman"/>
        </w:rPr>
        <w:t>would</w:t>
      </w:r>
      <w:proofErr w:type="gramEnd"/>
      <w:r w:rsidRPr="0030709E">
        <w:rPr>
          <w:rFonts w:ascii="Times New Roman" w:hAnsi="Times New Roman" w:cs="Times New Roman"/>
        </w:rPr>
        <w:t xml:space="preserve"> reject the exemption if no eligible foreign carrier shows credible interest or if entry wins no meaningful volume and produces no incumbent price or service response. Pasha in Hawaiʻi and APL in Guam show why the second condition matters: competition won volume and changed incumbent behavior. This does not, however, prove that a foreign carrier would enter the Hawaiʻi market, but CMA CGM’s Honolulu call, the westbound imbalance, and Matson’s disclosed Jones Act risks make a market test plausible. If no carrier enters, or if entry produces neither meaningful switching nor a measurable incumbent response, there is no freight-rate case for continuing the exemption.</w:t>
      </w:r>
    </w:p>
    <w:p w14:paraId="45248FB7" w14:textId="61D3D42E" w:rsidR="000827AF" w:rsidRPr="00A67A16" w:rsidRDefault="001D6F9F" w:rsidP="000827AF">
      <w:pPr>
        <w:spacing w:line="480" w:lineRule="auto"/>
        <w:ind w:firstLine="720"/>
        <w:rPr>
          <w:rFonts w:ascii="Times New Roman" w:hAnsi="Times New Roman" w:cs="Times New Roman"/>
        </w:rPr>
      </w:pPr>
      <w:r w:rsidRPr="001D6F9F">
        <w:rPr>
          <w:rFonts w:ascii="Times New Roman" w:hAnsi="Times New Roman" w:cs="Times New Roman"/>
        </w:rPr>
        <w:t>I therefore support a narrow Honolulu–West Coast container exemption rather than H.R. 667’s broader opening. For two years, HDOT should monitor entry, switching, westbound rates, sailing frequency, and indirect eastbound effects. Pressure should be greatest on less time-sensitive westbound cargo, particularly among shippers willing to trade some transit time for a lower rate. The evidence supports the potential for lower rates; however, the size of any savings is uncertain.</w:t>
      </w:r>
      <w:r w:rsidR="000827AF">
        <w:rPr>
          <w:rFonts w:ascii="Times New Roman" w:hAnsi="Times New Roman" w:cs="Times New Roman"/>
        </w:rPr>
        <w:t xml:space="preserve">  </w:t>
      </w:r>
    </w:p>
    <w:p w14:paraId="7EAD3C77" w14:textId="77777777" w:rsidR="00CE05C7" w:rsidRDefault="00CE05C7" w:rsidP="00CE05C7">
      <w:pPr>
        <w:keepNext/>
        <w:jc w:val="center"/>
      </w:pPr>
      <w:r>
        <w:rPr>
          <w:rFonts w:ascii="Times New Roman" w:hAnsi="Times New Roman"/>
          <w:b/>
        </w:rPr>
        <w:lastRenderedPageBreak/>
        <w:t>Figures</w:t>
      </w:r>
    </w:p>
    <w:p w14:paraId="56F5A015" w14:textId="77777777" w:rsidR="00CE05C7" w:rsidRDefault="00CE05C7" w:rsidP="00CE05C7">
      <w:pPr>
        <w:keepNext/>
      </w:pPr>
      <w:r>
        <w:rPr>
          <w:rFonts w:ascii="Times New Roman" w:hAnsi="Times New Roman"/>
          <w:b/>
        </w:rPr>
        <w:t>Figure 1</w:t>
      </w:r>
    </w:p>
    <w:p w14:paraId="280B3367" w14:textId="77777777" w:rsidR="00CE05C7" w:rsidRDefault="00CE05C7" w:rsidP="00CE05C7">
      <w:pPr>
        <w:keepNext/>
      </w:pPr>
      <w:r>
        <w:rPr>
          <w:rFonts w:ascii="Times New Roman" w:hAnsi="Times New Roman"/>
          <w:i/>
        </w:rPr>
        <w:t>Matson U.S.–Guam Market Share After APL Entry</w:t>
      </w:r>
    </w:p>
    <w:p w14:paraId="50BFADDD" w14:textId="77777777" w:rsidR="00CE05C7" w:rsidRDefault="00CE05C7" w:rsidP="00CE05C7">
      <w:pPr>
        <w:keepNext/>
        <w:jc w:val="center"/>
      </w:pPr>
      <w:r>
        <w:rPr>
          <w:noProof/>
        </w:rPr>
        <w:drawing>
          <wp:inline distT="0" distB="0" distL="0" distR="0" wp14:anchorId="20B6667F" wp14:editId="1086D501">
            <wp:extent cx="5897880" cy="2673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uam_share.png"/>
                    <pic:cNvPicPr/>
                  </pic:nvPicPr>
                  <pic:blipFill>
                    <a:blip r:embed="rId6"/>
                    <a:stretch>
                      <a:fillRect/>
                    </a:stretch>
                  </pic:blipFill>
                  <pic:spPr>
                    <a:xfrm>
                      <a:off x="0" y="0"/>
                      <a:ext cx="5897880" cy="2673706"/>
                    </a:xfrm>
                    <a:prstGeom prst="rect">
                      <a:avLst/>
                    </a:prstGeom>
                  </pic:spPr>
                </pic:pic>
              </a:graphicData>
            </a:graphic>
          </wp:inline>
        </w:drawing>
      </w:r>
    </w:p>
    <w:p w14:paraId="647DE102" w14:textId="77777777" w:rsidR="00CE05C7" w:rsidRDefault="00CE05C7" w:rsidP="00CE05C7">
      <w:r>
        <w:rPr>
          <w:rFonts w:ascii="Times New Roman" w:hAnsi="Times New Roman"/>
          <w:i/>
        </w:rPr>
        <w:t>Note.</w:t>
      </w:r>
      <w:r>
        <w:rPr>
          <w:rFonts w:ascii="Times New Roman" w:hAnsi="Times New Roman"/>
        </w:rPr>
        <w:t xml:space="preserve"> Following APL’s entry, Matson’s share was approximately 94% in 2016, 82% in 2017, and 74% in 2018. The court reported that it then fluctuated around 70% until after the COVID-19 pandemic. The dotted segment spans a gap in reported years and should not be read as an annual trend. Guam is comparator evidence for the competition mechanism, not a causal estimate for Hawaiʻi. Data from </w:t>
      </w:r>
      <w:r>
        <w:rPr>
          <w:rFonts w:ascii="Times New Roman" w:hAnsi="Times New Roman"/>
          <w:i/>
        </w:rPr>
        <w:t>American President Lines, LLC v. Matson, Inc.</w:t>
      </w:r>
      <w:r>
        <w:rPr>
          <w:rFonts w:ascii="Times New Roman" w:hAnsi="Times New Roman"/>
        </w:rPr>
        <w:t xml:space="preserve"> (2025, pp. 14–17).</w:t>
      </w:r>
      <w:r>
        <w:rPr>
          <w:rFonts w:ascii="Times New Roman" w:hAnsi="Times New Roman"/>
        </w:rPr>
        <w:br w:type="page"/>
      </w:r>
    </w:p>
    <w:p w14:paraId="4C2DEEE1" w14:textId="77777777" w:rsidR="00CE05C7" w:rsidRDefault="00CE05C7" w:rsidP="00CE05C7">
      <w:pPr>
        <w:keepNext/>
      </w:pPr>
      <w:r>
        <w:rPr>
          <w:rFonts w:ascii="Times New Roman" w:hAnsi="Times New Roman"/>
          <w:b/>
        </w:rPr>
        <w:lastRenderedPageBreak/>
        <w:t>Figure 2</w:t>
      </w:r>
    </w:p>
    <w:p w14:paraId="19320FD2" w14:textId="77777777" w:rsidR="00CE05C7" w:rsidRDefault="00CE05C7" w:rsidP="00CE05C7">
      <w:pPr>
        <w:keepNext/>
      </w:pPr>
      <w:r>
        <w:rPr>
          <w:rFonts w:ascii="Times New Roman" w:hAnsi="Times New Roman"/>
          <w:i/>
        </w:rPr>
        <w:t>Published Hawaiʻi Household-Goods Rates by Direction</w:t>
      </w:r>
    </w:p>
    <w:p w14:paraId="3095BC36" w14:textId="77777777" w:rsidR="00CE05C7" w:rsidRDefault="00CE05C7" w:rsidP="00CE05C7">
      <w:pPr>
        <w:keepNext/>
        <w:jc w:val="center"/>
      </w:pPr>
      <w:r>
        <w:rPr>
          <w:noProof/>
        </w:rPr>
        <w:drawing>
          <wp:inline distT="0" distB="0" distL="0" distR="0" wp14:anchorId="1FA64A0D" wp14:editId="4973A186">
            <wp:extent cx="5897880" cy="27190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irectional_rates.png"/>
                    <pic:cNvPicPr/>
                  </pic:nvPicPr>
                  <pic:blipFill>
                    <a:blip r:embed="rId7"/>
                    <a:stretch>
                      <a:fillRect/>
                    </a:stretch>
                  </pic:blipFill>
                  <pic:spPr>
                    <a:xfrm>
                      <a:off x="0" y="0"/>
                      <a:ext cx="5897880" cy="2719074"/>
                    </a:xfrm>
                    <a:prstGeom prst="rect">
                      <a:avLst/>
                    </a:prstGeom>
                  </pic:spPr>
                </pic:pic>
              </a:graphicData>
            </a:graphic>
          </wp:inline>
        </w:drawing>
      </w:r>
    </w:p>
    <w:p w14:paraId="7B62440C" w14:textId="77777777" w:rsidR="00CE05C7" w:rsidRDefault="00CE05C7" w:rsidP="00CE05C7">
      <w:r>
        <w:rPr>
          <w:rFonts w:ascii="Times New Roman" w:hAnsi="Times New Roman"/>
          <w:i/>
        </w:rPr>
        <w:t>Note.</w:t>
      </w:r>
      <w:r>
        <w:rPr>
          <w:rFonts w:ascii="Times New Roman" w:hAnsi="Times New Roman"/>
        </w:rPr>
        <w:t xml:space="preserve"> Published rates for a 40-foot </w:t>
      </w:r>
      <w:proofErr w:type="gramStart"/>
      <w:r>
        <w:rPr>
          <w:rFonts w:ascii="Times New Roman" w:hAnsi="Times New Roman"/>
        </w:rPr>
        <w:t>household-goods</w:t>
      </w:r>
      <w:proofErr w:type="gramEnd"/>
      <w:r>
        <w:rPr>
          <w:rFonts w:ascii="Times New Roman" w:hAnsi="Times New Roman"/>
        </w:rPr>
        <w:t xml:space="preserve"> container. Westbound rates were approximately 71% above eastbound in 2025 and 72% above eastbound in 2026. Military household-goods moves remain subject to U.S.-flag cargo preference, so these rates are used only to illustrate directionality. Data from Matson Navigation Company (2025, 2026).</w:t>
      </w:r>
      <w:r>
        <w:rPr>
          <w:rFonts w:ascii="Times New Roman" w:hAnsi="Times New Roman"/>
        </w:rPr>
        <w:br w:type="page"/>
      </w:r>
    </w:p>
    <w:p w14:paraId="03D977CD" w14:textId="77777777" w:rsidR="00CE05C7" w:rsidRDefault="00CE05C7" w:rsidP="00CE05C7">
      <w:pPr>
        <w:keepNext/>
      </w:pPr>
      <w:r>
        <w:rPr>
          <w:rFonts w:ascii="Times New Roman" w:hAnsi="Times New Roman"/>
          <w:b/>
        </w:rPr>
        <w:lastRenderedPageBreak/>
        <w:t>Figure 3</w:t>
      </w:r>
    </w:p>
    <w:p w14:paraId="48D59544" w14:textId="77777777" w:rsidR="00CE05C7" w:rsidRDefault="00CE05C7" w:rsidP="00CE05C7">
      <w:pPr>
        <w:keepNext/>
      </w:pPr>
      <w:r>
        <w:rPr>
          <w:rFonts w:ascii="Times New Roman" w:hAnsi="Times New Roman"/>
          <w:i/>
        </w:rPr>
        <w:t>How Additional Competition Could Affect Directional Pricing</w:t>
      </w:r>
    </w:p>
    <w:p w14:paraId="44CC2878" w14:textId="77777777" w:rsidR="00CE05C7" w:rsidRDefault="00CE05C7" w:rsidP="00CE05C7">
      <w:pPr>
        <w:keepNext/>
        <w:jc w:val="center"/>
      </w:pPr>
      <w:r>
        <w:rPr>
          <w:noProof/>
        </w:rPr>
        <w:drawing>
          <wp:inline distT="0" distB="0" distL="0" distR="0" wp14:anchorId="7408727C" wp14:editId="031CF2F7">
            <wp:extent cx="5897880" cy="28596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chanism.png"/>
                    <pic:cNvPicPr/>
                  </pic:nvPicPr>
                  <pic:blipFill>
                    <a:blip r:embed="rId8"/>
                    <a:stretch>
                      <a:fillRect/>
                    </a:stretch>
                  </pic:blipFill>
                  <pic:spPr>
                    <a:xfrm>
                      <a:off x="0" y="0"/>
                      <a:ext cx="5897880" cy="2859652"/>
                    </a:xfrm>
                    <a:prstGeom prst="rect">
                      <a:avLst/>
                    </a:prstGeom>
                  </pic:spPr>
                </pic:pic>
              </a:graphicData>
            </a:graphic>
          </wp:inline>
        </w:drawing>
      </w:r>
    </w:p>
    <w:p w14:paraId="6CFB16C6" w14:textId="67396A78" w:rsidR="00C82EF6" w:rsidRDefault="00CE05C7" w:rsidP="00CE05C7">
      <w:pPr>
        <w:spacing w:line="480" w:lineRule="auto"/>
        <w:rPr>
          <w:rFonts w:ascii="Times New Roman" w:hAnsi="Times New Roman"/>
        </w:rPr>
      </w:pPr>
      <w:r>
        <w:rPr>
          <w:rFonts w:ascii="Times New Roman" w:hAnsi="Times New Roman"/>
          <w:i/>
        </w:rPr>
        <w:t>Note.</w:t>
      </w:r>
      <w:r>
        <w:rPr>
          <w:rFonts w:ascii="Times New Roman" w:hAnsi="Times New Roman"/>
        </w:rPr>
        <w:t xml:space="preserve"> Conceptual illustration, not to scale. More credible substitutes make an incumbent’s residual demand more elastic and can narrow the markup over marginal cost. The proposed carveout directly changes westbound eligibility only; eastbound rates receive no direct treatment and could move only through indirect network responses. Author illustration based on the BUS 620 pricing-power framework (Stauffer, 2026).</w:t>
      </w:r>
    </w:p>
    <w:p w14:paraId="0E8AE4E8" w14:textId="77777777" w:rsidR="00CE05C7" w:rsidRDefault="00CE05C7" w:rsidP="00CE05C7">
      <w:pPr>
        <w:spacing w:line="480" w:lineRule="auto"/>
        <w:rPr>
          <w:rFonts w:ascii="Times New Roman" w:hAnsi="Times New Roman"/>
        </w:rPr>
      </w:pPr>
    </w:p>
    <w:p w14:paraId="1B0E0526" w14:textId="77777777" w:rsidR="00CE05C7" w:rsidRDefault="00CE05C7" w:rsidP="00CE05C7">
      <w:pPr>
        <w:spacing w:line="480" w:lineRule="auto"/>
        <w:rPr>
          <w:rFonts w:ascii="Times New Roman" w:hAnsi="Times New Roman"/>
        </w:rPr>
      </w:pPr>
    </w:p>
    <w:p w14:paraId="7ED900EE" w14:textId="77777777" w:rsidR="00CE05C7" w:rsidRDefault="00CE05C7" w:rsidP="00CE05C7">
      <w:pPr>
        <w:spacing w:line="480" w:lineRule="auto"/>
        <w:rPr>
          <w:rFonts w:ascii="Times New Roman" w:hAnsi="Times New Roman"/>
        </w:rPr>
      </w:pPr>
    </w:p>
    <w:p w14:paraId="00D1B03C" w14:textId="77777777" w:rsidR="00CE05C7" w:rsidRDefault="00CE05C7" w:rsidP="00CE05C7">
      <w:pPr>
        <w:spacing w:line="480" w:lineRule="auto"/>
        <w:rPr>
          <w:rFonts w:ascii="Times New Roman" w:hAnsi="Times New Roman"/>
        </w:rPr>
      </w:pPr>
    </w:p>
    <w:p w14:paraId="6C92BA75" w14:textId="77777777" w:rsidR="00CE05C7" w:rsidRDefault="00CE05C7" w:rsidP="00CE05C7">
      <w:pPr>
        <w:spacing w:line="480" w:lineRule="auto"/>
        <w:rPr>
          <w:rFonts w:ascii="Times New Roman" w:hAnsi="Times New Roman"/>
        </w:rPr>
      </w:pPr>
    </w:p>
    <w:p w14:paraId="16B26371" w14:textId="77777777" w:rsidR="00CE05C7" w:rsidRPr="00A67A16" w:rsidRDefault="00CE05C7" w:rsidP="00CE05C7">
      <w:pPr>
        <w:spacing w:line="480" w:lineRule="auto"/>
        <w:rPr>
          <w:rFonts w:ascii="Times New Roman" w:hAnsi="Times New Roman" w:cs="Times New Roman"/>
        </w:rPr>
      </w:pPr>
    </w:p>
    <w:p w14:paraId="428A218C" w14:textId="77777777" w:rsidR="00C82EF6" w:rsidRDefault="00C82EF6" w:rsidP="00C82EF6">
      <w:pPr>
        <w:keepNext/>
        <w:spacing w:line="480" w:lineRule="auto"/>
        <w:jc w:val="center"/>
      </w:pPr>
      <w:r>
        <w:rPr>
          <w:rFonts w:ascii="Times New Roman" w:hAnsi="Times New Roman"/>
          <w:b/>
        </w:rPr>
        <w:lastRenderedPageBreak/>
        <w:t>References</w:t>
      </w:r>
    </w:p>
    <w:p w14:paraId="4835D7C4" w14:textId="77777777" w:rsidR="00C82EF6" w:rsidRDefault="00C82EF6" w:rsidP="00C82EF6">
      <w:pPr>
        <w:spacing w:line="480" w:lineRule="auto"/>
        <w:ind w:left="720" w:hanging="720"/>
      </w:pPr>
      <w:r>
        <w:rPr>
          <w:rFonts w:ascii="Times New Roman" w:hAnsi="Times New Roman"/>
        </w:rPr>
        <w:t>American President Lines, LLC v. Matson, Inc. No. 1:21-cv-02040 (D.D.C. Mar. 19, 2025). https://law.justia.com/cases/federal/district-courts/district-of-columbia/dcdce/1:2021cv02040/233910/195/</w:t>
      </w:r>
    </w:p>
    <w:p w14:paraId="54A36739" w14:textId="77777777" w:rsidR="00C82EF6" w:rsidRDefault="00C82EF6" w:rsidP="00C82EF6">
      <w:pPr>
        <w:spacing w:line="480" w:lineRule="auto"/>
        <w:ind w:left="720" w:hanging="720"/>
      </w:pPr>
      <w:r>
        <w:rPr>
          <w:rFonts w:ascii="Times New Roman" w:hAnsi="Times New Roman"/>
        </w:rPr>
        <w:t xml:space="preserve">CMA CGM. (2025). </w:t>
      </w:r>
      <w:r>
        <w:rPr>
          <w:rFonts w:ascii="Times New Roman" w:hAnsi="Times New Roman"/>
          <w:i/>
        </w:rPr>
        <w:t>EXX – Eagle Express X</w:t>
      </w:r>
      <w:r>
        <w:rPr>
          <w:rFonts w:ascii="Times New Roman" w:hAnsi="Times New Roman"/>
        </w:rPr>
        <w:t>. https://www.cma-cgm.com/assets/public/documents/EXX_CMA%20CGM_20251126.pdf</w:t>
      </w:r>
    </w:p>
    <w:p w14:paraId="1BBBDA90" w14:textId="77777777" w:rsidR="00C82EF6" w:rsidRDefault="00C82EF6" w:rsidP="00C82EF6">
      <w:pPr>
        <w:spacing w:line="480" w:lineRule="auto"/>
        <w:ind w:left="720" w:hanging="720"/>
      </w:pPr>
      <w:r>
        <w:rPr>
          <w:rFonts w:ascii="Times New Roman" w:hAnsi="Times New Roman"/>
        </w:rPr>
        <w:t xml:space="preserve">Frittelli, J. (2019). </w:t>
      </w:r>
      <w:r>
        <w:rPr>
          <w:rFonts w:ascii="Times New Roman" w:hAnsi="Times New Roman"/>
          <w:i/>
        </w:rPr>
        <w:t>Shipping under the Jones Act: Legislative and regulatory background</w:t>
      </w:r>
      <w:r>
        <w:rPr>
          <w:rFonts w:ascii="Times New Roman" w:hAnsi="Times New Roman"/>
        </w:rPr>
        <w:t xml:space="preserve"> (CRS Report R45725). Congressional Research Service. https://www.congress.gov/crs_external_products/R/PDF/R45725/R45725.4.pdf</w:t>
      </w:r>
    </w:p>
    <w:p w14:paraId="10BC8C86" w14:textId="77777777" w:rsidR="00C82EF6" w:rsidRDefault="00C82EF6" w:rsidP="00C82EF6">
      <w:pPr>
        <w:spacing w:line="480" w:lineRule="auto"/>
        <w:ind w:left="720" w:hanging="720"/>
      </w:pPr>
      <w:r>
        <w:rPr>
          <w:rFonts w:ascii="Times New Roman" w:hAnsi="Times New Roman"/>
        </w:rPr>
        <w:t xml:space="preserve">Hawaiʻi Department of Business, Economic Development &amp; Tourism. (2019). </w:t>
      </w:r>
      <w:r>
        <w:rPr>
          <w:rFonts w:ascii="Times New Roman" w:hAnsi="Times New Roman"/>
          <w:i/>
        </w:rPr>
        <w:t>Marine cargo and waterborne commerce in Hawaii’s economy: Trends and patterns in Hawaii marine cargo 2001–2016</w:t>
      </w:r>
      <w:r>
        <w:rPr>
          <w:rFonts w:ascii="Times New Roman" w:hAnsi="Times New Roman"/>
        </w:rPr>
        <w:t>. https://files.hawaii.gov/dbedt/economic/reports/Marine_Cargo_Study_Final.pdf</w:t>
      </w:r>
    </w:p>
    <w:p w14:paraId="2C67ABBA" w14:textId="77777777" w:rsidR="00C82EF6" w:rsidRDefault="00C82EF6" w:rsidP="00C82EF6">
      <w:pPr>
        <w:spacing w:line="480" w:lineRule="auto"/>
        <w:ind w:left="720" w:hanging="720"/>
      </w:pPr>
      <w:r>
        <w:rPr>
          <w:rFonts w:ascii="Times New Roman" w:hAnsi="Times New Roman"/>
        </w:rPr>
        <w:t xml:space="preserve">Hawaiʻi Department of Transportation. (2024). </w:t>
      </w:r>
      <w:r>
        <w:rPr>
          <w:rFonts w:ascii="Times New Roman" w:hAnsi="Times New Roman"/>
          <w:i/>
        </w:rPr>
        <w:t>2023 Hawaiʻi statewide freight plan</w:t>
      </w:r>
      <w:r>
        <w:rPr>
          <w:rFonts w:ascii="Times New Roman" w:hAnsi="Times New Roman"/>
        </w:rPr>
        <w:t>. https://hidot.hawaii.gov/highways/files/2024/04/HDOT-Freight-Plan-Final-Report-2024-03-01.pdf</w:t>
      </w:r>
    </w:p>
    <w:p w14:paraId="2033B725" w14:textId="77777777" w:rsidR="00C82EF6" w:rsidRDefault="00C82EF6" w:rsidP="00C82EF6">
      <w:pPr>
        <w:spacing w:line="480" w:lineRule="auto"/>
        <w:ind w:left="720" w:hanging="720"/>
      </w:pPr>
      <w:r>
        <w:rPr>
          <w:rFonts w:ascii="Times New Roman" w:hAnsi="Times New Roman"/>
        </w:rPr>
        <w:t xml:space="preserve">Maritime Administration. (2026). </w:t>
      </w:r>
      <w:r>
        <w:rPr>
          <w:rFonts w:ascii="Times New Roman" w:hAnsi="Times New Roman"/>
          <w:i/>
        </w:rPr>
        <w:t>Domestic shipping</w:t>
      </w:r>
      <w:r>
        <w:rPr>
          <w:rFonts w:ascii="Times New Roman" w:hAnsi="Times New Roman"/>
        </w:rPr>
        <w:t>. U.S. Department of Transportation. https://www.maritime.dot.gov/ports/domestic-shipping/domestic-shipping</w:t>
      </w:r>
    </w:p>
    <w:p w14:paraId="7B05BF3C" w14:textId="77777777" w:rsidR="00C82EF6" w:rsidRDefault="00C82EF6" w:rsidP="00C82EF6">
      <w:pPr>
        <w:spacing w:line="480" w:lineRule="auto"/>
        <w:ind w:left="720" w:hanging="720"/>
      </w:pPr>
      <w:r>
        <w:rPr>
          <w:rFonts w:ascii="Times New Roman" w:hAnsi="Times New Roman"/>
        </w:rPr>
        <w:t xml:space="preserve">Maritime Administration. (n.d.). </w:t>
      </w:r>
      <w:r>
        <w:rPr>
          <w:rFonts w:ascii="Times New Roman" w:hAnsi="Times New Roman"/>
          <w:i/>
        </w:rPr>
        <w:t>Frequently asked questions (FAQs) – Cargo preference</w:t>
      </w:r>
      <w:r>
        <w:rPr>
          <w:rFonts w:ascii="Times New Roman" w:hAnsi="Times New Roman"/>
        </w:rPr>
        <w:t>. Retrieved October 6, 2026, from https://www.maritime.dot.gov/ports/cargo-preference/frequently-asked-questions-faqs-cargo-preference</w:t>
      </w:r>
    </w:p>
    <w:p w14:paraId="268654DD" w14:textId="77777777" w:rsidR="00C82EF6" w:rsidRDefault="00C82EF6" w:rsidP="00C82EF6">
      <w:pPr>
        <w:spacing w:line="480" w:lineRule="auto"/>
        <w:ind w:left="720" w:hanging="720"/>
      </w:pPr>
      <w:r>
        <w:rPr>
          <w:rFonts w:ascii="Times New Roman" w:hAnsi="Times New Roman"/>
        </w:rPr>
        <w:t xml:space="preserve">Matson, Inc. (2026). </w:t>
      </w:r>
      <w:r>
        <w:rPr>
          <w:rFonts w:ascii="Times New Roman" w:hAnsi="Times New Roman"/>
          <w:i/>
        </w:rPr>
        <w:t>Annual report on Form 10-K for the year ended December 31, 2025</w:t>
      </w:r>
      <w:r>
        <w:rPr>
          <w:rFonts w:ascii="Times New Roman" w:hAnsi="Times New Roman"/>
        </w:rPr>
        <w:t xml:space="preserve">. U.S. Securities and Exchange Commission. </w:t>
      </w:r>
      <w:r>
        <w:rPr>
          <w:rFonts w:ascii="Times New Roman" w:hAnsi="Times New Roman"/>
        </w:rPr>
        <w:lastRenderedPageBreak/>
        <w:t>https://www.sec.gov/Archives/edgar/data/3453/000110465926020944/matx-20251231x10k.htm</w:t>
      </w:r>
    </w:p>
    <w:p w14:paraId="0A7263B3" w14:textId="77777777" w:rsidR="00C82EF6" w:rsidRDefault="00C82EF6" w:rsidP="00C82EF6">
      <w:pPr>
        <w:spacing w:line="480" w:lineRule="auto"/>
        <w:ind w:left="720" w:hanging="720"/>
      </w:pPr>
      <w:r>
        <w:rPr>
          <w:rFonts w:ascii="Times New Roman" w:hAnsi="Times New Roman"/>
        </w:rPr>
        <w:t xml:space="preserve">Matson Navigation Company. (2025). </w:t>
      </w:r>
      <w:r>
        <w:rPr>
          <w:rFonts w:ascii="Times New Roman" w:hAnsi="Times New Roman"/>
          <w:i/>
        </w:rPr>
        <w:t>Hawaiʻi household goods tariff, effective June 1, 2025</w:t>
      </w:r>
      <w:r>
        <w:rPr>
          <w:rFonts w:ascii="Times New Roman" w:hAnsi="Times New Roman"/>
        </w:rPr>
        <w:t>. https://www.matson.com/others/Hawaii_Service_June_1_2025.pdf</w:t>
      </w:r>
    </w:p>
    <w:p w14:paraId="61679375" w14:textId="77777777" w:rsidR="00C82EF6" w:rsidRDefault="00C82EF6" w:rsidP="00C82EF6">
      <w:pPr>
        <w:spacing w:line="480" w:lineRule="auto"/>
        <w:ind w:left="720" w:hanging="720"/>
      </w:pPr>
      <w:r>
        <w:rPr>
          <w:rFonts w:ascii="Times New Roman" w:hAnsi="Times New Roman"/>
        </w:rPr>
        <w:t xml:space="preserve">Matson Navigation Company. (2026). </w:t>
      </w:r>
      <w:r>
        <w:rPr>
          <w:rFonts w:ascii="Times New Roman" w:hAnsi="Times New Roman"/>
          <w:i/>
        </w:rPr>
        <w:t>Hawaiʻi household goods tariff, effective June 1, 2026</w:t>
      </w:r>
      <w:r>
        <w:rPr>
          <w:rFonts w:ascii="Times New Roman" w:hAnsi="Times New Roman"/>
        </w:rPr>
        <w:t>. https://www.matson.com/others/HHG_Hawaii_6.26.pdf</w:t>
      </w:r>
    </w:p>
    <w:p w14:paraId="5D90C9A4" w14:textId="77777777" w:rsidR="00C82EF6" w:rsidRDefault="00C82EF6" w:rsidP="00C82EF6">
      <w:pPr>
        <w:spacing w:line="480" w:lineRule="auto"/>
        <w:ind w:left="720" w:hanging="720"/>
      </w:pPr>
      <w:r>
        <w:rPr>
          <w:rFonts w:ascii="Times New Roman" w:hAnsi="Times New Roman"/>
        </w:rPr>
        <w:t>Noncontiguous Shipping Relief Act of 2024, H.R. 667, 119th Cong. (2025). https://www.govinfo.gov/app/details/BILLS-119hr667ih</w:t>
      </w:r>
    </w:p>
    <w:p w14:paraId="16948620" w14:textId="77777777" w:rsidR="00C82EF6" w:rsidRDefault="00C82EF6" w:rsidP="00C82EF6">
      <w:pPr>
        <w:spacing w:line="480" w:lineRule="auto"/>
        <w:ind w:left="720" w:hanging="720"/>
      </w:pPr>
      <w:r>
        <w:rPr>
          <w:rFonts w:ascii="Times New Roman" w:hAnsi="Times New Roman"/>
        </w:rPr>
        <w:t xml:space="preserve">Port of Los Angeles. (2025). </w:t>
      </w:r>
      <w:r>
        <w:rPr>
          <w:rFonts w:ascii="Times New Roman" w:hAnsi="Times New Roman"/>
          <w:i/>
        </w:rPr>
        <w:t>2025 Port of Los Angeles container statistics</w:t>
      </w:r>
      <w:r>
        <w:rPr>
          <w:rFonts w:ascii="Times New Roman" w:hAnsi="Times New Roman"/>
        </w:rPr>
        <w:t>. Retrieved October 6, 2026, from https://portoflosangeles.org/business/statistics/container-statistics/historical-teu-statistics-2025</w:t>
      </w:r>
    </w:p>
    <w:p w14:paraId="5AEA4287" w14:textId="77777777" w:rsidR="00C82EF6" w:rsidRDefault="00C82EF6" w:rsidP="00C82EF6">
      <w:pPr>
        <w:spacing w:line="480" w:lineRule="auto"/>
        <w:ind w:left="720" w:hanging="720"/>
      </w:pPr>
      <w:r>
        <w:rPr>
          <w:rFonts w:ascii="Times New Roman" w:hAnsi="Times New Roman"/>
        </w:rPr>
        <w:t xml:space="preserve">Stauffer, A. W. (2026). </w:t>
      </w:r>
      <w:r>
        <w:rPr>
          <w:rFonts w:ascii="Times New Roman" w:hAnsi="Times New Roman"/>
          <w:i/>
        </w:rPr>
        <w:t>BUS 620 Session 4: Power</w:t>
      </w:r>
      <w:r>
        <w:rPr>
          <w:rFonts w:ascii="Times New Roman" w:hAnsi="Times New Roman"/>
        </w:rPr>
        <w:t xml:space="preserve"> [PowerPoint slides]. Shidler College of Business, University of Hawaiʻi at </w:t>
      </w:r>
      <w:proofErr w:type="spellStart"/>
      <w:r>
        <w:rPr>
          <w:rFonts w:ascii="Times New Roman" w:hAnsi="Times New Roman"/>
        </w:rPr>
        <w:t>Mānoa</w:t>
      </w:r>
      <w:proofErr w:type="spellEnd"/>
      <w:r>
        <w:rPr>
          <w:rFonts w:ascii="Times New Roman" w:hAnsi="Times New Roman"/>
        </w:rPr>
        <w:t>.</w:t>
      </w:r>
    </w:p>
    <w:p w14:paraId="68072B21" w14:textId="77777777" w:rsidR="00C82EF6" w:rsidRDefault="00C82EF6" w:rsidP="00C82EF6">
      <w:pPr>
        <w:spacing w:line="480" w:lineRule="auto"/>
        <w:ind w:left="720" w:hanging="720"/>
      </w:pPr>
      <w:r>
        <w:rPr>
          <w:rFonts w:ascii="Times New Roman" w:hAnsi="Times New Roman"/>
        </w:rPr>
        <w:t xml:space="preserve">U.S. Government Accountability Office. (2022). </w:t>
      </w:r>
      <w:r>
        <w:rPr>
          <w:rFonts w:ascii="Times New Roman" w:hAnsi="Times New Roman"/>
          <w:i/>
        </w:rPr>
        <w:t>Domestic oceangoing shipping: Information on the Surface Transportation Board’s regulatory processes</w:t>
      </w:r>
      <w:r>
        <w:rPr>
          <w:rFonts w:ascii="Times New Roman" w:hAnsi="Times New Roman"/>
        </w:rPr>
        <w:t xml:space="preserve"> (GAO-22-105391). https://www.gao.gov/products/gao-22-105391</w:t>
      </w:r>
    </w:p>
    <w:p w14:paraId="2C1D7390" w14:textId="77777777" w:rsidR="00ED29E5" w:rsidRPr="00A67A16" w:rsidRDefault="00ED29E5" w:rsidP="00C82EF6">
      <w:pPr>
        <w:spacing w:line="480" w:lineRule="auto"/>
        <w:jc w:val="center"/>
        <w:rPr>
          <w:rFonts w:ascii="Times New Roman" w:hAnsi="Times New Roman" w:cs="Times New Roman"/>
        </w:rPr>
      </w:pPr>
    </w:p>
    <w:sectPr w:rsidR="00ED29E5" w:rsidRPr="00A67A16" w:rsidSect="001969F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313D" w14:textId="77777777" w:rsidR="005B219A" w:rsidRDefault="005B219A" w:rsidP="00BC6940">
      <w:r>
        <w:separator/>
      </w:r>
    </w:p>
  </w:endnote>
  <w:endnote w:type="continuationSeparator" w:id="0">
    <w:p w14:paraId="3D28BF49" w14:textId="77777777" w:rsidR="005B219A" w:rsidRDefault="005B219A" w:rsidP="00BC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E67E" w14:textId="77777777" w:rsidR="00BC6940" w:rsidRDefault="00BC6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4A65" w14:textId="2E62E0DA" w:rsidR="00BC6940" w:rsidRDefault="00BC69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6BD5" w14:textId="77777777" w:rsidR="00BC6940" w:rsidRDefault="00BC6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0CF7C" w14:textId="77777777" w:rsidR="005B219A" w:rsidRDefault="005B219A" w:rsidP="00BC6940">
      <w:r>
        <w:separator/>
      </w:r>
    </w:p>
  </w:footnote>
  <w:footnote w:type="continuationSeparator" w:id="0">
    <w:p w14:paraId="765FB06B" w14:textId="77777777" w:rsidR="005B219A" w:rsidRDefault="005B219A" w:rsidP="00BC6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A428" w14:textId="77777777" w:rsidR="00BC6940" w:rsidRDefault="00BC6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FB63" w14:textId="77777777" w:rsidR="00BC6940" w:rsidRDefault="00BC69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8B6E" w14:textId="77777777" w:rsidR="00BC6940" w:rsidRDefault="00BC69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5B"/>
    <w:rsid w:val="0000273B"/>
    <w:rsid w:val="00012467"/>
    <w:rsid w:val="000129F0"/>
    <w:rsid w:val="00014D8F"/>
    <w:rsid w:val="000225CC"/>
    <w:rsid w:val="00027F4F"/>
    <w:rsid w:val="000749B0"/>
    <w:rsid w:val="00074D5D"/>
    <w:rsid w:val="000779ED"/>
    <w:rsid w:val="00080C63"/>
    <w:rsid w:val="000827AF"/>
    <w:rsid w:val="00084746"/>
    <w:rsid w:val="000866A2"/>
    <w:rsid w:val="00092CA9"/>
    <w:rsid w:val="00097271"/>
    <w:rsid w:val="000B65B5"/>
    <w:rsid w:val="000C1461"/>
    <w:rsid w:val="000C4270"/>
    <w:rsid w:val="000E510C"/>
    <w:rsid w:val="000F008F"/>
    <w:rsid w:val="000F4309"/>
    <w:rsid w:val="00102992"/>
    <w:rsid w:val="001029F9"/>
    <w:rsid w:val="00103B2E"/>
    <w:rsid w:val="001225E0"/>
    <w:rsid w:val="0014374A"/>
    <w:rsid w:val="00147244"/>
    <w:rsid w:val="00154505"/>
    <w:rsid w:val="00170085"/>
    <w:rsid w:val="00172E24"/>
    <w:rsid w:val="001740D7"/>
    <w:rsid w:val="00180328"/>
    <w:rsid w:val="0018727F"/>
    <w:rsid w:val="00191C49"/>
    <w:rsid w:val="00192221"/>
    <w:rsid w:val="001969F5"/>
    <w:rsid w:val="001A74E9"/>
    <w:rsid w:val="001D6F9F"/>
    <w:rsid w:val="001D70D8"/>
    <w:rsid w:val="001E6C9A"/>
    <w:rsid w:val="001F469E"/>
    <w:rsid w:val="00201C2E"/>
    <w:rsid w:val="00204D22"/>
    <w:rsid w:val="00216AB8"/>
    <w:rsid w:val="00217D59"/>
    <w:rsid w:val="002243F7"/>
    <w:rsid w:val="002245BD"/>
    <w:rsid w:val="00232C33"/>
    <w:rsid w:val="0023461F"/>
    <w:rsid w:val="00235059"/>
    <w:rsid w:val="00235D1A"/>
    <w:rsid w:val="00242476"/>
    <w:rsid w:val="00243512"/>
    <w:rsid w:val="002545EF"/>
    <w:rsid w:val="0026092A"/>
    <w:rsid w:val="00264B3F"/>
    <w:rsid w:val="002720B2"/>
    <w:rsid w:val="00272197"/>
    <w:rsid w:val="00283C72"/>
    <w:rsid w:val="00292C54"/>
    <w:rsid w:val="002A17FE"/>
    <w:rsid w:val="002A3C5E"/>
    <w:rsid w:val="002B073C"/>
    <w:rsid w:val="002B1F5C"/>
    <w:rsid w:val="002B4DCE"/>
    <w:rsid w:val="002D409C"/>
    <w:rsid w:val="002E6AFC"/>
    <w:rsid w:val="002E718E"/>
    <w:rsid w:val="0030709E"/>
    <w:rsid w:val="00315360"/>
    <w:rsid w:val="003275E1"/>
    <w:rsid w:val="00327EEB"/>
    <w:rsid w:val="00332FEB"/>
    <w:rsid w:val="003428D6"/>
    <w:rsid w:val="00344ACD"/>
    <w:rsid w:val="00345399"/>
    <w:rsid w:val="0035777E"/>
    <w:rsid w:val="003809F1"/>
    <w:rsid w:val="0039093F"/>
    <w:rsid w:val="003A1D0E"/>
    <w:rsid w:val="003A36B6"/>
    <w:rsid w:val="003A52F0"/>
    <w:rsid w:val="003A6B5B"/>
    <w:rsid w:val="003B6118"/>
    <w:rsid w:val="003B7808"/>
    <w:rsid w:val="003C6486"/>
    <w:rsid w:val="003D21A6"/>
    <w:rsid w:val="003D3852"/>
    <w:rsid w:val="003D4485"/>
    <w:rsid w:val="003D5344"/>
    <w:rsid w:val="003E48F9"/>
    <w:rsid w:val="00402288"/>
    <w:rsid w:val="00402619"/>
    <w:rsid w:val="00407D4D"/>
    <w:rsid w:val="004224AD"/>
    <w:rsid w:val="0042251E"/>
    <w:rsid w:val="004674A2"/>
    <w:rsid w:val="00472A12"/>
    <w:rsid w:val="00480B28"/>
    <w:rsid w:val="00484505"/>
    <w:rsid w:val="0049091F"/>
    <w:rsid w:val="00497170"/>
    <w:rsid w:val="004972A4"/>
    <w:rsid w:val="004A6F22"/>
    <w:rsid w:val="004B0CC5"/>
    <w:rsid w:val="004B3292"/>
    <w:rsid w:val="004C1E25"/>
    <w:rsid w:val="004C1F75"/>
    <w:rsid w:val="004C6D6A"/>
    <w:rsid w:val="004E146F"/>
    <w:rsid w:val="004E2E15"/>
    <w:rsid w:val="004E31C3"/>
    <w:rsid w:val="004F0425"/>
    <w:rsid w:val="004F0745"/>
    <w:rsid w:val="004F3AA8"/>
    <w:rsid w:val="00503303"/>
    <w:rsid w:val="005332F5"/>
    <w:rsid w:val="005363FB"/>
    <w:rsid w:val="005376D0"/>
    <w:rsid w:val="005440C7"/>
    <w:rsid w:val="00556C7D"/>
    <w:rsid w:val="005602A1"/>
    <w:rsid w:val="0056437E"/>
    <w:rsid w:val="0057303C"/>
    <w:rsid w:val="00581007"/>
    <w:rsid w:val="0058124A"/>
    <w:rsid w:val="00586EA2"/>
    <w:rsid w:val="0058717B"/>
    <w:rsid w:val="00590AD1"/>
    <w:rsid w:val="00590CA7"/>
    <w:rsid w:val="0059488B"/>
    <w:rsid w:val="005A2B66"/>
    <w:rsid w:val="005A607B"/>
    <w:rsid w:val="005A6A88"/>
    <w:rsid w:val="005B1586"/>
    <w:rsid w:val="005B219A"/>
    <w:rsid w:val="005C0B95"/>
    <w:rsid w:val="005C13F5"/>
    <w:rsid w:val="005C6556"/>
    <w:rsid w:val="00600BD4"/>
    <w:rsid w:val="00610BAA"/>
    <w:rsid w:val="00611A44"/>
    <w:rsid w:val="00614790"/>
    <w:rsid w:val="00626248"/>
    <w:rsid w:val="00632BB6"/>
    <w:rsid w:val="006454DF"/>
    <w:rsid w:val="00645B28"/>
    <w:rsid w:val="00666CB3"/>
    <w:rsid w:val="00687509"/>
    <w:rsid w:val="00697A23"/>
    <w:rsid w:val="006A0EC2"/>
    <w:rsid w:val="006A2CB0"/>
    <w:rsid w:val="006B63CC"/>
    <w:rsid w:val="006B73B1"/>
    <w:rsid w:val="006C1CD4"/>
    <w:rsid w:val="006C6ABA"/>
    <w:rsid w:val="006C6C60"/>
    <w:rsid w:val="006D2F95"/>
    <w:rsid w:val="006D5BF4"/>
    <w:rsid w:val="006D7A03"/>
    <w:rsid w:val="006E58B8"/>
    <w:rsid w:val="006E7C5B"/>
    <w:rsid w:val="006F6036"/>
    <w:rsid w:val="00710CBB"/>
    <w:rsid w:val="00713237"/>
    <w:rsid w:val="00716945"/>
    <w:rsid w:val="00726616"/>
    <w:rsid w:val="00727DEF"/>
    <w:rsid w:val="007341EA"/>
    <w:rsid w:val="00742F6B"/>
    <w:rsid w:val="0075166D"/>
    <w:rsid w:val="00752377"/>
    <w:rsid w:val="00756549"/>
    <w:rsid w:val="00760379"/>
    <w:rsid w:val="00761FA3"/>
    <w:rsid w:val="007700BA"/>
    <w:rsid w:val="00785CCF"/>
    <w:rsid w:val="007936DC"/>
    <w:rsid w:val="007A56AD"/>
    <w:rsid w:val="007D2B4B"/>
    <w:rsid w:val="007D4FC9"/>
    <w:rsid w:val="007E25C1"/>
    <w:rsid w:val="007E52E2"/>
    <w:rsid w:val="007E5BF0"/>
    <w:rsid w:val="007E6599"/>
    <w:rsid w:val="00800B09"/>
    <w:rsid w:val="00811D1A"/>
    <w:rsid w:val="00821BD3"/>
    <w:rsid w:val="00833AF0"/>
    <w:rsid w:val="00844A27"/>
    <w:rsid w:val="008458DD"/>
    <w:rsid w:val="008A2A7F"/>
    <w:rsid w:val="008B2AE3"/>
    <w:rsid w:val="008C33AB"/>
    <w:rsid w:val="008D15E5"/>
    <w:rsid w:val="008D1B9A"/>
    <w:rsid w:val="008F41F0"/>
    <w:rsid w:val="0090211C"/>
    <w:rsid w:val="00920FD2"/>
    <w:rsid w:val="00921B79"/>
    <w:rsid w:val="00931F3E"/>
    <w:rsid w:val="00942283"/>
    <w:rsid w:val="00953793"/>
    <w:rsid w:val="0095708B"/>
    <w:rsid w:val="00961195"/>
    <w:rsid w:val="00964240"/>
    <w:rsid w:val="009734E1"/>
    <w:rsid w:val="009A38BB"/>
    <w:rsid w:val="009A6F59"/>
    <w:rsid w:val="009B5A07"/>
    <w:rsid w:val="009B71E2"/>
    <w:rsid w:val="009C02D6"/>
    <w:rsid w:val="009C752F"/>
    <w:rsid w:val="00A022E7"/>
    <w:rsid w:val="00A0796E"/>
    <w:rsid w:val="00A37756"/>
    <w:rsid w:val="00A42E7E"/>
    <w:rsid w:val="00A51EEC"/>
    <w:rsid w:val="00A52FED"/>
    <w:rsid w:val="00A54004"/>
    <w:rsid w:val="00A604FA"/>
    <w:rsid w:val="00A6200A"/>
    <w:rsid w:val="00A67A16"/>
    <w:rsid w:val="00A67E89"/>
    <w:rsid w:val="00A730AB"/>
    <w:rsid w:val="00A819CF"/>
    <w:rsid w:val="00A85CB6"/>
    <w:rsid w:val="00A87A0B"/>
    <w:rsid w:val="00A939F9"/>
    <w:rsid w:val="00AB6120"/>
    <w:rsid w:val="00AB68EA"/>
    <w:rsid w:val="00AE242F"/>
    <w:rsid w:val="00AF1AC3"/>
    <w:rsid w:val="00B00D4A"/>
    <w:rsid w:val="00B06CE5"/>
    <w:rsid w:val="00B11475"/>
    <w:rsid w:val="00B1361E"/>
    <w:rsid w:val="00B2005B"/>
    <w:rsid w:val="00B22C4A"/>
    <w:rsid w:val="00B26A26"/>
    <w:rsid w:val="00B43945"/>
    <w:rsid w:val="00B46D36"/>
    <w:rsid w:val="00B46E85"/>
    <w:rsid w:val="00B53AF0"/>
    <w:rsid w:val="00B55E27"/>
    <w:rsid w:val="00B6231C"/>
    <w:rsid w:val="00B659CD"/>
    <w:rsid w:val="00B70004"/>
    <w:rsid w:val="00B77606"/>
    <w:rsid w:val="00B80D2C"/>
    <w:rsid w:val="00B81223"/>
    <w:rsid w:val="00B8186E"/>
    <w:rsid w:val="00B925CF"/>
    <w:rsid w:val="00BA60F0"/>
    <w:rsid w:val="00BB70BA"/>
    <w:rsid w:val="00BC3343"/>
    <w:rsid w:val="00BC6940"/>
    <w:rsid w:val="00BD4E69"/>
    <w:rsid w:val="00BF0649"/>
    <w:rsid w:val="00BF2587"/>
    <w:rsid w:val="00BF595E"/>
    <w:rsid w:val="00C074DB"/>
    <w:rsid w:val="00C14F00"/>
    <w:rsid w:val="00C27D09"/>
    <w:rsid w:val="00C43C8C"/>
    <w:rsid w:val="00C46840"/>
    <w:rsid w:val="00C630AC"/>
    <w:rsid w:val="00C649F2"/>
    <w:rsid w:val="00C65B2B"/>
    <w:rsid w:val="00C670C4"/>
    <w:rsid w:val="00C73910"/>
    <w:rsid w:val="00C7410F"/>
    <w:rsid w:val="00C74360"/>
    <w:rsid w:val="00C7496F"/>
    <w:rsid w:val="00C75E8C"/>
    <w:rsid w:val="00C805AE"/>
    <w:rsid w:val="00C82EF6"/>
    <w:rsid w:val="00C90C0E"/>
    <w:rsid w:val="00C916F8"/>
    <w:rsid w:val="00CA3BFE"/>
    <w:rsid w:val="00CB13EB"/>
    <w:rsid w:val="00CC353D"/>
    <w:rsid w:val="00CD26AE"/>
    <w:rsid w:val="00CD2701"/>
    <w:rsid w:val="00CE05C7"/>
    <w:rsid w:val="00CF1247"/>
    <w:rsid w:val="00D07357"/>
    <w:rsid w:val="00D12951"/>
    <w:rsid w:val="00D31733"/>
    <w:rsid w:val="00D3757A"/>
    <w:rsid w:val="00D4275B"/>
    <w:rsid w:val="00D5540B"/>
    <w:rsid w:val="00D63E4D"/>
    <w:rsid w:val="00D7385D"/>
    <w:rsid w:val="00D74A08"/>
    <w:rsid w:val="00D81C5C"/>
    <w:rsid w:val="00D96533"/>
    <w:rsid w:val="00D96E5F"/>
    <w:rsid w:val="00DA2C11"/>
    <w:rsid w:val="00DB5DAA"/>
    <w:rsid w:val="00DC4D31"/>
    <w:rsid w:val="00DC793C"/>
    <w:rsid w:val="00DD1C6E"/>
    <w:rsid w:val="00DE3F9A"/>
    <w:rsid w:val="00DF1CC2"/>
    <w:rsid w:val="00DF52AA"/>
    <w:rsid w:val="00E01205"/>
    <w:rsid w:val="00E0732F"/>
    <w:rsid w:val="00E11DB5"/>
    <w:rsid w:val="00E1242B"/>
    <w:rsid w:val="00E1344C"/>
    <w:rsid w:val="00E158CA"/>
    <w:rsid w:val="00E22C14"/>
    <w:rsid w:val="00E32C7C"/>
    <w:rsid w:val="00E338B7"/>
    <w:rsid w:val="00E43881"/>
    <w:rsid w:val="00E458AD"/>
    <w:rsid w:val="00E458D7"/>
    <w:rsid w:val="00E46E53"/>
    <w:rsid w:val="00E46E58"/>
    <w:rsid w:val="00E65B6B"/>
    <w:rsid w:val="00E660A5"/>
    <w:rsid w:val="00E845CF"/>
    <w:rsid w:val="00E87C99"/>
    <w:rsid w:val="00EA272F"/>
    <w:rsid w:val="00EA3838"/>
    <w:rsid w:val="00EB4F75"/>
    <w:rsid w:val="00EB7E4E"/>
    <w:rsid w:val="00EC04D0"/>
    <w:rsid w:val="00EC7A6C"/>
    <w:rsid w:val="00ED29E5"/>
    <w:rsid w:val="00EE2E56"/>
    <w:rsid w:val="00EE6816"/>
    <w:rsid w:val="00EF461A"/>
    <w:rsid w:val="00EF5860"/>
    <w:rsid w:val="00F00714"/>
    <w:rsid w:val="00F03165"/>
    <w:rsid w:val="00F034B1"/>
    <w:rsid w:val="00F04895"/>
    <w:rsid w:val="00F05739"/>
    <w:rsid w:val="00F06067"/>
    <w:rsid w:val="00F123D2"/>
    <w:rsid w:val="00F13865"/>
    <w:rsid w:val="00F3690D"/>
    <w:rsid w:val="00F415DE"/>
    <w:rsid w:val="00F655A3"/>
    <w:rsid w:val="00F73105"/>
    <w:rsid w:val="00F73AF3"/>
    <w:rsid w:val="00F979C2"/>
    <w:rsid w:val="00FA3507"/>
    <w:rsid w:val="00FA3ADD"/>
    <w:rsid w:val="00FA44CC"/>
    <w:rsid w:val="00FA6D86"/>
    <w:rsid w:val="00FB4247"/>
    <w:rsid w:val="00FB42A8"/>
    <w:rsid w:val="00FF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4F41"/>
  <w15:chartTrackingRefBased/>
  <w15:docId w15:val="{A7BA48C8-CD7F-4EDC-9C24-C05FDE2A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B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B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B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B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B5B"/>
    <w:rPr>
      <w:rFonts w:eastAsiaTheme="majorEastAsia" w:cstheme="majorBidi"/>
      <w:color w:val="272727" w:themeColor="text1" w:themeTint="D8"/>
    </w:rPr>
  </w:style>
  <w:style w:type="paragraph" w:styleId="Title">
    <w:name w:val="Title"/>
    <w:basedOn w:val="Normal"/>
    <w:next w:val="Normal"/>
    <w:link w:val="TitleChar"/>
    <w:uiPriority w:val="10"/>
    <w:qFormat/>
    <w:rsid w:val="003A6B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B5B"/>
    <w:pPr>
      <w:spacing w:before="160"/>
      <w:jc w:val="center"/>
    </w:pPr>
    <w:rPr>
      <w:i/>
      <w:iCs/>
      <w:color w:val="404040" w:themeColor="text1" w:themeTint="BF"/>
    </w:rPr>
  </w:style>
  <w:style w:type="character" w:customStyle="1" w:styleId="QuoteChar">
    <w:name w:val="Quote Char"/>
    <w:basedOn w:val="DefaultParagraphFont"/>
    <w:link w:val="Quote"/>
    <w:uiPriority w:val="29"/>
    <w:rsid w:val="003A6B5B"/>
    <w:rPr>
      <w:i/>
      <w:iCs/>
      <w:color w:val="404040" w:themeColor="text1" w:themeTint="BF"/>
    </w:rPr>
  </w:style>
  <w:style w:type="paragraph" w:styleId="ListParagraph">
    <w:name w:val="List Paragraph"/>
    <w:basedOn w:val="Normal"/>
    <w:uiPriority w:val="34"/>
    <w:qFormat/>
    <w:rsid w:val="003A6B5B"/>
    <w:pPr>
      <w:ind w:left="720"/>
      <w:contextualSpacing/>
    </w:pPr>
  </w:style>
  <w:style w:type="character" w:styleId="IntenseEmphasis">
    <w:name w:val="Intense Emphasis"/>
    <w:basedOn w:val="DefaultParagraphFont"/>
    <w:uiPriority w:val="21"/>
    <w:qFormat/>
    <w:rsid w:val="003A6B5B"/>
    <w:rPr>
      <w:i/>
      <w:iCs/>
      <w:color w:val="0F4761" w:themeColor="accent1" w:themeShade="BF"/>
    </w:rPr>
  </w:style>
  <w:style w:type="paragraph" w:styleId="IntenseQuote">
    <w:name w:val="Intense Quote"/>
    <w:basedOn w:val="Normal"/>
    <w:next w:val="Normal"/>
    <w:link w:val="IntenseQuoteChar"/>
    <w:uiPriority w:val="30"/>
    <w:qFormat/>
    <w:rsid w:val="003A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B5B"/>
    <w:rPr>
      <w:i/>
      <w:iCs/>
      <w:color w:val="0F4761" w:themeColor="accent1" w:themeShade="BF"/>
    </w:rPr>
  </w:style>
  <w:style w:type="character" w:styleId="IntenseReference">
    <w:name w:val="Intense Reference"/>
    <w:basedOn w:val="DefaultParagraphFont"/>
    <w:uiPriority w:val="32"/>
    <w:qFormat/>
    <w:rsid w:val="003A6B5B"/>
    <w:rPr>
      <w:b/>
      <w:bCs/>
      <w:smallCaps/>
      <w:color w:val="0F4761" w:themeColor="accent1" w:themeShade="BF"/>
      <w:spacing w:val="5"/>
    </w:rPr>
  </w:style>
  <w:style w:type="paragraph" w:styleId="Header">
    <w:name w:val="header"/>
    <w:basedOn w:val="Normal"/>
    <w:link w:val="HeaderChar"/>
    <w:uiPriority w:val="99"/>
    <w:unhideWhenUsed/>
    <w:rsid w:val="00BC6940"/>
    <w:pPr>
      <w:tabs>
        <w:tab w:val="center" w:pos="4680"/>
        <w:tab w:val="right" w:pos="9360"/>
      </w:tabs>
    </w:pPr>
  </w:style>
  <w:style w:type="character" w:customStyle="1" w:styleId="HeaderChar">
    <w:name w:val="Header Char"/>
    <w:basedOn w:val="DefaultParagraphFont"/>
    <w:link w:val="Header"/>
    <w:uiPriority w:val="99"/>
    <w:rsid w:val="00BC6940"/>
  </w:style>
  <w:style w:type="paragraph" w:styleId="Footer">
    <w:name w:val="footer"/>
    <w:basedOn w:val="Normal"/>
    <w:link w:val="FooterChar"/>
    <w:uiPriority w:val="99"/>
    <w:unhideWhenUsed/>
    <w:rsid w:val="00BC6940"/>
    <w:pPr>
      <w:tabs>
        <w:tab w:val="center" w:pos="4680"/>
        <w:tab w:val="right" w:pos="9360"/>
      </w:tabs>
    </w:pPr>
  </w:style>
  <w:style w:type="character" w:customStyle="1" w:styleId="FooterChar">
    <w:name w:val="Footer Char"/>
    <w:basedOn w:val="DefaultParagraphFont"/>
    <w:link w:val="Footer"/>
    <w:uiPriority w:val="99"/>
    <w:rsid w:val="00BC6940"/>
  </w:style>
  <w:style w:type="paragraph" w:styleId="FootnoteText">
    <w:name w:val="footnote text"/>
    <w:basedOn w:val="Normal"/>
    <w:link w:val="FootnoteTextChar"/>
    <w:uiPriority w:val="99"/>
    <w:semiHidden/>
    <w:unhideWhenUsed/>
    <w:rsid w:val="00A42E7E"/>
    <w:rPr>
      <w:sz w:val="20"/>
      <w:szCs w:val="20"/>
    </w:rPr>
  </w:style>
  <w:style w:type="character" w:customStyle="1" w:styleId="FootnoteTextChar">
    <w:name w:val="Footnote Text Char"/>
    <w:basedOn w:val="DefaultParagraphFont"/>
    <w:link w:val="FootnoteText"/>
    <w:uiPriority w:val="99"/>
    <w:semiHidden/>
    <w:rsid w:val="00A42E7E"/>
    <w:rPr>
      <w:sz w:val="20"/>
      <w:szCs w:val="20"/>
    </w:rPr>
  </w:style>
  <w:style w:type="character" w:styleId="FootnoteReference">
    <w:name w:val="footnote reference"/>
    <w:basedOn w:val="DefaultParagraphFont"/>
    <w:uiPriority w:val="99"/>
    <w:semiHidden/>
    <w:unhideWhenUsed/>
    <w:rsid w:val="00A42E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10</Pages>
  <Words>1850</Words>
  <Characters>10138</Characters>
  <Application>Microsoft Office Word</Application>
  <DocSecurity>0</DocSecurity>
  <Lines>298</Lines>
  <Paragraphs>230</Paragraphs>
  <ScaleCrop>false</ScaleCrop>
  <Company>The Wonderful Company</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Eric</dc:creator>
  <cp:keywords/>
  <dc:description/>
  <cp:lastModifiedBy>Carmichael, Eric</cp:lastModifiedBy>
  <cp:revision>77</cp:revision>
  <dcterms:created xsi:type="dcterms:W3CDTF">2026-10-06T20:51:00Z</dcterms:created>
  <dcterms:modified xsi:type="dcterms:W3CDTF">2026-10-06T22:33:00Z</dcterms:modified>
</cp:coreProperties>
</file>