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7D265"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p>
    <w:p w14:paraId="443F59DD"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p>
    <w:p w14:paraId="4D673FB6"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p>
    <w:p w14:paraId="0D040D73"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p>
    <w:p w14:paraId="6F84B091"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p>
    <w:p w14:paraId="5076A8EE"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p>
    <w:p w14:paraId="733B8ED8" w14:textId="77777777" w:rsidR="0005678C" w:rsidRPr="00E938B5" w:rsidRDefault="0005678C" w:rsidP="0005678C">
      <w:pPr>
        <w:spacing w:line="480" w:lineRule="auto"/>
        <w:rPr>
          <w:rFonts w:ascii="Times New Roman" w:eastAsia="MS Mincho" w:hAnsi="Times New Roman" w:cs="Times New Roman"/>
          <w:kern w:val="0"/>
          <w:szCs w:val="22"/>
          <w14:ligatures w14:val="none"/>
        </w:rPr>
      </w:pPr>
    </w:p>
    <w:p w14:paraId="4EE3F33F" w14:textId="77777777" w:rsidR="0005678C" w:rsidRPr="00E938B5" w:rsidRDefault="0005678C" w:rsidP="0005678C">
      <w:pPr>
        <w:keepNext/>
        <w:spacing w:line="480" w:lineRule="auto"/>
        <w:jc w:val="center"/>
        <w:rPr>
          <w:rFonts w:ascii="Times New Roman" w:eastAsia="MS Mincho" w:hAnsi="Times New Roman" w:cs="Times New Roman"/>
          <w:kern w:val="0"/>
          <w:szCs w:val="22"/>
          <w14:ligatures w14:val="none"/>
        </w:rPr>
      </w:pPr>
      <w:r w:rsidRPr="00E938B5">
        <w:rPr>
          <w:rFonts w:ascii="Times New Roman" w:eastAsia="MS Mincho" w:hAnsi="Times New Roman" w:cs="Times New Roman"/>
          <w:b/>
          <w:kern w:val="0"/>
          <w:szCs w:val="22"/>
          <w14:ligatures w14:val="none"/>
        </w:rPr>
        <w:t>Sailing Past the Cargo: Would Foreign Ships Carrying Domestic Cargo Lower Hawaiʻi’s Westbound Freight Rate?</w:t>
      </w:r>
    </w:p>
    <w:p w14:paraId="19F79E9E"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p>
    <w:p w14:paraId="4B8CC7FF"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Eric Carmichael</w:t>
      </w:r>
    </w:p>
    <w:p w14:paraId="72E16F1B"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Shidler College of Business, University of Hawaiʻi at Mānoa</w:t>
      </w:r>
    </w:p>
    <w:p w14:paraId="4D70471C"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BUS 620: Micro- and Macro-Economic Foundations for Managers</w:t>
      </w:r>
    </w:p>
    <w:p w14:paraId="21B36A1C" w14:textId="77777777" w:rsidR="0005678C" w:rsidRPr="00E938B5" w:rsidRDefault="0005678C" w:rsidP="0005678C">
      <w:pPr>
        <w:spacing w:line="480" w:lineRule="auto"/>
        <w:jc w:val="center"/>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October 9, 2026</w:t>
      </w:r>
    </w:p>
    <w:p w14:paraId="7AFA7DF9" w14:textId="77777777" w:rsidR="0005678C" w:rsidRPr="00E938B5" w:rsidRDefault="0005678C" w:rsidP="0005678C">
      <w:pPr>
        <w:keepNext/>
        <w:spacing w:line="480" w:lineRule="auto"/>
        <w:jc w:val="center"/>
        <w:rPr>
          <w:rFonts w:ascii="Times New Roman" w:hAnsi="Times New Roman" w:cs="Times New Roman"/>
        </w:rPr>
      </w:pPr>
      <w:r w:rsidRPr="00E938B5">
        <w:rPr>
          <w:rFonts w:ascii="Times New Roman" w:hAnsi="Times New Roman" w:cs="Times New Roman"/>
        </w:rPr>
        <w:br w:type="page"/>
      </w:r>
      <w:r w:rsidRPr="00E938B5">
        <w:rPr>
          <w:rFonts w:ascii="Times New Roman" w:hAnsi="Times New Roman" w:cs="Times New Roman"/>
          <w:b/>
        </w:rPr>
        <w:lastRenderedPageBreak/>
        <w:t>Sailing Past the Cargo: Would Foreign Ships Carrying Domestic Cargo Lower Hawaiʻi’s Westbound Freight Rate?</w:t>
      </w:r>
    </w:p>
    <w:p w14:paraId="76BFB66F"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Almost everything sold in Hawaiʻi depends on ocean freight. The Hawaiʻi Department of Transportation (HDOT, 2024) estimates that 85% of goods consumed in the state are imported and 91% of those imports arrive through commercial ports. Matson and Pasha make up the duopoly domestic West Coast–Hawaiʻi container service (Matson, Inc., 2026). Federal coastwise law reserves domestic merchandise moves for U.S.-owned, coastwise-qualified vessels (Maritime Administration, 2026). I </w:t>
      </w:r>
      <w:proofErr w:type="gramStart"/>
      <w:r w:rsidRPr="00E938B5">
        <w:rPr>
          <w:rFonts w:ascii="Times New Roman" w:eastAsia="MS Mincho" w:hAnsi="Times New Roman" w:cs="Times New Roman"/>
          <w:kern w:val="0"/>
          <w:szCs w:val="22"/>
          <w14:ligatures w14:val="none"/>
        </w:rPr>
        <w:t>test</w:t>
      </w:r>
      <w:proofErr w:type="gramEnd"/>
      <w:r w:rsidRPr="00E938B5">
        <w:rPr>
          <w:rFonts w:ascii="Times New Roman" w:eastAsia="MS Mincho" w:hAnsi="Times New Roman" w:cs="Times New Roman"/>
          <w:kern w:val="0"/>
          <w:szCs w:val="22"/>
          <w14:ligatures w14:val="none"/>
        </w:rPr>
        <w:t xml:space="preserve"> a limited counterfactual: provide an exemption to foreign-flag ships already serving Honolulu to carry domestic containers westbound from West Coast ports, leaving eastbound eligibility unchanged.</w:t>
      </w:r>
    </w:p>
    <w:p w14:paraId="33C6BFA1"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Rep. Ed Case introduced H.R. 667 in January 2025 to open noncontiguous trade more broadly to qualifying foreign-flag vessels. It was referred to the Coast Guard and Maritime Transportation Subcommittee on January 24, 2025, but has not advanced to a House vote (U.S. Congress, 2025). Lower rates would first reduce </w:t>
      </w:r>
      <w:proofErr w:type="gramStart"/>
      <w:r w:rsidRPr="00E938B5">
        <w:rPr>
          <w:rFonts w:ascii="Times New Roman" w:eastAsia="MS Mincho" w:hAnsi="Times New Roman" w:cs="Times New Roman"/>
          <w:kern w:val="0"/>
          <w:szCs w:val="22"/>
          <w14:ligatures w14:val="none"/>
        </w:rPr>
        <w:t>shippers’</w:t>
      </w:r>
      <w:proofErr w:type="gramEnd"/>
      <w:r w:rsidRPr="00E938B5">
        <w:rPr>
          <w:rFonts w:ascii="Times New Roman" w:eastAsia="MS Mincho" w:hAnsi="Times New Roman" w:cs="Times New Roman"/>
          <w:kern w:val="0"/>
          <w:szCs w:val="22"/>
          <w14:ligatures w14:val="none"/>
        </w:rPr>
        <w:t xml:space="preserve"> landed costs; consumers benefit only if savings pass through to shelf prices. Incumbent carriers and U.S.-flag maritime labor could lose if volume shifts. The decision to authorize an </w:t>
      </w:r>
      <w:proofErr w:type="gramStart"/>
      <w:r w:rsidRPr="00E938B5">
        <w:rPr>
          <w:rFonts w:ascii="Times New Roman" w:eastAsia="MS Mincho" w:hAnsi="Times New Roman" w:cs="Times New Roman"/>
          <w:kern w:val="0"/>
          <w:szCs w:val="22"/>
          <w14:ligatures w14:val="none"/>
        </w:rPr>
        <w:t>exemption hinges</w:t>
      </w:r>
      <w:proofErr w:type="gramEnd"/>
      <w:r w:rsidRPr="00E938B5">
        <w:rPr>
          <w:rFonts w:ascii="Times New Roman" w:eastAsia="MS Mincho" w:hAnsi="Times New Roman" w:cs="Times New Roman"/>
          <w:kern w:val="0"/>
          <w:szCs w:val="22"/>
          <w14:ligatures w14:val="none"/>
        </w:rPr>
        <w:t xml:space="preserve"> on market entry, competitive response, and route economics.</w:t>
      </w:r>
    </w:p>
    <w:p w14:paraId="6AB24E57" w14:textId="77777777" w:rsidR="0005678C" w:rsidRPr="00E938B5" w:rsidRDefault="0005678C" w:rsidP="0005678C">
      <w:pPr>
        <w:keepNext/>
        <w:spacing w:line="480" w:lineRule="auto"/>
        <w:jc w:val="center"/>
        <w:rPr>
          <w:rFonts w:ascii="Times New Roman" w:hAnsi="Times New Roman" w:cs="Times New Roman"/>
        </w:rPr>
      </w:pPr>
      <w:r w:rsidRPr="00E938B5">
        <w:rPr>
          <w:rFonts w:ascii="Times New Roman" w:hAnsi="Times New Roman" w:cs="Times New Roman"/>
          <w:b/>
        </w:rPr>
        <w:t>The Jones Act Restricts the Potential Competitive Set</w:t>
      </w:r>
    </w:p>
    <w:p w14:paraId="55744B0D" w14:textId="27A8AB93" w:rsidR="0005678C" w:rsidRPr="00E938B5" w:rsidRDefault="0005678C" w:rsidP="0005678C">
      <w:pPr>
        <w:spacing w:line="480" w:lineRule="auto"/>
        <w:ind w:firstLine="720"/>
        <w:rPr>
          <w:rFonts w:ascii="Times New Roman" w:hAnsi="Times New Roman" w:cs="Times New Roman"/>
        </w:rPr>
      </w:pPr>
      <w:r w:rsidRPr="00E938B5">
        <w:rPr>
          <w:rFonts w:ascii="Times New Roman" w:hAnsi="Times New Roman" w:cs="Times New Roman"/>
        </w:rPr>
        <w:t xml:space="preserve">Ocean transport has large, fixed costs and economies of scale, so legal eligibility alone would not create perfect competition. A viable entrant still needs sustainable volume, port access, containers, crews, and a competitive sailing schedule. Matson identifies Pasha as its primary U.S.-flag competitor in Hawaiʻi, and Ocean Network Express and CMA CGM as competitors for international cargo (Matson, Inc., 2026). CMA CGM’s Eagle Express X calls at Los Angeles, </w:t>
      </w:r>
      <w:r w:rsidRPr="00E938B5">
        <w:rPr>
          <w:rFonts w:ascii="Times New Roman" w:hAnsi="Times New Roman" w:cs="Times New Roman"/>
        </w:rPr>
        <w:lastRenderedPageBreak/>
        <w:t xml:space="preserve">Oakland, Honolulu, and Dutch Harbor, visiting Honolulu every two weeks (CMA CGM, 2025). </w:t>
      </w:r>
      <w:r w:rsidR="00E938B5" w:rsidRPr="00E938B5">
        <w:rPr>
          <w:rFonts w:ascii="Times New Roman" w:hAnsi="Times New Roman" w:cs="Times New Roman"/>
        </w:rPr>
        <w:t>In 2025, Los Angeles handled 5.32 million loaded import TEUs but only 1.43 million loaded export TEUs; it also shipped 3.49 million empty TEUs outbound, illustrating the substantial container-repositioning created by the imbalance between inbound and outbound cargo (Port of Los Angeles, 2025).</w:t>
      </w:r>
      <w:r w:rsidR="00E938B5">
        <w:rPr>
          <w:rFonts w:ascii="Times New Roman" w:hAnsi="Times New Roman" w:cs="Times New Roman"/>
        </w:rPr>
        <w:t xml:space="preserve"> </w:t>
      </w:r>
      <w:proofErr w:type="gramStart"/>
      <w:r w:rsidRPr="00E938B5">
        <w:rPr>
          <w:rFonts w:ascii="Times New Roman" w:hAnsi="Times New Roman" w:cs="Times New Roman"/>
        </w:rPr>
        <w:t>That</w:t>
      </w:r>
      <w:proofErr w:type="gramEnd"/>
      <w:r w:rsidRPr="00E938B5">
        <w:rPr>
          <w:rFonts w:ascii="Times New Roman" w:hAnsi="Times New Roman" w:cs="Times New Roman"/>
        </w:rPr>
        <w:t xml:space="preserve"> imbalance suggests potential westbound capacity, not proof of unused slots on CMA CGM’s Honolulu leg.</w:t>
      </w:r>
    </w:p>
    <w:p w14:paraId="69701DB1" w14:textId="77777777" w:rsidR="0005678C" w:rsidRPr="00E938B5" w:rsidRDefault="0005678C" w:rsidP="0005678C">
      <w:pPr>
        <w:spacing w:line="480" w:lineRule="auto"/>
        <w:jc w:val="center"/>
        <w:rPr>
          <w:rFonts w:ascii="Times New Roman" w:hAnsi="Times New Roman" w:cs="Times New Roman"/>
        </w:rPr>
      </w:pPr>
      <w:r w:rsidRPr="00E938B5">
        <w:rPr>
          <w:rFonts w:ascii="Times New Roman" w:hAnsi="Times New Roman" w:cs="Times New Roman"/>
          <w:b/>
        </w:rPr>
        <w:t>Competition Has Changed Pricing Behavior</w:t>
      </w:r>
    </w:p>
    <w:p w14:paraId="0D3005B1"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Matson’s pricing response shows competition can matter. In 2016, a household-goods (relocation) loyalty program aimed at Pasha offered a 15% discount at a 90% Hawaiʻi-volume threshold. After American President Lines (APL) entered Guam, Matson expanded the program in 2018 to 20% at a 90% threshold in either market </w:t>
      </w:r>
      <w:proofErr w:type="gramStart"/>
      <w:r w:rsidRPr="00E938B5">
        <w:rPr>
          <w:rFonts w:ascii="Times New Roman" w:eastAsia="MS Mincho" w:hAnsi="Times New Roman" w:cs="Times New Roman"/>
          <w:kern w:val="0"/>
          <w:szCs w:val="22"/>
          <w14:ligatures w14:val="none"/>
        </w:rPr>
        <w:t>and</w:t>
      </w:r>
      <w:proofErr w:type="gramEnd"/>
      <w:r w:rsidRPr="00E938B5">
        <w:rPr>
          <w:rFonts w:ascii="Times New Roman" w:eastAsia="MS Mincho" w:hAnsi="Times New Roman" w:cs="Times New Roman"/>
          <w:kern w:val="0"/>
          <w:szCs w:val="22"/>
          <w14:ligatures w14:val="none"/>
        </w:rPr>
        <w:t xml:space="preserve"> 25% when met in both markets (</w:t>
      </w:r>
      <w:r w:rsidRPr="00E938B5">
        <w:rPr>
          <w:rFonts w:ascii="Times New Roman" w:eastAsia="MS Mincho" w:hAnsi="Times New Roman" w:cs="Times New Roman"/>
          <w:i/>
          <w:kern w:val="0"/>
          <w:szCs w:val="22"/>
          <w14:ligatures w14:val="none"/>
        </w:rPr>
        <w:t>American President Lines, LLC v. Matson, Inc.</w:t>
      </w:r>
      <w:r w:rsidRPr="00E938B5">
        <w:rPr>
          <w:rFonts w:ascii="Times New Roman" w:eastAsia="MS Mincho" w:hAnsi="Times New Roman" w:cs="Times New Roman"/>
          <w:kern w:val="0"/>
          <w:szCs w:val="22"/>
          <w14:ligatures w14:val="none"/>
        </w:rPr>
        <w:t>, 2025, p. 46). The voluntary program had no term, though losing discounts could modestly raise switching costs. More credible substitutes make an incumbent’s residual demand more elastic, narrowing its profit-maximizing markup over marginal cost (Figure 1, Panel A; Stauffer, 2026).</w:t>
      </w:r>
    </w:p>
    <w:p w14:paraId="06570A7B"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Guam is a comparator, not a foreign-flag example. Foreign-owned APL entered the U.S.–Guam trade in 2015 with U.S.-flag ships (</w:t>
      </w:r>
      <w:r w:rsidRPr="00E938B5">
        <w:rPr>
          <w:rFonts w:ascii="Times New Roman" w:eastAsia="MS Mincho" w:hAnsi="Times New Roman" w:cs="Times New Roman"/>
          <w:i/>
          <w:kern w:val="0"/>
          <w:szCs w:val="22"/>
          <w14:ligatures w14:val="none"/>
        </w:rPr>
        <w:t>American President Lines, LLC v. Matson, Inc.</w:t>
      </w:r>
      <w:r w:rsidRPr="00E938B5">
        <w:rPr>
          <w:rFonts w:ascii="Times New Roman" w:eastAsia="MS Mincho" w:hAnsi="Times New Roman" w:cs="Times New Roman"/>
          <w:kern w:val="0"/>
          <w:szCs w:val="22"/>
          <w14:ligatures w14:val="none"/>
        </w:rPr>
        <w:t xml:space="preserve">, 2025, pp. 3–4). Matson’s share fell from 94% in 2016 to 82% in 2017 and 74% in 2018, later fluctuating around 70% (Figure 2; </w:t>
      </w:r>
      <w:r w:rsidRPr="00E938B5">
        <w:rPr>
          <w:rFonts w:ascii="Times New Roman" w:eastAsia="MS Mincho" w:hAnsi="Times New Roman" w:cs="Times New Roman"/>
          <w:i/>
          <w:kern w:val="0"/>
          <w:szCs w:val="22"/>
          <w14:ligatures w14:val="none"/>
        </w:rPr>
        <w:t>American President Lines, LLC v. Matson, Inc.</w:t>
      </w:r>
      <w:r w:rsidRPr="00E938B5">
        <w:rPr>
          <w:rFonts w:ascii="Times New Roman" w:eastAsia="MS Mincho" w:hAnsi="Times New Roman" w:cs="Times New Roman"/>
          <w:kern w:val="0"/>
          <w:szCs w:val="22"/>
          <w14:ligatures w14:val="none"/>
        </w:rPr>
        <w:t>, 2025, p. 15). Home Depot planned to award APL only 10% of its Guam volume despite rates about 40% lower, citing both APL’s new service and lead time roughly seven days longer than Matson’s Hawaiʻi–Guam service (</w:t>
      </w:r>
      <w:r w:rsidRPr="00E938B5">
        <w:rPr>
          <w:rFonts w:ascii="Times New Roman" w:eastAsia="MS Mincho" w:hAnsi="Times New Roman" w:cs="Times New Roman"/>
          <w:i/>
          <w:kern w:val="0"/>
          <w:szCs w:val="22"/>
          <w14:ligatures w14:val="none"/>
        </w:rPr>
        <w:t>American President Lines, LLC v. Matson, Inc.</w:t>
      </w:r>
      <w:r w:rsidRPr="00E938B5">
        <w:rPr>
          <w:rFonts w:ascii="Times New Roman" w:eastAsia="MS Mincho" w:hAnsi="Times New Roman" w:cs="Times New Roman"/>
          <w:kern w:val="0"/>
          <w:szCs w:val="22"/>
          <w14:ligatures w14:val="none"/>
        </w:rPr>
        <w:t xml:space="preserve">, 2025, pp. 28, 55). Matson’s former pricing vice president also described adjusting Seattle–Tacoma-to-Guam prices </w:t>
      </w:r>
      <w:r w:rsidRPr="00E938B5">
        <w:rPr>
          <w:rFonts w:ascii="Times New Roman" w:eastAsia="MS Mincho" w:hAnsi="Times New Roman" w:cs="Times New Roman"/>
          <w:kern w:val="0"/>
          <w:szCs w:val="22"/>
          <w14:ligatures w14:val="none"/>
        </w:rPr>
        <w:lastRenderedPageBreak/>
        <w:t>in response to APL’s Oakland-to-Guam rates (</w:t>
      </w:r>
      <w:r w:rsidRPr="00E938B5">
        <w:rPr>
          <w:rFonts w:ascii="Times New Roman" w:eastAsia="MS Mincho" w:hAnsi="Times New Roman" w:cs="Times New Roman"/>
          <w:i/>
          <w:kern w:val="0"/>
          <w:szCs w:val="22"/>
          <w14:ligatures w14:val="none"/>
        </w:rPr>
        <w:t>American President Lines, LLC v. Matson, Inc.</w:t>
      </w:r>
      <w:r w:rsidRPr="00E938B5">
        <w:rPr>
          <w:rFonts w:ascii="Times New Roman" w:eastAsia="MS Mincho" w:hAnsi="Times New Roman" w:cs="Times New Roman"/>
          <w:kern w:val="0"/>
          <w:szCs w:val="22"/>
          <w14:ligatures w14:val="none"/>
        </w:rPr>
        <w:t>, 2025, p. 13). Guam shows volume shifts and price responses, while service differences can limit switching.</w:t>
      </w:r>
    </w:p>
    <w:p w14:paraId="5439C67B" w14:textId="77777777" w:rsidR="0005678C" w:rsidRPr="00E938B5" w:rsidRDefault="0005678C" w:rsidP="0005678C">
      <w:pPr>
        <w:keepNext/>
        <w:spacing w:line="480" w:lineRule="auto"/>
        <w:jc w:val="center"/>
        <w:rPr>
          <w:rFonts w:ascii="Times New Roman" w:hAnsi="Times New Roman" w:cs="Times New Roman"/>
        </w:rPr>
      </w:pPr>
      <w:r w:rsidRPr="00E938B5">
        <w:rPr>
          <w:rFonts w:ascii="Times New Roman" w:hAnsi="Times New Roman" w:cs="Times New Roman"/>
          <w:b/>
        </w:rPr>
        <w:t>Directional Pricing Limits How Much Competition Can Do</w:t>
      </w:r>
    </w:p>
    <w:p w14:paraId="4780468F"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Matson’s published household-goods base rates show a directional gap for a 40-foot container (Figure 3): $7,276 westbound versus $4,254 eastbound in 2025, and $7,476 versus $4,354 in 2026 (Matson Navigation Company, 2025, 2026). The westbound rate was about 71% higher in 2025 and 72% higher in 2026. Both directions face the same coastwise rules, so the gap cannot be identified as a Jones Act premium.</w:t>
      </w:r>
    </w:p>
    <w:p w14:paraId="1F1FA8AE"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Domestic marine cargo averaged about 4.6 million tons inbound and 1.0 million tons outbound annually during 2001–2016 (Hawaiʻi Department of Business, Economic Development &amp; Tourism, 2019). That imbalance supports cheaper eastbound backhaul and greater recovery of round-trip cost westbound. Entry could narrow westbound markups without erasing the structural gap. The U.S. Government Accountability Office (GAO, 2022) reported that four carriers described rates as generally stable and seven of nine interviewed entities considered carrier numbers adequate. Those limited interviews temper expectations of a large effect but were not generalizable.</w:t>
      </w:r>
    </w:p>
    <w:p w14:paraId="1C96CEB0" w14:textId="77777777" w:rsidR="0005678C" w:rsidRPr="00E938B5" w:rsidRDefault="0005678C" w:rsidP="0005678C">
      <w:pPr>
        <w:keepNext/>
        <w:spacing w:line="480" w:lineRule="auto"/>
        <w:jc w:val="center"/>
        <w:rPr>
          <w:rFonts w:ascii="Times New Roman" w:hAnsi="Times New Roman" w:cs="Times New Roman"/>
        </w:rPr>
      </w:pPr>
      <w:r w:rsidRPr="00E938B5">
        <w:rPr>
          <w:rFonts w:ascii="Times New Roman" w:hAnsi="Times New Roman" w:cs="Times New Roman"/>
          <w:b/>
        </w:rPr>
        <w:t>The Strongest In-Scope Objection Is That Foreign Carriers May Not Enter</w:t>
      </w:r>
    </w:p>
    <w:p w14:paraId="6084079C"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Foreign carriers must still consider transit-time, frequency, and switching-cost disadvantages. Matson’s five West Coast departures yield three Honolulu arrivals weekly, versus CMA CGM’s one call every two weeks (CMA CGM, 2025; Matson, Inc., 2026). Guam confirms that lower prices do not necessarily overcome slower service. Yet adding boxes to an existing </w:t>
      </w:r>
      <w:r w:rsidRPr="00E938B5">
        <w:rPr>
          <w:rFonts w:ascii="Times New Roman" w:eastAsia="MS Mincho" w:hAnsi="Times New Roman" w:cs="Times New Roman"/>
          <w:kern w:val="0"/>
          <w:szCs w:val="22"/>
          <w14:ligatures w14:val="none"/>
        </w:rPr>
        <w:lastRenderedPageBreak/>
        <w:t xml:space="preserve">Honolulu call requires less fixed investment than launching a new route. Without </w:t>
      </w:r>
      <w:proofErr w:type="gramStart"/>
      <w:r w:rsidRPr="00E938B5">
        <w:rPr>
          <w:rFonts w:ascii="Times New Roman" w:eastAsia="MS Mincho" w:hAnsi="Times New Roman" w:cs="Times New Roman"/>
          <w:kern w:val="0"/>
          <w:szCs w:val="22"/>
          <w14:ligatures w14:val="none"/>
        </w:rPr>
        <w:t>a temporary</w:t>
      </w:r>
      <w:proofErr w:type="gramEnd"/>
      <w:r w:rsidRPr="00E938B5">
        <w:rPr>
          <w:rFonts w:ascii="Times New Roman" w:eastAsia="MS Mincho" w:hAnsi="Times New Roman" w:cs="Times New Roman"/>
          <w:kern w:val="0"/>
          <w:szCs w:val="22"/>
          <w14:ligatures w14:val="none"/>
        </w:rPr>
        <w:t xml:space="preserve"> exemption </w:t>
      </w:r>
      <w:proofErr w:type="gramStart"/>
      <w:r w:rsidRPr="00E938B5">
        <w:rPr>
          <w:rFonts w:ascii="Times New Roman" w:eastAsia="MS Mincho" w:hAnsi="Times New Roman" w:cs="Times New Roman"/>
          <w:kern w:val="0"/>
          <w:szCs w:val="22"/>
          <w14:ligatures w14:val="none"/>
        </w:rPr>
        <w:t>to</w:t>
      </w:r>
      <w:proofErr w:type="gramEnd"/>
      <w:r w:rsidRPr="00E938B5">
        <w:rPr>
          <w:rFonts w:ascii="Times New Roman" w:eastAsia="MS Mincho" w:hAnsi="Times New Roman" w:cs="Times New Roman"/>
          <w:kern w:val="0"/>
          <w:szCs w:val="22"/>
          <w14:ligatures w14:val="none"/>
        </w:rPr>
        <w:t xml:space="preserve"> the Jones Act, available slots and demand will remain unproven.</w:t>
      </w:r>
    </w:p>
    <w:p w14:paraId="4424C510"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Matson’s Form 10-K lists Jones Act repeal, amendment, or waiver as a risk if lower-cost foreign-built or foreign-flag ships enter Hawaiʻi (Matson, Inc., 2026). That disclosure is not evidence of an entrant’s intent. However, it does show an incumbent considering foreign entry a threat, and a credible entry threat may constrain pricing before significant volumes move (Stauffer, 2026).</w:t>
      </w:r>
    </w:p>
    <w:p w14:paraId="51A8C509" w14:textId="77777777" w:rsidR="0005678C" w:rsidRPr="00E938B5" w:rsidRDefault="0005678C" w:rsidP="0005678C">
      <w:pPr>
        <w:spacing w:line="480" w:lineRule="auto"/>
        <w:ind w:firstLine="720"/>
        <w:rPr>
          <w:rFonts w:ascii="Times New Roman" w:hAnsi="Times New Roman" w:cs="Times New Roman"/>
        </w:rPr>
      </w:pPr>
      <w:r w:rsidRPr="00E938B5">
        <w:rPr>
          <w:rFonts w:ascii="Times New Roman" w:hAnsi="Times New Roman" w:cs="Times New Roman"/>
        </w:rPr>
        <w:t xml:space="preserve">A separate policy cost is national-security shipping capacity. </w:t>
      </w:r>
      <w:r w:rsidRPr="00E938B5">
        <w:rPr>
          <w:rFonts w:ascii="Times New Roman" w:eastAsia="MS Mincho" w:hAnsi="Times New Roman" w:cs="Times New Roman"/>
          <w:kern w:val="0"/>
          <w:szCs w:val="22"/>
          <w14:ligatures w14:val="none"/>
        </w:rPr>
        <w:t>The Jones Act is defended partly for merchant-marine, mariner, shipyard, and military-sealift capabilities (Frittelli, 2019; GAO, 2022)</w:t>
      </w:r>
      <w:r w:rsidRPr="00E938B5">
        <w:rPr>
          <w:rFonts w:ascii="Times New Roman" w:hAnsi="Times New Roman" w:cs="Times New Roman"/>
        </w:rPr>
        <w:t>. This analysis does not estimate those benefits.</w:t>
      </w:r>
    </w:p>
    <w:p w14:paraId="529BDC62" w14:textId="77777777" w:rsidR="0005678C" w:rsidRPr="00E938B5" w:rsidRDefault="0005678C" w:rsidP="0005678C">
      <w:pPr>
        <w:keepNext/>
        <w:spacing w:line="480" w:lineRule="auto"/>
        <w:jc w:val="center"/>
        <w:rPr>
          <w:rFonts w:ascii="Times New Roman" w:hAnsi="Times New Roman" w:cs="Times New Roman"/>
        </w:rPr>
      </w:pPr>
      <w:r w:rsidRPr="00E938B5">
        <w:rPr>
          <w:rFonts w:ascii="Times New Roman" w:hAnsi="Times New Roman" w:cs="Times New Roman"/>
          <w:b/>
        </w:rPr>
        <w:t>Decision Rule and Recommendation</w:t>
      </w:r>
    </w:p>
    <w:p w14:paraId="40628DF1" w14:textId="77777777" w:rsidR="0005678C" w:rsidRPr="00E938B5" w:rsidRDefault="0005678C" w:rsidP="0005678C">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On freight-rate grounds, the Pasha and APL comparisons justify testing the mechanism, not assuming foreign entry. Pasha drew a pricing response in Hawaiʻi; APL gained volume and drew repricing in Guam. A westbound-only exemption targets international carriers’ existing Honolulu calls and Hawaiʻi’s fuller inbound leg. No comparable foreign return service is shown, and eastbound backhaul already has spare capacity.</w:t>
      </w:r>
    </w:p>
    <w:p w14:paraId="02F1BC5C" w14:textId="5ABA94E5" w:rsidR="00E938B5" w:rsidRPr="00E938B5" w:rsidRDefault="0005678C" w:rsidP="00E938B5">
      <w:pPr>
        <w:spacing w:line="480" w:lineRule="auto"/>
        <w:ind w:firstLine="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I would have Congress enact a two-year West Coast-to-Honolulu container exemption, narrower than H.R. 667. Congress should require confidential reports of realized westbound contract rates, loaded TEUs, and frequency to the Maritime Administration, with HDOT tracking local service. Congress should renew only if carriers submit bona fide bids or carry domestic westbound boxes and either shippers switch volume or incumbents’ fuel- and mix-adjusted realized rates fall relative to the 12 months before the exemption, without a material service decline. The evidence supports possible rate reductions, not a precise savings </w:t>
      </w:r>
      <w:proofErr w:type="gramStart"/>
      <w:r w:rsidRPr="00E938B5">
        <w:rPr>
          <w:rFonts w:ascii="Times New Roman" w:eastAsia="MS Mincho" w:hAnsi="Times New Roman" w:cs="Times New Roman"/>
          <w:kern w:val="0"/>
          <w:szCs w:val="22"/>
          <w14:ligatures w14:val="none"/>
        </w:rPr>
        <w:t>estimate</w:t>
      </w:r>
      <w:proofErr w:type="gramEnd"/>
      <w:r w:rsidRPr="00E938B5">
        <w:rPr>
          <w:rFonts w:ascii="Times New Roman" w:eastAsia="MS Mincho" w:hAnsi="Times New Roman" w:cs="Times New Roman"/>
          <w:kern w:val="0"/>
          <w:szCs w:val="22"/>
          <w14:ligatures w14:val="none"/>
        </w:rPr>
        <w:t>.</w:t>
      </w:r>
    </w:p>
    <w:p w14:paraId="5277411C" w14:textId="77777777" w:rsidR="0005678C" w:rsidRPr="00E938B5" w:rsidRDefault="0005678C" w:rsidP="0005678C">
      <w:pPr>
        <w:keepNext/>
        <w:pageBreakBefore/>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b/>
          <w:kern w:val="0"/>
          <w:szCs w:val="22"/>
          <w14:ligatures w14:val="none"/>
        </w:rPr>
        <w:lastRenderedPageBreak/>
        <w:t>Figure 1</w:t>
      </w:r>
    </w:p>
    <w:p w14:paraId="4409C09D" w14:textId="77777777" w:rsidR="0005678C" w:rsidRPr="00E938B5" w:rsidRDefault="0005678C" w:rsidP="0005678C">
      <w:pPr>
        <w:keepNext/>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i/>
          <w:kern w:val="0"/>
          <w:szCs w:val="22"/>
          <w14:ligatures w14:val="none"/>
        </w:rPr>
        <w:t>How Additional Competition Could Affect Directional Pricing</w:t>
      </w:r>
    </w:p>
    <w:p w14:paraId="452F2106" w14:textId="77777777" w:rsidR="0005678C" w:rsidRPr="00E938B5" w:rsidRDefault="0005678C" w:rsidP="0005678C">
      <w:pPr>
        <w:keepNext/>
        <w:rPr>
          <w:rFonts w:ascii="Times New Roman" w:eastAsia="MS Mincho" w:hAnsi="Times New Roman" w:cs="Times New Roman"/>
          <w:kern w:val="0"/>
          <w:szCs w:val="22"/>
          <w14:ligatures w14:val="none"/>
        </w:rPr>
      </w:pPr>
      <w:r w:rsidRPr="00E938B5">
        <w:rPr>
          <w:rFonts w:ascii="Times New Roman" w:eastAsia="MS Mincho" w:hAnsi="Times New Roman" w:cs="Times New Roman"/>
          <w:noProof/>
          <w:kern w:val="0"/>
          <w:szCs w:val="22"/>
          <w14:ligatures w14:val="none"/>
        </w:rPr>
        <w:drawing>
          <wp:inline distT="0" distB="0" distL="0" distR="0" wp14:anchorId="56401F6F" wp14:editId="7502CEE5">
            <wp:extent cx="5760720" cy="4556205"/>
            <wp:effectExtent l="0" t="0" r="0" b="0"/>
            <wp:docPr id="2104586798" name="Picture 2104586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economics_v6.png"/>
                    <pic:cNvPicPr/>
                  </pic:nvPicPr>
                  <pic:blipFill>
                    <a:blip r:embed="rId4"/>
                    <a:stretch>
                      <a:fillRect/>
                    </a:stretch>
                  </pic:blipFill>
                  <pic:spPr>
                    <a:xfrm>
                      <a:off x="0" y="0"/>
                      <a:ext cx="5760720" cy="4556205"/>
                    </a:xfrm>
                    <a:prstGeom prst="rect">
                      <a:avLst/>
                    </a:prstGeom>
                  </pic:spPr>
                </pic:pic>
              </a:graphicData>
            </a:graphic>
          </wp:inline>
        </w:drawing>
      </w:r>
    </w:p>
    <w:p w14:paraId="3C12C2CA" w14:textId="77777777" w:rsidR="0005678C" w:rsidRPr="00E938B5" w:rsidRDefault="0005678C" w:rsidP="0005678C">
      <w:pPr>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i/>
          <w:kern w:val="0"/>
          <w:szCs w:val="22"/>
          <w14:ligatures w14:val="none"/>
        </w:rPr>
        <w:t>Note.</w:t>
      </w:r>
      <w:r w:rsidRPr="00E938B5">
        <w:rPr>
          <w:rFonts w:ascii="Times New Roman" w:eastAsia="MS Mincho" w:hAnsi="Times New Roman" w:cs="Times New Roman"/>
          <w:kern w:val="0"/>
          <w:szCs w:val="22"/>
          <w14:ligatures w14:val="none"/>
        </w:rPr>
        <w:t xml:space="preserve"> Conceptual curves in Panel A illustrate separate profit-maximizing quantities where marginal revenue equals marginal cost; values are not observed Hawaiʻi freight rates. Panel B applies the westbound-only exemption; eastbound effects would be indirect. Figure generated with ChatGPT (OpenAI, 2026) in Python from the author’s analytical specification and the BUS 620 pricing-power framework (Stauffer, 2026).</w:t>
      </w:r>
    </w:p>
    <w:p w14:paraId="36C79088" w14:textId="77777777" w:rsidR="0005678C" w:rsidRPr="00E938B5" w:rsidRDefault="0005678C" w:rsidP="0005678C">
      <w:pPr>
        <w:keepNext/>
        <w:pageBreakBefore/>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b/>
          <w:kern w:val="0"/>
          <w:szCs w:val="22"/>
          <w14:ligatures w14:val="none"/>
        </w:rPr>
        <w:lastRenderedPageBreak/>
        <w:t>Figure 2</w:t>
      </w:r>
    </w:p>
    <w:p w14:paraId="21008062" w14:textId="77777777" w:rsidR="0005678C" w:rsidRPr="00E938B5" w:rsidRDefault="0005678C" w:rsidP="0005678C">
      <w:pPr>
        <w:keepNext/>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i/>
          <w:kern w:val="0"/>
          <w:szCs w:val="22"/>
          <w14:ligatures w14:val="none"/>
        </w:rPr>
        <w:t>Matson U.S.–Guam Market Share After APL Entry</w:t>
      </w:r>
    </w:p>
    <w:p w14:paraId="2B49F450" w14:textId="77777777" w:rsidR="0005678C" w:rsidRPr="00E938B5" w:rsidRDefault="0005678C" w:rsidP="0005678C">
      <w:pPr>
        <w:keepNext/>
        <w:rPr>
          <w:rFonts w:ascii="Times New Roman" w:eastAsia="MS Mincho" w:hAnsi="Times New Roman" w:cs="Times New Roman"/>
          <w:kern w:val="0"/>
          <w:szCs w:val="22"/>
          <w14:ligatures w14:val="none"/>
        </w:rPr>
      </w:pPr>
      <w:r w:rsidRPr="00E938B5">
        <w:rPr>
          <w:rFonts w:ascii="Times New Roman" w:eastAsia="MS Mincho" w:hAnsi="Times New Roman" w:cs="Times New Roman"/>
          <w:noProof/>
          <w:kern w:val="0"/>
          <w:szCs w:val="22"/>
          <w14:ligatures w14:val="none"/>
        </w:rPr>
        <w:drawing>
          <wp:inline distT="0" distB="0" distL="0" distR="0" wp14:anchorId="07C824C6" wp14:editId="243783E4">
            <wp:extent cx="5715000" cy="2721429"/>
            <wp:effectExtent l="0" t="0" r="0" b="0"/>
            <wp:docPr id="1739659840" name="Picture 1739659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guam_v6.png"/>
                    <pic:cNvPicPr/>
                  </pic:nvPicPr>
                  <pic:blipFill>
                    <a:blip r:embed="rId5"/>
                    <a:stretch>
                      <a:fillRect/>
                    </a:stretch>
                  </pic:blipFill>
                  <pic:spPr>
                    <a:xfrm>
                      <a:off x="0" y="0"/>
                      <a:ext cx="5715000" cy="2721429"/>
                    </a:xfrm>
                    <a:prstGeom prst="rect">
                      <a:avLst/>
                    </a:prstGeom>
                  </pic:spPr>
                </pic:pic>
              </a:graphicData>
            </a:graphic>
          </wp:inline>
        </w:drawing>
      </w:r>
    </w:p>
    <w:p w14:paraId="4F2E6A31" w14:textId="77777777" w:rsidR="0005678C" w:rsidRPr="00E938B5" w:rsidRDefault="0005678C" w:rsidP="0005678C">
      <w:pPr>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i/>
          <w:kern w:val="0"/>
          <w:szCs w:val="22"/>
          <w14:ligatures w14:val="none"/>
        </w:rPr>
        <w:t>Note.</w:t>
      </w:r>
      <w:r w:rsidRPr="00E938B5">
        <w:rPr>
          <w:rFonts w:ascii="Times New Roman" w:eastAsia="MS Mincho" w:hAnsi="Times New Roman" w:cs="Times New Roman"/>
          <w:kern w:val="0"/>
          <w:szCs w:val="22"/>
          <w14:ligatures w14:val="none"/>
        </w:rPr>
        <w:t xml:space="preserve"> American President Lines (APL) entered in 2015. Matson’s share was about 94% in 2016, 82% in 2017, and 74% in 2018, later fluctuating around 70% until after the COVID-19 pandemic; the last marker is a later-period summary, not a 2025 observation. Guam is a comparator, not an estimate for Hawaiʻi. Chart generated with ChatGPT (OpenAI, 2026) in Python from author-selected data in </w:t>
      </w:r>
      <w:r w:rsidRPr="00E938B5">
        <w:rPr>
          <w:rFonts w:ascii="Times New Roman" w:eastAsia="MS Mincho" w:hAnsi="Times New Roman" w:cs="Times New Roman"/>
          <w:i/>
          <w:kern w:val="0"/>
          <w:szCs w:val="22"/>
          <w14:ligatures w14:val="none"/>
        </w:rPr>
        <w:t>American President Lines, LLC v. Matson, Inc.</w:t>
      </w:r>
      <w:r w:rsidRPr="00E938B5">
        <w:rPr>
          <w:rFonts w:ascii="Times New Roman" w:eastAsia="MS Mincho" w:hAnsi="Times New Roman" w:cs="Times New Roman"/>
          <w:kern w:val="0"/>
          <w:szCs w:val="22"/>
          <w14:ligatures w14:val="none"/>
        </w:rPr>
        <w:t xml:space="preserve"> (2025, p. 15).</w:t>
      </w:r>
    </w:p>
    <w:p w14:paraId="42ACBE6E" w14:textId="77777777" w:rsidR="0005678C" w:rsidRPr="00E938B5" w:rsidRDefault="0005678C" w:rsidP="0005678C">
      <w:pPr>
        <w:keepNext/>
        <w:pageBreakBefore/>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b/>
          <w:kern w:val="0"/>
          <w:szCs w:val="22"/>
          <w14:ligatures w14:val="none"/>
        </w:rPr>
        <w:lastRenderedPageBreak/>
        <w:t>Figure 3</w:t>
      </w:r>
    </w:p>
    <w:p w14:paraId="781259A0" w14:textId="77777777" w:rsidR="0005678C" w:rsidRPr="00E938B5" w:rsidRDefault="0005678C" w:rsidP="0005678C">
      <w:pPr>
        <w:keepNext/>
        <w:spacing w:line="480" w:lineRule="auto"/>
        <w:rPr>
          <w:rFonts w:ascii="Times New Roman" w:eastAsia="MS Mincho" w:hAnsi="Times New Roman" w:cs="Times New Roman"/>
          <w:kern w:val="0"/>
          <w:szCs w:val="22"/>
          <w14:ligatures w14:val="none"/>
        </w:rPr>
      </w:pPr>
      <w:r w:rsidRPr="00E938B5">
        <w:rPr>
          <w:rFonts w:ascii="Times New Roman" w:eastAsia="MS Mincho" w:hAnsi="Times New Roman" w:cs="Times New Roman"/>
          <w:i/>
          <w:kern w:val="0"/>
          <w:szCs w:val="22"/>
          <w14:ligatures w14:val="none"/>
        </w:rPr>
        <w:t>Published Hawaiʻi Household-Goods Rates by Direction</w:t>
      </w:r>
    </w:p>
    <w:p w14:paraId="73053CE4" w14:textId="77777777" w:rsidR="0005678C" w:rsidRPr="00E938B5" w:rsidRDefault="0005678C" w:rsidP="0005678C">
      <w:pPr>
        <w:keepNext/>
        <w:rPr>
          <w:rFonts w:ascii="Times New Roman" w:eastAsia="MS Mincho" w:hAnsi="Times New Roman" w:cs="Times New Roman"/>
          <w:kern w:val="0"/>
          <w:szCs w:val="22"/>
          <w14:ligatures w14:val="none"/>
        </w:rPr>
      </w:pPr>
      <w:r w:rsidRPr="00E938B5">
        <w:rPr>
          <w:rFonts w:ascii="Times New Roman" w:eastAsia="MS Mincho" w:hAnsi="Times New Roman" w:cs="Times New Roman"/>
          <w:noProof/>
          <w:kern w:val="0"/>
          <w:szCs w:val="22"/>
          <w14:ligatures w14:val="none"/>
        </w:rPr>
        <w:drawing>
          <wp:inline distT="0" distB="0" distL="0" distR="0" wp14:anchorId="00CB9201" wp14:editId="1CACF17A">
            <wp:extent cx="5715000" cy="2721429"/>
            <wp:effectExtent l="0" t="0" r="0" b="0"/>
            <wp:docPr id="1407582887" name="Picture 140758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ates_v6.png"/>
                    <pic:cNvPicPr/>
                  </pic:nvPicPr>
                  <pic:blipFill>
                    <a:blip r:embed="rId6"/>
                    <a:stretch>
                      <a:fillRect/>
                    </a:stretch>
                  </pic:blipFill>
                  <pic:spPr>
                    <a:xfrm>
                      <a:off x="0" y="0"/>
                      <a:ext cx="5715000" cy="2721429"/>
                    </a:xfrm>
                    <a:prstGeom prst="rect">
                      <a:avLst/>
                    </a:prstGeom>
                  </pic:spPr>
                </pic:pic>
              </a:graphicData>
            </a:graphic>
          </wp:inline>
        </w:drawing>
      </w:r>
    </w:p>
    <w:p w14:paraId="2AFDFB14" w14:textId="77777777" w:rsidR="0005678C" w:rsidRPr="00E938B5" w:rsidRDefault="0005678C" w:rsidP="0005678C">
      <w:pPr>
        <w:spacing w:line="480" w:lineRule="auto"/>
        <w:rPr>
          <w:rFonts w:ascii="Times New Roman" w:hAnsi="Times New Roman" w:cs="Times New Roman"/>
        </w:rPr>
      </w:pPr>
      <w:r w:rsidRPr="00E938B5">
        <w:rPr>
          <w:rFonts w:ascii="Times New Roman" w:eastAsia="MS Mincho" w:hAnsi="Times New Roman" w:cs="Times New Roman"/>
          <w:i/>
          <w:kern w:val="0"/>
          <w:szCs w:val="22"/>
          <w14:ligatures w14:val="none"/>
        </w:rPr>
        <w:t>Note.</w:t>
      </w:r>
      <w:r w:rsidRPr="00E938B5">
        <w:rPr>
          <w:rFonts w:ascii="Times New Roman" w:eastAsia="MS Mincho" w:hAnsi="Times New Roman" w:cs="Times New Roman"/>
          <w:kern w:val="0"/>
          <w:szCs w:val="22"/>
          <w14:ligatures w14:val="none"/>
        </w:rPr>
        <w:t xml:space="preserve"> Published base rates for a 40-foot household-goods container; westbound rates exceeded eastbound by about 71% in 2025 and 72% in 2026. Military household-goods shipments remain subject to U.S.-flag cargo preference (Maritime Administration, n.d.), so these rates illustrate directionality but are not representative prices for all cargo eligible under the exemption. Chart generated with ChatGPT (OpenAI, 2026) in Python from Matson Navigation Company (2025, 2026) tariff data.</w:t>
      </w:r>
    </w:p>
    <w:p w14:paraId="6C95F8AB" w14:textId="77777777" w:rsidR="0005678C" w:rsidRPr="00E938B5" w:rsidRDefault="0005678C" w:rsidP="0005678C">
      <w:pPr>
        <w:keepNext/>
        <w:pageBreakBefore/>
        <w:spacing w:line="480" w:lineRule="auto"/>
        <w:jc w:val="center"/>
        <w:rPr>
          <w:rFonts w:ascii="Times New Roman" w:eastAsia="MS Mincho" w:hAnsi="Times New Roman" w:cs="Times New Roman"/>
          <w:kern w:val="0"/>
          <w:szCs w:val="22"/>
          <w14:ligatures w14:val="none"/>
        </w:rPr>
      </w:pPr>
      <w:r w:rsidRPr="00E938B5">
        <w:rPr>
          <w:rFonts w:ascii="Times New Roman" w:eastAsia="MS Mincho" w:hAnsi="Times New Roman" w:cs="Times New Roman"/>
          <w:b/>
          <w:kern w:val="0"/>
          <w:szCs w:val="22"/>
          <w14:ligatures w14:val="none"/>
        </w:rPr>
        <w:lastRenderedPageBreak/>
        <w:t>References</w:t>
      </w:r>
    </w:p>
    <w:p w14:paraId="5071A01F"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i/>
          <w:kern w:val="0"/>
          <w:szCs w:val="22"/>
          <w14:ligatures w14:val="none"/>
        </w:rPr>
        <w:t>American President Lines, LLC v. Matson, Inc.</w:t>
      </w:r>
      <w:r w:rsidRPr="00E938B5">
        <w:rPr>
          <w:rFonts w:ascii="Times New Roman" w:eastAsia="MS Mincho" w:hAnsi="Times New Roman" w:cs="Times New Roman"/>
          <w:kern w:val="0"/>
          <w:szCs w:val="22"/>
          <w14:ligatures w14:val="none"/>
        </w:rPr>
        <w:t>, No. 1:21-cv-02040 (D.D.C. Mar. 19, 2025). https://law.justia.com/cases/federal/district-courts/district-of-columbia/dcdce/1:2021cv02040/233910/195/</w:t>
      </w:r>
    </w:p>
    <w:p w14:paraId="3218A399"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CMA CGM. (2025). </w:t>
      </w:r>
      <w:r w:rsidRPr="00E938B5">
        <w:rPr>
          <w:rFonts w:ascii="Times New Roman" w:eastAsia="MS Mincho" w:hAnsi="Times New Roman" w:cs="Times New Roman"/>
          <w:i/>
          <w:kern w:val="0"/>
          <w:szCs w:val="22"/>
          <w14:ligatures w14:val="none"/>
        </w:rPr>
        <w:t>EXX: Eagle Express X</w:t>
      </w:r>
      <w:r w:rsidRPr="00E938B5">
        <w:rPr>
          <w:rFonts w:ascii="Times New Roman" w:eastAsia="MS Mincho" w:hAnsi="Times New Roman" w:cs="Times New Roman"/>
          <w:kern w:val="0"/>
          <w:szCs w:val="22"/>
          <w14:ligatures w14:val="none"/>
        </w:rPr>
        <w:t>. https://www.cma-cgm.com/assets/public/documents/</w:t>
      </w:r>
      <w:r w:rsidRPr="00E938B5">
        <w:rPr>
          <w:rFonts w:ascii="Times New Roman" w:eastAsia="MS Mincho" w:hAnsi="Times New Roman" w:cs="Times New Roman"/>
          <w:kern w:val="0"/>
          <w:szCs w:val="22"/>
          <w14:ligatures w14:val="none"/>
        </w:rPr>
        <w:br/>
        <w:t>EXX_CMA%20CGM_20251126.pdf</w:t>
      </w:r>
    </w:p>
    <w:p w14:paraId="7648F25B"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Frittelli, J. (2019). </w:t>
      </w:r>
      <w:r w:rsidRPr="00E938B5">
        <w:rPr>
          <w:rFonts w:ascii="Times New Roman" w:eastAsia="MS Mincho" w:hAnsi="Times New Roman" w:cs="Times New Roman"/>
          <w:i/>
          <w:kern w:val="0"/>
          <w:szCs w:val="22"/>
          <w14:ligatures w14:val="none"/>
        </w:rPr>
        <w:t>Shipping under the Jones Act: Legislative and regulatory background</w:t>
      </w:r>
      <w:r w:rsidRPr="00E938B5">
        <w:rPr>
          <w:rFonts w:ascii="Times New Roman" w:eastAsia="MS Mincho" w:hAnsi="Times New Roman" w:cs="Times New Roman"/>
          <w:kern w:val="0"/>
          <w:szCs w:val="22"/>
          <w14:ligatures w14:val="none"/>
        </w:rPr>
        <w:t xml:space="preserve"> (CRS Report No. R45725). Congressional Research Service. https://www.congress.gov/crs_external_products/R/PDF/R45725/R45725.4.pdf</w:t>
      </w:r>
    </w:p>
    <w:p w14:paraId="67867BBA"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Hawaiʻi Department of Business, Economic Development &amp; Tourism. (2019). </w:t>
      </w:r>
      <w:r w:rsidRPr="00E938B5">
        <w:rPr>
          <w:rFonts w:ascii="Times New Roman" w:eastAsia="MS Mincho" w:hAnsi="Times New Roman" w:cs="Times New Roman"/>
          <w:i/>
          <w:kern w:val="0"/>
          <w:szCs w:val="22"/>
          <w14:ligatures w14:val="none"/>
        </w:rPr>
        <w:t>Marine cargo and waterborne commerce in Hawaii’s economy: Trends and patterns in Hawaii marine cargo 2001–2016</w:t>
      </w:r>
      <w:r w:rsidRPr="00E938B5">
        <w:rPr>
          <w:rFonts w:ascii="Times New Roman" w:eastAsia="MS Mincho" w:hAnsi="Times New Roman" w:cs="Times New Roman"/>
          <w:kern w:val="0"/>
          <w:szCs w:val="22"/>
          <w14:ligatures w14:val="none"/>
        </w:rPr>
        <w:t>. https://files.hawaii.gov/dbedt/economic/reports/Marine_Cargo_Study_Final.pdf</w:t>
      </w:r>
    </w:p>
    <w:p w14:paraId="2D45735A"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Hawaiʻi Department of Transportation. (2024). </w:t>
      </w:r>
      <w:r w:rsidRPr="00E938B5">
        <w:rPr>
          <w:rFonts w:ascii="Times New Roman" w:eastAsia="MS Mincho" w:hAnsi="Times New Roman" w:cs="Times New Roman"/>
          <w:i/>
          <w:kern w:val="0"/>
          <w:szCs w:val="22"/>
          <w14:ligatures w14:val="none"/>
        </w:rPr>
        <w:t>2023 Hawaiʻi statewide freight plan</w:t>
      </w:r>
      <w:r w:rsidRPr="00E938B5">
        <w:rPr>
          <w:rFonts w:ascii="Times New Roman" w:eastAsia="MS Mincho" w:hAnsi="Times New Roman" w:cs="Times New Roman"/>
          <w:kern w:val="0"/>
          <w:szCs w:val="22"/>
          <w14:ligatures w14:val="none"/>
        </w:rPr>
        <w:t>. https://hidot.hawaii.gov/highways/files/2024/04/HDOT-Freight-Plan-Final-Report-2024-03-01.pdf</w:t>
      </w:r>
    </w:p>
    <w:p w14:paraId="5C6702EF"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Maritime Administration. (n.d.). </w:t>
      </w:r>
      <w:r w:rsidRPr="00E938B5">
        <w:rPr>
          <w:rFonts w:ascii="Times New Roman" w:eastAsia="MS Mincho" w:hAnsi="Times New Roman" w:cs="Times New Roman"/>
          <w:i/>
          <w:kern w:val="0"/>
          <w:szCs w:val="22"/>
          <w14:ligatures w14:val="none"/>
        </w:rPr>
        <w:t>Frequently asked questions (FAQs): Cargo preference</w:t>
      </w:r>
      <w:r w:rsidRPr="00E938B5">
        <w:rPr>
          <w:rFonts w:ascii="Times New Roman" w:eastAsia="MS Mincho" w:hAnsi="Times New Roman" w:cs="Times New Roman"/>
          <w:kern w:val="0"/>
          <w:szCs w:val="22"/>
          <w14:ligatures w14:val="none"/>
        </w:rPr>
        <w:t>. U.S. Department of Transportation. Retrieved October 6, 2026, from https://www.maritime.dot.gov/ports/cargo-preference/frequently-asked-questions-faqs-cargo-preference</w:t>
      </w:r>
    </w:p>
    <w:p w14:paraId="76E87059"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Maritime Administration. (2026). </w:t>
      </w:r>
      <w:r w:rsidRPr="00E938B5">
        <w:rPr>
          <w:rFonts w:ascii="Times New Roman" w:eastAsia="MS Mincho" w:hAnsi="Times New Roman" w:cs="Times New Roman"/>
          <w:i/>
          <w:kern w:val="0"/>
          <w:szCs w:val="22"/>
          <w14:ligatures w14:val="none"/>
        </w:rPr>
        <w:t>Domestic shipping</w:t>
      </w:r>
      <w:r w:rsidRPr="00E938B5">
        <w:rPr>
          <w:rFonts w:ascii="Times New Roman" w:eastAsia="MS Mincho" w:hAnsi="Times New Roman" w:cs="Times New Roman"/>
          <w:kern w:val="0"/>
          <w:szCs w:val="22"/>
          <w14:ligatures w14:val="none"/>
        </w:rPr>
        <w:t>. U.S. Department of Transportation. https://www.maritime.dot.gov/ports/domestic-shipping/domestic-shipping</w:t>
      </w:r>
    </w:p>
    <w:p w14:paraId="4E2B0B41"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lastRenderedPageBreak/>
        <w:t xml:space="preserve">Matson, Inc. (2026). </w:t>
      </w:r>
      <w:r w:rsidRPr="00E938B5">
        <w:rPr>
          <w:rFonts w:ascii="Times New Roman" w:eastAsia="MS Mincho" w:hAnsi="Times New Roman" w:cs="Times New Roman"/>
          <w:i/>
          <w:kern w:val="0"/>
          <w:szCs w:val="22"/>
          <w14:ligatures w14:val="none"/>
        </w:rPr>
        <w:t>Annual report on Form 10-K for the year ended December 31, 2025</w:t>
      </w:r>
      <w:r w:rsidRPr="00E938B5">
        <w:rPr>
          <w:rFonts w:ascii="Times New Roman" w:eastAsia="MS Mincho" w:hAnsi="Times New Roman" w:cs="Times New Roman"/>
          <w:kern w:val="0"/>
          <w:szCs w:val="22"/>
          <w14:ligatures w14:val="none"/>
        </w:rPr>
        <w:t>. U.S. Securities and Exchange Commission. https://www.sec.gov/Archives/edgar/data/3453/000110465926020944/</w:t>
      </w:r>
      <w:r w:rsidRPr="00E938B5">
        <w:rPr>
          <w:rFonts w:ascii="Times New Roman" w:eastAsia="MS Mincho" w:hAnsi="Times New Roman" w:cs="Times New Roman"/>
          <w:kern w:val="0"/>
          <w:szCs w:val="22"/>
          <w14:ligatures w14:val="none"/>
        </w:rPr>
        <w:br/>
        <w:t>matx-20251231x10k.htm</w:t>
      </w:r>
    </w:p>
    <w:p w14:paraId="645B9F71"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Matson Navigation Company. (2025). [Published Hawaiʻi household-goods tariff, effective June 1, 2025]. https://www.matson.com/others/Hawaii_Service_June_1_2025.pdf</w:t>
      </w:r>
    </w:p>
    <w:p w14:paraId="2A00A24C"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Matson Navigation Company. (2026). [Published Hawaiʻi household-goods tariff, effective June 1, 2026]. https://www.matson.com/others/HHG_Hawaii_6.26.pdf</w:t>
      </w:r>
    </w:p>
    <w:p w14:paraId="755EF4D4"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OpenAI. (2026). </w:t>
      </w:r>
      <w:r w:rsidRPr="00E938B5">
        <w:rPr>
          <w:rFonts w:ascii="Times New Roman" w:eastAsia="MS Mincho" w:hAnsi="Times New Roman" w:cs="Times New Roman"/>
          <w:i/>
          <w:kern w:val="0"/>
          <w:szCs w:val="22"/>
          <w14:ligatures w14:val="none"/>
        </w:rPr>
        <w:t>ChatGPT (GPT-5.6 Sol)</w:t>
      </w:r>
      <w:r w:rsidRPr="00E938B5">
        <w:rPr>
          <w:rFonts w:ascii="Times New Roman" w:eastAsia="MS Mincho" w:hAnsi="Times New Roman" w:cs="Times New Roman"/>
          <w:kern w:val="0"/>
          <w:szCs w:val="22"/>
          <w14:ligatures w14:val="none"/>
        </w:rPr>
        <w:t xml:space="preserve"> [Large language model]. https://chatgpt.com/</w:t>
      </w:r>
    </w:p>
    <w:p w14:paraId="56E36432"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Port of Los Angeles. (2025). </w:t>
      </w:r>
      <w:r w:rsidRPr="00E938B5">
        <w:rPr>
          <w:rFonts w:ascii="Times New Roman" w:eastAsia="MS Mincho" w:hAnsi="Times New Roman" w:cs="Times New Roman"/>
          <w:i/>
          <w:kern w:val="0"/>
          <w:szCs w:val="22"/>
          <w14:ligatures w14:val="none"/>
        </w:rPr>
        <w:t>2025 Port of Los Angeles container statistics</w:t>
      </w:r>
      <w:r w:rsidRPr="00E938B5">
        <w:rPr>
          <w:rFonts w:ascii="Times New Roman" w:eastAsia="MS Mincho" w:hAnsi="Times New Roman" w:cs="Times New Roman"/>
          <w:kern w:val="0"/>
          <w:szCs w:val="22"/>
          <w14:ligatures w14:val="none"/>
        </w:rPr>
        <w:t>. Retrieved October 6, 2026, from https://portoflosangeles.org/business/statistics/container-statistics/historical-teu-statistics-2025</w:t>
      </w:r>
    </w:p>
    <w:p w14:paraId="6C87C3AE"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Stauffer, A. W. (2026). </w:t>
      </w:r>
      <w:r w:rsidRPr="00E938B5">
        <w:rPr>
          <w:rFonts w:ascii="Times New Roman" w:eastAsia="MS Mincho" w:hAnsi="Times New Roman" w:cs="Times New Roman"/>
          <w:i/>
          <w:kern w:val="0"/>
          <w:szCs w:val="22"/>
          <w14:ligatures w14:val="none"/>
        </w:rPr>
        <w:t>BUS 620 session 4: Power</w:t>
      </w:r>
      <w:r w:rsidRPr="00E938B5">
        <w:rPr>
          <w:rFonts w:ascii="Times New Roman" w:eastAsia="MS Mincho" w:hAnsi="Times New Roman" w:cs="Times New Roman"/>
          <w:kern w:val="0"/>
          <w:szCs w:val="22"/>
          <w14:ligatures w14:val="none"/>
        </w:rPr>
        <w:t xml:space="preserve"> [PowerPoint slides]. Shidler College of Business, University of Hawaiʻi at Mānoa.</w:t>
      </w:r>
    </w:p>
    <w:p w14:paraId="2F6ACB2B"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U.S. Congress. (2025). </w:t>
      </w:r>
      <w:r w:rsidRPr="00E938B5">
        <w:rPr>
          <w:rFonts w:ascii="Times New Roman" w:eastAsia="MS Mincho" w:hAnsi="Times New Roman" w:cs="Times New Roman"/>
          <w:i/>
          <w:kern w:val="0"/>
          <w:szCs w:val="22"/>
          <w14:ligatures w14:val="none"/>
        </w:rPr>
        <w:t>H.R. 667—Noncontiguous Shipping Relief Act of 2024: Actions</w:t>
      </w:r>
      <w:r w:rsidRPr="00E938B5">
        <w:rPr>
          <w:rFonts w:ascii="Times New Roman" w:eastAsia="MS Mincho" w:hAnsi="Times New Roman" w:cs="Times New Roman"/>
          <w:kern w:val="0"/>
          <w:szCs w:val="22"/>
          <w14:ligatures w14:val="none"/>
        </w:rPr>
        <w:t>. Congress.gov. https://www.congress.gov/bill/119th-congress/house-bill/667/all-actions</w:t>
      </w:r>
    </w:p>
    <w:p w14:paraId="2F010C42" w14:textId="77777777" w:rsidR="0005678C" w:rsidRPr="00E938B5" w:rsidRDefault="0005678C" w:rsidP="0005678C">
      <w:pPr>
        <w:spacing w:line="480" w:lineRule="auto"/>
        <w:ind w:left="720" w:hanging="720"/>
        <w:rPr>
          <w:rFonts w:ascii="Times New Roman" w:eastAsia="MS Mincho" w:hAnsi="Times New Roman" w:cs="Times New Roman"/>
          <w:kern w:val="0"/>
          <w:szCs w:val="22"/>
          <w14:ligatures w14:val="none"/>
        </w:rPr>
      </w:pPr>
      <w:r w:rsidRPr="00E938B5">
        <w:rPr>
          <w:rFonts w:ascii="Times New Roman" w:eastAsia="MS Mincho" w:hAnsi="Times New Roman" w:cs="Times New Roman"/>
          <w:kern w:val="0"/>
          <w:szCs w:val="22"/>
          <w14:ligatures w14:val="none"/>
        </w:rPr>
        <w:t xml:space="preserve">U.S. Government Accountability Office. (2022). </w:t>
      </w:r>
      <w:r w:rsidRPr="00E938B5">
        <w:rPr>
          <w:rFonts w:ascii="Times New Roman" w:eastAsia="MS Mincho" w:hAnsi="Times New Roman" w:cs="Times New Roman"/>
          <w:i/>
          <w:kern w:val="0"/>
          <w:szCs w:val="22"/>
          <w14:ligatures w14:val="none"/>
        </w:rPr>
        <w:t>Domestic oceangoing shipping: Information on the Surface Transportation Board’s regulatory processes</w:t>
      </w:r>
      <w:r w:rsidRPr="00E938B5">
        <w:rPr>
          <w:rFonts w:ascii="Times New Roman" w:eastAsia="MS Mincho" w:hAnsi="Times New Roman" w:cs="Times New Roman"/>
          <w:kern w:val="0"/>
          <w:szCs w:val="22"/>
          <w14:ligatures w14:val="none"/>
        </w:rPr>
        <w:t xml:space="preserve"> (GAO-22-105391). https://www.gao.gov/products/gao-22-105391</w:t>
      </w:r>
    </w:p>
    <w:p w14:paraId="676783D0" w14:textId="77777777" w:rsidR="00D07357" w:rsidRPr="00E938B5" w:rsidRDefault="00D07357">
      <w:pPr>
        <w:rPr>
          <w:rFonts w:ascii="Times New Roman" w:hAnsi="Times New Roman" w:cs="Times New Roman"/>
        </w:rPr>
      </w:pPr>
    </w:p>
    <w:sectPr w:rsidR="00D07357" w:rsidRPr="00E93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78C"/>
    <w:rsid w:val="0005678C"/>
    <w:rsid w:val="00154505"/>
    <w:rsid w:val="00283C72"/>
    <w:rsid w:val="004F0745"/>
    <w:rsid w:val="00592B63"/>
    <w:rsid w:val="00627F56"/>
    <w:rsid w:val="00713237"/>
    <w:rsid w:val="007E52E2"/>
    <w:rsid w:val="00BC3343"/>
    <w:rsid w:val="00C74360"/>
    <w:rsid w:val="00D07357"/>
    <w:rsid w:val="00E938B5"/>
    <w:rsid w:val="00FA3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BD97"/>
  <w15:chartTrackingRefBased/>
  <w15:docId w15:val="{4A5B8D7F-8FA4-47CD-86D7-D102B15DB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8C"/>
    <w:pPr>
      <w:spacing w:after="0" w:line="240" w:lineRule="auto"/>
    </w:pPr>
  </w:style>
  <w:style w:type="paragraph" w:styleId="Heading1">
    <w:name w:val="heading 1"/>
    <w:basedOn w:val="Normal"/>
    <w:next w:val="Normal"/>
    <w:link w:val="Heading1Char"/>
    <w:uiPriority w:val="9"/>
    <w:qFormat/>
    <w:rsid w:val="0005678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78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78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78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78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78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78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78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78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78C"/>
    <w:rPr>
      <w:rFonts w:eastAsiaTheme="majorEastAsia" w:cstheme="majorBidi"/>
      <w:color w:val="272727" w:themeColor="text1" w:themeTint="D8"/>
    </w:rPr>
  </w:style>
  <w:style w:type="paragraph" w:styleId="Title">
    <w:name w:val="Title"/>
    <w:basedOn w:val="Normal"/>
    <w:next w:val="Normal"/>
    <w:link w:val="TitleChar"/>
    <w:uiPriority w:val="10"/>
    <w:qFormat/>
    <w:rsid w:val="000567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78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78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05678C"/>
    <w:rPr>
      <w:i/>
      <w:iCs/>
      <w:color w:val="404040" w:themeColor="text1" w:themeTint="BF"/>
    </w:rPr>
  </w:style>
  <w:style w:type="paragraph" w:styleId="ListParagraph">
    <w:name w:val="List Paragraph"/>
    <w:basedOn w:val="Normal"/>
    <w:uiPriority w:val="34"/>
    <w:qFormat/>
    <w:rsid w:val="0005678C"/>
    <w:pPr>
      <w:spacing w:after="160" w:line="278" w:lineRule="auto"/>
      <w:ind w:left="720"/>
      <w:contextualSpacing/>
    </w:pPr>
  </w:style>
  <w:style w:type="character" w:styleId="IntenseEmphasis">
    <w:name w:val="Intense Emphasis"/>
    <w:basedOn w:val="DefaultParagraphFont"/>
    <w:uiPriority w:val="21"/>
    <w:qFormat/>
    <w:rsid w:val="0005678C"/>
    <w:rPr>
      <w:i/>
      <w:iCs/>
      <w:color w:val="0F4761" w:themeColor="accent1" w:themeShade="BF"/>
    </w:rPr>
  </w:style>
  <w:style w:type="paragraph" w:styleId="IntenseQuote">
    <w:name w:val="Intense Quote"/>
    <w:basedOn w:val="Normal"/>
    <w:next w:val="Normal"/>
    <w:link w:val="IntenseQuoteChar"/>
    <w:uiPriority w:val="30"/>
    <w:qFormat/>
    <w:rsid w:val="0005678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78C"/>
    <w:rPr>
      <w:i/>
      <w:iCs/>
      <w:color w:val="0F4761" w:themeColor="accent1" w:themeShade="BF"/>
    </w:rPr>
  </w:style>
  <w:style w:type="character" w:styleId="IntenseReference">
    <w:name w:val="Intense Reference"/>
    <w:basedOn w:val="DefaultParagraphFont"/>
    <w:uiPriority w:val="32"/>
    <w:qFormat/>
    <w:rsid w:val="00056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1786</Words>
  <Characters>10186</Characters>
  <Application>Microsoft Office Word</Application>
  <DocSecurity>0</DocSecurity>
  <Lines>84</Lines>
  <Paragraphs>23</Paragraphs>
  <ScaleCrop>false</ScaleCrop>
  <Company>The Wonderful Company</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Carmichael, Eric</cp:lastModifiedBy>
  <cp:revision>3</cp:revision>
  <dcterms:created xsi:type="dcterms:W3CDTF">2026-10-07T18:31:00Z</dcterms:created>
  <dcterms:modified xsi:type="dcterms:W3CDTF">2026-10-07T18:37:00Z</dcterms:modified>
</cp:coreProperties>
</file>