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7CF1" w14:textId="77777777" w:rsidR="003A6B5B" w:rsidRPr="00F3690D" w:rsidRDefault="003A6B5B" w:rsidP="003A6B5B">
      <w:pPr>
        <w:spacing w:after="160" w:line="278" w:lineRule="auto"/>
        <w:jc w:val="center"/>
        <w:rPr>
          <w:rFonts w:ascii="Times New Roman" w:hAnsi="Times New Roman" w:cs="Times New Roman"/>
        </w:rPr>
      </w:pPr>
    </w:p>
    <w:p w14:paraId="0C3CFC0D" w14:textId="77777777" w:rsidR="003A6B5B" w:rsidRPr="00F3690D" w:rsidRDefault="003A6B5B" w:rsidP="003A6B5B">
      <w:pPr>
        <w:spacing w:after="160" w:line="278" w:lineRule="auto"/>
        <w:jc w:val="center"/>
        <w:rPr>
          <w:rFonts w:ascii="Times New Roman" w:hAnsi="Times New Roman" w:cs="Times New Roman"/>
        </w:rPr>
      </w:pPr>
    </w:p>
    <w:p w14:paraId="1A9E31AD" w14:textId="77777777" w:rsidR="003A6B5B" w:rsidRPr="00F3690D" w:rsidRDefault="003A6B5B" w:rsidP="003A6B5B">
      <w:pPr>
        <w:spacing w:after="160" w:line="278" w:lineRule="auto"/>
        <w:jc w:val="center"/>
        <w:rPr>
          <w:rFonts w:ascii="Times New Roman" w:hAnsi="Times New Roman" w:cs="Times New Roman"/>
        </w:rPr>
      </w:pPr>
    </w:p>
    <w:p w14:paraId="7639B8AE" w14:textId="0A8A2F4B"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b/>
        </w:rPr>
        <w:t>Sailing Past the Cargo: Would Foreign Ships Carrying Domestic Cargo Lower Hawaiʻi’s Westbound Freight Rate?</w:t>
      </w:r>
    </w:p>
    <w:p w14:paraId="22952375"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Eric Carmichael</w:t>
      </w:r>
    </w:p>
    <w:p w14:paraId="4E7E0D81"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BUS 620 — Individual Research Paper</w:t>
      </w:r>
    </w:p>
    <w:p w14:paraId="458EEDBF" w14:textId="02F948F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 xml:space="preserve">Shidler College of Business, University of Hawaiʻi at </w:t>
      </w:r>
      <w:proofErr w:type="spellStart"/>
      <w:r w:rsidRPr="00F3690D">
        <w:rPr>
          <w:rFonts w:ascii="Times New Roman" w:hAnsi="Times New Roman" w:cs="Times New Roman"/>
        </w:rPr>
        <w:t>Mānoa</w:t>
      </w:r>
      <w:proofErr w:type="spellEnd"/>
    </w:p>
    <w:p w14:paraId="1743880A" w14:textId="3F108D69" w:rsidR="003A6B5B" w:rsidRPr="00F3690D" w:rsidRDefault="003A6B5B" w:rsidP="003A6B5B">
      <w:pPr>
        <w:jc w:val="center"/>
        <w:rPr>
          <w:rFonts w:ascii="Times New Roman" w:hAnsi="Times New Roman" w:cs="Times New Roman"/>
        </w:rPr>
      </w:pPr>
      <w:r w:rsidRPr="00F3690D">
        <w:rPr>
          <w:rFonts w:ascii="Times New Roman" w:hAnsi="Times New Roman" w:cs="Times New Roman"/>
        </w:rPr>
        <w:t>10.09.2026</w:t>
      </w:r>
    </w:p>
    <w:p w14:paraId="22F55DC5" w14:textId="77777777" w:rsidR="003A6B5B" w:rsidRPr="00F3690D" w:rsidRDefault="003A6B5B" w:rsidP="003A6B5B">
      <w:pPr>
        <w:spacing w:after="160" w:line="278" w:lineRule="auto"/>
        <w:jc w:val="center"/>
        <w:rPr>
          <w:rFonts w:ascii="Times New Roman" w:hAnsi="Times New Roman" w:cs="Times New Roman"/>
        </w:rPr>
      </w:pPr>
    </w:p>
    <w:p w14:paraId="36B088FD" w14:textId="4BC07059" w:rsidR="003A6B5B" w:rsidRPr="00F3690D" w:rsidRDefault="003A6B5B" w:rsidP="003A6B5B">
      <w:pPr>
        <w:spacing w:line="480" w:lineRule="auto"/>
        <w:jc w:val="center"/>
        <w:rPr>
          <w:rFonts w:ascii="Times New Roman" w:hAnsi="Times New Roman" w:cs="Times New Roman"/>
        </w:rPr>
      </w:pPr>
      <w:r w:rsidRPr="00F3690D">
        <w:rPr>
          <w:rFonts w:ascii="Times New Roman" w:hAnsi="Times New Roman" w:cs="Times New Roman"/>
        </w:rPr>
        <w:br w:type="page"/>
      </w:r>
      <w:r w:rsidRPr="00F3690D">
        <w:rPr>
          <w:rFonts w:ascii="Times New Roman" w:hAnsi="Times New Roman" w:cs="Times New Roman"/>
          <w:b/>
        </w:rPr>
        <w:lastRenderedPageBreak/>
        <w:t>Would Foreign Ships Carrying Domestic Cargo Lower Hawaiʻi’s Westbound Freight Rate?</w:t>
      </w:r>
    </w:p>
    <w:p w14:paraId="44F20C77" w14:textId="5711587D" w:rsidR="00D07357"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Almost everything sold in Hawai’i depends on ocean freight</w:t>
      </w:r>
      <w:r w:rsidR="00217D59">
        <w:rPr>
          <w:rFonts w:ascii="Times New Roman" w:hAnsi="Times New Roman" w:cs="Times New Roman"/>
        </w:rPr>
        <w:t>.</w:t>
      </w:r>
      <w:r w:rsidRPr="00F3690D">
        <w:rPr>
          <w:rFonts w:ascii="Times New Roman" w:hAnsi="Times New Roman" w:cs="Times New Roman"/>
        </w:rPr>
        <w:t xml:space="preserve"> </w:t>
      </w:r>
      <w:r w:rsidR="0014374A">
        <w:rPr>
          <w:rFonts w:ascii="Times New Roman" w:hAnsi="Times New Roman" w:cs="Times New Roman"/>
        </w:rPr>
        <w:t>HDOT</w:t>
      </w:r>
      <w:r w:rsidRPr="00F3690D">
        <w:rPr>
          <w:rFonts w:ascii="Times New Roman" w:hAnsi="Times New Roman" w:cs="Times New Roman"/>
        </w:rPr>
        <w:t xml:space="preserve"> estimates that 85% of goods </w:t>
      </w:r>
      <w:r w:rsidR="00556C7D">
        <w:rPr>
          <w:rFonts w:ascii="Times New Roman" w:hAnsi="Times New Roman" w:cs="Times New Roman"/>
        </w:rPr>
        <w:t xml:space="preserve">consumed in the state </w:t>
      </w:r>
      <w:r w:rsidRPr="00F3690D">
        <w:rPr>
          <w:rFonts w:ascii="Times New Roman" w:hAnsi="Times New Roman" w:cs="Times New Roman"/>
        </w:rPr>
        <w:t>are imported and that 91% of those goods arrive through commercial ports (Hawaiʻi Department of Transportation [HDOT], 2024).</w:t>
      </w:r>
      <w:r w:rsidR="00D63E4D">
        <w:rPr>
          <w:rFonts w:ascii="Times New Roman" w:hAnsi="Times New Roman" w:cs="Times New Roman"/>
        </w:rPr>
        <w:t xml:space="preserve"> </w:t>
      </w:r>
      <w:r w:rsidR="00C7410F">
        <w:rPr>
          <w:rFonts w:ascii="Times New Roman" w:hAnsi="Times New Roman" w:cs="Times New Roman"/>
        </w:rPr>
        <w:t>The West Coast – Hawai</w:t>
      </w:r>
      <w:r w:rsidR="003D5344">
        <w:rPr>
          <w:rFonts w:ascii="Times New Roman" w:hAnsi="Times New Roman" w:cs="Times New Roman"/>
        </w:rPr>
        <w:t>’</w:t>
      </w:r>
      <w:r w:rsidR="00C7410F">
        <w:rPr>
          <w:rFonts w:ascii="Times New Roman" w:hAnsi="Times New Roman" w:cs="Times New Roman"/>
        </w:rPr>
        <w:t xml:space="preserve">i route is dominated by </w:t>
      </w:r>
      <w:r w:rsidR="001740D7">
        <w:rPr>
          <w:rFonts w:ascii="Times New Roman" w:hAnsi="Times New Roman" w:cs="Times New Roman"/>
        </w:rPr>
        <w:t xml:space="preserve">a duopoly made up of </w:t>
      </w:r>
      <w:r w:rsidR="00C7410F">
        <w:rPr>
          <w:rFonts w:ascii="Times New Roman" w:hAnsi="Times New Roman" w:cs="Times New Roman"/>
        </w:rPr>
        <w:t>Matson and Pasha.</w:t>
      </w:r>
      <w:r w:rsidR="00645B28">
        <w:rPr>
          <w:rFonts w:ascii="Times New Roman" w:hAnsi="Times New Roman" w:cs="Times New Roman"/>
        </w:rPr>
        <w:t xml:space="preserve"> </w:t>
      </w:r>
      <w:r w:rsidR="00CB13EB">
        <w:rPr>
          <w:rFonts w:ascii="Times New Roman" w:hAnsi="Times New Roman" w:cs="Times New Roman"/>
        </w:rPr>
        <w:t xml:space="preserve">The Jones Act limits domestic cargo between U.S. ports to U.S.-built, U.S. flagged, </w:t>
      </w:r>
      <w:r w:rsidR="00DD1C6E">
        <w:rPr>
          <w:rFonts w:ascii="Times New Roman" w:hAnsi="Times New Roman" w:cs="Times New Roman"/>
        </w:rPr>
        <w:t>U.S owned vessels with predominately U.S</w:t>
      </w:r>
      <w:r w:rsidR="004A6F22">
        <w:rPr>
          <w:rFonts w:ascii="Times New Roman" w:hAnsi="Times New Roman" w:cs="Times New Roman"/>
        </w:rPr>
        <w:t xml:space="preserve">. crews </w:t>
      </w:r>
      <w:r w:rsidR="00E338B7" w:rsidRPr="00F3690D">
        <w:rPr>
          <w:rFonts w:ascii="Times New Roman" w:hAnsi="Times New Roman" w:cs="Times New Roman"/>
        </w:rPr>
        <w:t>(46 U.S.C. § 55102)</w:t>
      </w:r>
      <w:r w:rsidR="00E338B7">
        <w:rPr>
          <w:rFonts w:ascii="Times New Roman" w:hAnsi="Times New Roman" w:cs="Times New Roman"/>
        </w:rPr>
        <w:t xml:space="preserve">. </w:t>
      </w:r>
      <w:r w:rsidR="00C75E8C">
        <w:rPr>
          <w:rFonts w:ascii="Times New Roman" w:hAnsi="Times New Roman" w:cs="Times New Roman"/>
        </w:rPr>
        <w:t>I will test a narrow counterfactual: let a foreign-flagged container ship already serving Honolulu carry domestic containers between Honolulu and a West Cost port</w:t>
      </w:r>
      <w:r w:rsidR="00DC4D31">
        <w:rPr>
          <w:rFonts w:ascii="Times New Roman" w:hAnsi="Times New Roman" w:cs="Times New Roman"/>
        </w:rPr>
        <w:t xml:space="preserve">, waiving vessel-eligibility rules for that one route only. </w:t>
      </w:r>
    </w:p>
    <w:p w14:paraId="212F73A4" w14:textId="11F47A8A"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r>
      <w:r w:rsidR="008D15E5">
        <w:rPr>
          <w:rFonts w:ascii="Times New Roman" w:hAnsi="Times New Roman" w:cs="Times New Roman"/>
        </w:rPr>
        <w:t>This question is a current issue</w:t>
      </w:r>
      <w:r w:rsidR="001740D7" w:rsidRPr="001740D7">
        <w:rPr>
          <w:rFonts w:ascii="Times New Roman" w:hAnsi="Times New Roman" w:cs="Times New Roman"/>
          <w:kern w:val="0"/>
          <w14:ligatures w14:val="none"/>
        </w:rPr>
        <w:t xml:space="preserve"> </w:t>
      </w:r>
      <w:r w:rsidR="001740D7" w:rsidRPr="001740D7">
        <w:rPr>
          <w:rFonts w:ascii="Times New Roman" w:hAnsi="Times New Roman" w:cs="Times New Roman"/>
        </w:rPr>
        <w:t>ep. Ed Case introduced H.R. 667 in January 2025 to open noncontiguous trade more broadly to qualifying foreign-flag vessels; it remains introduced/referred (U.S. Congress, 2025)</w:t>
      </w:r>
      <w:r w:rsidRPr="00F3690D">
        <w:rPr>
          <w:rFonts w:ascii="Times New Roman" w:hAnsi="Times New Roman" w:cs="Times New Roman"/>
        </w:rPr>
        <w:t xml:space="preserve">. </w:t>
      </w:r>
      <w:r w:rsidR="003B6118">
        <w:rPr>
          <w:rFonts w:ascii="Times New Roman" w:hAnsi="Times New Roman" w:cs="Times New Roman"/>
        </w:rPr>
        <w:t xml:space="preserve">I expect </w:t>
      </w:r>
      <w:r w:rsidRPr="00F3690D">
        <w:rPr>
          <w:rFonts w:ascii="Times New Roman" w:hAnsi="Times New Roman" w:cs="Times New Roman"/>
        </w:rPr>
        <w:t>that exemption would create downward pricing pressur</w:t>
      </w:r>
      <w:r w:rsidR="00821BD3">
        <w:rPr>
          <w:rFonts w:ascii="Times New Roman" w:hAnsi="Times New Roman" w:cs="Times New Roman"/>
        </w:rPr>
        <w:t>e primarily for the westbound trade</w:t>
      </w:r>
      <w:r w:rsidRPr="00F3690D">
        <w:rPr>
          <w:rFonts w:ascii="Times New Roman" w:hAnsi="Times New Roman" w:cs="Times New Roman"/>
        </w:rPr>
        <w:t xml:space="preserve">. </w:t>
      </w:r>
      <w:r w:rsidR="00092CA9">
        <w:rPr>
          <w:rFonts w:ascii="Times New Roman" w:hAnsi="Times New Roman" w:cs="Times New Roman"/>
        </w:rPr>
        <w:t xml:space="preserve">The </w:t>
      </w:r>
      <w:r w:rsidRPr="00F3690D">
        <w:rPr>
          <w:rFonts w:ascii="Times New Roman" w:hAnsi="Times New Roman" w:cs="Times New Roman"/>
        </w:rPr>
        <w:t xml:space="preserve">decision hinges on whether the current restrictions exclude plausible competitors, whether </w:t>
      </w:r>
      <w:r w:rsidR="006A0EC2">
        <w:rPr>
          <w:rFonts w:ascii="Times New Roman" w:hAnsi="Times New Roman" w:cs="Times New Roman"/>
        </w:rPr>
        <w:t xml:space="preserve">past </w:t>
      </w:r>
      <w:r w:rsidRPr="00F3690D">
        <w:rPr>
          <w:rFonts w:ascii="Times New Roman" w:hAnsi="Times New Roman" w:cs="Times New Roman"/>
        </w:rPr>
        <w:t xml:space="preserve">market entries have changed behavior and whether </w:t>
      </w:r>
      <w:r w:rsidR="006A0EC2">
        <w:rPr>
          <w:rFonts w:ascii="Times New Roman" w:hAnsi="Times New Roman" w:cs="Times New Roman"/>
        </w:rPr>
        <w:t>route economics explain</w:t>
      </w:r>
      <w:r w:rsidRPr="00F3690D">
        <w:rPr>
          <w:rFonts w:ascii="Times New Roman" w:hAnsi="Times New Roman" w:cs="Times New Roman"/>
        </w:rPr>
        <w:t xml:space="preserve"> current prices.</w:t>
      </w:r>
    </w:p>
    <w:p w14:paraId="181D8E88" w14:textId="411C81A5" w:rsidR="003A6B5B" w:rsidRPr="00F3690D" w:rsidRDefault="003A6B5B" w:rsidP="003A6B5B">
      <w:pPr>
        <w:spacing w:line="480" w:lineRule="auto"/>
        <w:jc w:val="center"/>
        <w:rPr>
          <w:rFonts w:ascii="Times New Roman" w:hAnsi="Times New Roman" w:cs="Times New Roman"/>
          <w:b/>
          <w:bCs/>
        </w:rPr>
      </w:pPr>
      <w:r w:rsidRPr="00F3690D">
        <w:rPr>
          <w:rFonts w:ascii="Times New Roman" w:hAnsi="Times New Roman" w:cs="Times New Roman"/>
          <w:b/>
          <w:bCs/>
        </w:rPr>
        <w:t>The Jones Act R</w:t>
      </w:r>
      <w:r w:rsidR="00CF1247">
        <w:rPr>
          <w:rFonts w:ascii="Times New Roman" w:hAnsi="Times New Roman" w:cs="Times New Roman"/>
          <w:b/>
          <w:bCs/>
        </w:rPr>
        <w:t xml:space="preserve">estricts the </w:t>
      </w:r>
      <w:r w:rsidRPr="00F3690D">
        <w:rPr>
          <w:rFonts w:ascii="Times New Roman" w:hAnsi="Times New Roman" w:cs="Times New Roman"/>
          <w:b/>
          <w:bCs/>
        </w:rPr>
        <w:t>Potential Competitive Set</w:t>
      </w:r>
    </w:p>
    <w:p w14:paraId="15BC092B" w14:textId="1D7CF36C"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Ocean transport has substantial fixed costs and economies of scale, which means removing a single legal barrier would not create perfect competition. Instead, a viable market entrant would still need sustainable volume, port access, containers, crews and a </w:t>
      </w:r>
      <w:r w:rsidR="00170085">
        <w:rPr>
          <w:rFonts w:ascii="Times New Roman" w:hAnsi="Times New Roman" w:cs="Times New Roman"/>
        </w:rPr>
        <w:t xml:space="preserve">competitive sailing </w:t>
      </w:r>
      <w:r w:rsidRPr="00F3690D">
        <w:rPr>
          <w:rFonts w:ascii="Times New Roman" w:hAnsi="Times New Roman" w:cs="Times New Roman"/>
        </w:rPr>
        <w:t>schedule. Matson identifies Pasha as its primary U.S</w:t>
      </w:r>
      <w:r w:rsidR="00E65B6B">
        <w:rPr>
          <w:rFonts w:ascii="Times New Roman" w:hAnsi="Times New Roman" w:cs="Times New Roman"/>
        </w:rPr>
        <w:t xml:space="preserve">.-flagged </w:t>
      </w:r>
      <w:r w:rsidRPr="00F3690D">
        <w:rPr>
          <w:rFonts w:ascii="Times New Roman" w:hAnsi="Times New Roman" w:cs="Times New Roman"/>
        </w:rPr>
        <w:t>competitor in Hawai’i and foreign carriers like</w:t>
      </w:r>
      <w:r w:rsidR="008D1B9A">
        <w:rPr>
          <w:rFonts w:ascii="Times New Roman" w:hAnsi="Times New Roman" w:cs="Times New Roman"/>
        </w:rPr>
        <w:t xml:space="preserve"> </w:t>
      </w:r>
      <w:r w:rsidR="00B925CF">
        <w:rPr>
          <w:rFonts w:ascii="Times New Roman" w:hAnsi="Times New Roman" w:cs="Times New Roman"/>
        </w:rPr>
        <w:t>Ocean Network Express (</w:t>
      </w:r>
      <w:r w:rsidR="008D1B9A">
        <w:rPr>
          <w:rFonts w:ascii="Times New Roman" w:hAnsi="Times New Roman" w:cs="Times New Roman"/>
        </w:rPr>
        <w:t>ONE</w:t>
      </w:r>
      <w:r w:rsidR="00B925CF">
        <w:rPr>
          <w:rFonts w:ascii="Times New Roman" w:hAnsi="Times New Roman" w:cs="Times New Roman"/>
        </w:rPr>
        <w:t>)</w:t>
      </w:r>
      <w:r w:rsidRPr="00F3690D">
        <w:rPr>
          <w:rFonts w:ascii="Times New Roman" w:hAnsi="Times New Roman" w:cs="Times New Roman"/>
        </w:rPr>
        <w:t xml:space="preserve"> and CMA CGM as competitors for international cargo (Matson, Inc 2026).</w:t>
      </w:r>
      <w:r w:rsidR="00012467" w:rsidRPr="00012467">
        <w:rPr>
          <w:rFonts w:ascii="Times New Roman" w:hAnsi="Times New Roman" w:cs="Times New Roman"/>
          <w:kern w:val="0"/>
          <w14:ligatures w14:val="none"/>
        </w:rPr>
        <w:t xml:space="preserve"> </w:t>
      </w:r>
      <w:r w:rsidR="00012467" w:rsidRPr="00012467">
        <w:rPr>
          <w:rFonts w:ascii="Times New Roman" w:hAnsi="Times New Roman" w:cs="Times New Roman"/>
        </w:rPr>
        <w:t>The counterfactual simply makes those foreign carriers eligible for domestic cargo without first building a U.S. coastwise fleet</w:t>
      </w:r>
      <w:r w:rsidR="00012467">
        <w:rPr>
          <w:rFonts w:ascii="Times New Roman" w:hAnsi="Times New Roman" w:cs="Times New Roman"/>
        </w:rPr>
        <w:t>.</w:t>
      </w:r>
    </w:p>
    <w:p w14:paraId="5856F810" w14:textId="041951E8" w:rsidR="0056437E" w:rsidRDefault="003A6B5B" w:rsidP="003A6B5B">
      <w:pPr>
        <w:spacing w:line="480" w:lineRule="auto"/>
        <w:rPr>
          <w:rFonts w:ascii="Times New Roman" w:hAnsi="Times New Roman" w:cs="Times New Roman"/>
        </w:rPr>
      </w:pPr>
      <w:r w:rsidRPr="00F3690D">
        <w:rPr>
          <w:rFonts w:ascii="Times New Roman" w:hAnsi="Times New Roman" w:cs="Times New Roman"/>
        </w:rPr>
        <w:lastRenderedPageBreak/>
        <w:tab/>
      </w:r>
      <w:r w:rsidR="008B2AE3" w:rsidRPr="008B2AE3">
        <w:rPr>
          <w:rFonts w:ascii="Times New Roman" w:hAnsi="Times New Roman" w:cs="Times New Roman"/>
        </w:rPr>
        <w:t>CMA CGM’s 2025 Eagle Express X rotation called Los Angeles, Oakland, then Honolulu and Dutch Harbor, with Honolulu every two weeks (CMA CGM, 2025)</w:t>
      </w:r>
      <w:r w:rsidR="00A730AB">
        <w:rPr>
          <w:rFonts w:ascii="Times New Roman" w:hAnsi="Times New Roman" w:cs="Times New Roman"/>
        </w:rPr>
        <w:t>.</w:t>
      </w:r>
      <w:r w:rsidR="002D409C" w:rsidRPr="002D409C">
        <w:rPr>
          <w:rFonts w:ascii="Times New Roman" w:hAnsi="Times New Roman" w:cs="Times New Roman"/>
          <w:kern w:val="0"/>
          <w14:ligatures w14:val="none"/>
        </w:rPr>
        <w:t xml:space="preserve"> </w:t>
      </w:r>
      <w:r w:rsidR="002D409C" w:rsidRPr="002D409C">
        <w:rPr>
          <w:rFonts w:ascii="Times New Roman" w:hAnsi="Times New Roman" w:cs="Times New Roman"/>
        </w:rPr>
        <w:t>Los Angeles illustrates the broader transpacific imbalance</w:t>
      </w:r>
      <w:r w:rsidR="00F979C2">
        <w:rPr>
          <w:rFonts w:ascii="Times New Roman" w:hAnsi="Times New Roman" w:cs="Times New Roman"/>
        </w:rPr>
        <w:t>.</w:t>
      </w:r>
      <w:r w:rsidR="002D409C" w:rsidRPr="002D409C">
        <w:rPr>
          <w:rFonts w:ascii="Times New Roman" w:hAnsi="Times New Roman" w:cs="Times New Roman"/>
        </w:rPr>
        <w:t xml:space="preserve"> </w:t>
      </w:r>
      <w:r w:rsidR="00F979C2">
        <w:rPr>
          <w:rFonts w:ascii="Times New Roman" w:hAnsi="Times New Roman" w:cs="Times New Roman"/>
        </w:rPr>
        <w:t>I</w:t>
      </w:r>
      <w:r w:rsidR="002D409C" w:rsidRPr="002D409C">
        <w:rPr>
          <w:rFonts w:ascii="Times New Roman" w:hAnsi="Times New Roman" w:cs="Times New Roman"/>
        </w:rPr>
        <w:t>n 2025 it handled 5.32 million loaded import TEUs</w:t>
      </w:r>
      <w:r w:rsidR="002D409C" w:rsidRPr="002D409C">
        <w:rPr>
          <w:rFonts w:ascii="Times New Roman" w:hAnsi="Times New Roman" w:cs="Times New Roman"/>
          <w:vertAlign w:val="superscript"/>
        </w:rPr>
        <w:footnoteReference w:id="1"/>
      </w:r>
      <w:r w:rsidR="002D409C" w:rsidRPr="002D409C">
        <w:rPr>
          <w:rFonts w:ascii="Times New Roman" w:hAnsi="Times New Roman" w:cs="Times New Roman"/>
        </w:rPr>
        <w:t>, 1.43 million loaded export TEUs, and about 3.49 million empty containers (Port of Los Angeles, 2025)</w:t>
      </w:r>
      <w:r w:rsidR="00D3757A">
        <w:rPr>
          <w:rFonts w:ascii="Times New Roman" w:hAnsi="Times New Roman" w:cs="Times New Roman"/>
        </w:rPr>
        <w:t xml:space="preserve">. </w:t>
      </w:r>
      <w:r w:rsidR="003D4485" w:rsidRPr="003D4485">
        <w:rPr>
          <w:rFonts w:ascii="Times New Roman" w:hAnsi="Times New Roman" w:cs="Times New Roman"/>
        </w:rPr>
        <w:t>A westbound carrier could monetize otherwise empty capacity. Matson’s five weekly West Coast departures</w:t>
      </w:r>
      <w:r w:rsidR="003D4485" w:rsidRPr="003D4485">
        <w:rPr>
          <w:rFonts w:ascii="Times New Roman" w:hAnsi="Times New Roman" w:cs="Times New Roman"/>
          <w:vertAlign w:val="superscript"/>
        </w:rPr>
        <w:footnoteReference w:id="2"/>
      </w:r>
      <w:r w:rsidR="003D4485" w:rsidRPr="003D4485">
        <w:rPr>
          <w:rFonts w:ascii="Times New Roman" w:hAnsi="Times New Roman" w:cs="Times New Roman"/>
        </w:rPr>
        <w:t xml:space="preserve"> remain a major service advantage. </w:t>
      </w:r>
    </w:p>
    <w:p w14:paraId="0A00696F" w14:textId="20EB91C8" w:rsidR="003A6B5B" w:rsidRPr="00F3690D" w:rsidRDefault="003A6B5B" w:rsidP="00180328">
      <w:pPr>
        <w:spacing w:line="480" w:lineRule="auto"/>
        <w:jc w:val="center"/>
        <w:rPr>
          <w:rFonts w:ascii="Times New Roman" w:hAnsi="Times New Roman" w:cs="Times New Roman"/>
          <w:b/>
          <w:bCs/>
        </w:rPr>
      </w:pPr>
      <w:r w:rsidRPr="00F3690D">
        <w:rPr>
          <w:rFonts w:ascii="Times New Roman" w:hAnsi="Times New Roman" w:cs="Times New Roman"/>
          <w:b/>
          <w:bCs/>
        </w:rPr>
        <w:t>Competition Has Changed Pricing Behavior Previously</w:t>
      </w:r>
    </w:p>
    <w:p w14:paraId="7C10F9B7" w14:textId="152D73CB" w:rsidR="00E158CA" w:rsidRPr="00E158CA" w:rsidRDefault="003A6B5B" w:rsidP="00E158CA">
      <w:pPr>
        <w:spacing w:line="480" w:lineRule="auto"/>
        <w:rPr>
          <w:rFonts w:ascii="Times New Roman" w:hAnsi="Times New Roman" w:cs="Times New Roman"/>
        </w:rPr>
      </w:pPr>
      <w:r w:rsidRPr="00F3690D">
        <w:rPr>
          <w:rFonts w:ascii="Times New Roman" w:hAnsi="Times New Roman" w:cs="Times New Roman"/>
        </w:rPr>
        <w:tab/>
        <w:t>Matson</w:t>
      </w:r>
      <w:r w:rsidR="00B659CD">
        <w:rPr>
          <w:rFonts w:ascii="Times New Roman" w:hAnsi="Times New Roman" w:cs="Times New Roman"/>
        </w:rPr>
        <w:t>’</w:t>
      </w:r>
      <w:r w:rsidRPr="00F3690D">
        <w:rPr>
          <w:rFonts w:ascii="Times New Roman" w:hAnsi="Times New Roman" w:cs="Times New Roman"/>
        </w:rPr>
        <w:t>s response to Pasha provides a solid example of competition influencing freight pricin</w:t>
      </w:r>
      <w:r w:rsidR="00DE3F9A">
        <w:rPr>
          <w:rFonts w:ascii="Times New Roman" w:hAnsi="Times New Roman" w:cs="Times New Roman"/>
        </w:rPr>
        <w:t>g</w:t>
      </w:r>
      <w:r w:rsidRPr="00F3690D">
        <w:rPr>
          <w:rFonts w:ascii="Times New Roman" w:hAnsi="Times New Roman" w:cs="Times New Roman"/>
        </w:rPr>
        <w:t xml:space="preserve">. The factual record in </w:t>
      </w:r>
      <w:r w:rsidR="00B00D4A" w:rsidRPr="00B00D4A">
        <w:rPr>
          <w:rFonts w:ascii="Times New Roman" w:hAnsi="Times New Roman" w:cs="Times New Roman"/>
        </w:rPr>
        <w:t>American President Lines, LLC v. Matson, Inc. (2025, pp. 46–49)</w:t>
      </w:r>
      <w:r w:rsidRPr="00B00D4A">
        <w:rPr>
          <w:rFonts w:ascii="Times New Roman" w:hAnsi="Times New Roman" w:cs="Times New Roman"/>
        </w:rPr>
        <w:t xml:space="preserve"> </w:t>
      </w:r>
      <w:r w:rsidRPr="00F3690D">
        <w:rPr>
          <w:rFonts w:ascii="Times New Roman" w:hAnsi="Times New Roman" w:cs="Times New Roman"/>
        </w:rPr>
        <w:t xml:space="preserve">describes a </w:t>
      </w:r>
      <w:r w:rsidR="00B00D4A">
        <w:rPr>
          <w:rFonts w:ascii="Times New Roman" w:hAnsi="Times New Roman" w:cs="Times New Roman"/>
        </w:rPr>
        <w:t xml:space="preserve">house-hold goods </w:t>
      </w:r>
      <w:r w:rsidRPr="00F3690D">
        <w:rPr>
          <w:rFonts w:ascii="Times New Roman" w:hAnsi="Times New Roman" w:cs="Times New Roman"/>
        </w:rPr>
        <w:t xml:space="preserve">loyalty program debuted by Matson in 2016 to customers shipping household goods designed </w:t>
      </w:r>
      <w:r w:rsidR="00DE3F9A">
        <w:rPr>
          <w:rFonts w:ascii="Times New Roman" w:hAnsi="Times New Roman" w:cs="Times New Roman"/>
        </w:rPr>
        <w:t xml:space="preserve">to </w:t>
      </w:r>
      <w:r w:rsidRPr="00F3690D">
        <w:rPr>
          <w:rFonts w:ascii="Times New Roman" w:hAnsi="Times New Roman" w:cs="Times New Roman"/>
        </w:rPr>
        <w:t>compete with Pasha.</w:t>
      </w:r>
      <w:r w:rsidR="00E158CA" w:rsidRPr="00E158CA">
        <w:rPr>
          <w:rFonts w:ascii="Times New Roman" w:hAnsi="Times New Roman" w:cs="Times New Roman"/>
        </w:rPr>
        <w:t xml:space="preserve"> </w:t>
      </w:r>
      <w:r w:rsidR="00E158CA" w:rsidRPr="00E158CA">
        <w:rPr>
          <w:rFonts w:ascii="Times New Roman" w:hAnsi="Times New Roman" w:cs="Times New Roman"/>
        </w:rPr>
        <w:t>Here, “household goods” means military and commercial/personal relocation shipments, not groceries or general retail cargo. Matson offered a 15% discount at a 90% Hawaiʻi volume threshold</w:t>
      </w:r>
      <w:r w:rsidR="007E25C1">
        <w:rPr>
          <w:rFonts w:ascii="Times New Roman" w:hAnsi="Times New Roman" w:cs="Times New Roman"/>
        </w:rPr>
        <w:t xml:space="preserve"> with </w:t>
      </w:r>
      <w:r w:rsidR="00E158CA" w:rsidRPr="00E158CA">
        <w:rPr>
          <w:rFonts w:ascii="Times New Roman" w:hAnsi="Times New Roman" w:cs="Times New Roman"/>
        </w:rPr>
        <w:t>later tiers reach</w:t>
      </w:r>
      <w:r w:rsidR="00964240">
        <w:rPr>
          <w:rFonts w:ascii="Times New Roman" w:hAnsi="Times New Roman" w:cs="Times New Roman"/>
        </w:rPr>
        <w:t>ing</w:t>
      </w:r>
      <w:r w:rsidR="00E158CA" w:rsidRPr="00E158CA">
        <w:rPr>
          <w:rFonts w:ascii="Times New Roman" w:hAnsi="Times New Roman" w:cs="Times New Roman"/>
        </w:rPr>
        <w:t xml:space="preserve"> 20%, or 25% when the threshold was met in both Hawaiʻi and Guam. Those discounts show an incumbent cutting realized prices to retain volume, although loyalty </w:t>
      </w:r>
      <w:r w:rsidR="00964240">
        <w:rPr>
          <w:rFonts w:ascii="Times New Roman" w:hAnsi="Times New Roman" w:cs="Times New Roman"/>
        </w:rPr>
        <w:t>programs</w:t>
      </w:r>
      <w:r w:rsidR="00E158CA" w:rsidRPr="00E158CA">
        <w:rPr>
          <w:rFonts w:ascii="Times New Roman" w:hAnsi="Times New Roman" w:cs="Times New Roman"/>
        </w:rPr>
        <w:t xml:space="preserve"> can raise switching costs. More substitutes make residual demand more elastic and constrain markups (Stauffer, 2026).</w:t>
      </w:r>
    </w:p>
    <w:p w14:paraId="7E13648E" w14:textId="404E59FD" w:rsidR="00235D1A" w:rsidRDefault="003A6B5B" w:rsidP="00235D1A">
      <w:pPr>
        <w:spacing w:line="480" w:lineRule="auto"/>
        <w:ind w:firstLine="720"/>
        <w:rPr>
          <w:rFonts w:ascii="Times New Roman" w:hAnsi="Times New Roman" w:cs="Times New Roman"/>
        </w:rPr>
      </w:pPr>
      <w:r w:rsidRPr="00F3690D">
        <w:rPr>
          <w:rFonts w:ascii="Times New Roman" w:hAnsi="Times New Roman" w:cs="Times New Roman"/>
        </w:rPr>
        <w:t xml:space="preserve">Guam provides a </w:t>
      </w:r>
      <w:r w:rsidR="001E6C9A">
        <w:rPr>
          <w:rFonts w:ascii="Times New Roman" w:hAnsi="Times New Roman" w:cs="Times New Roman"/>
        </w:rPr>
        <w:t>useful</w:t>
      </w:r>
      <w:r w:rsidR="00097271">
        <w:rPr>
          <w:rFonts w:ascii="Times New Roman" w:hAnsi="Times New Roman" w:cs="Times New Roman"/>
        </w:rPr>
        <w:t xml:space="preserve"> example </w:t>
      </w:r>
      <w:r w:rsidR="00DF52AA">
        <w:rPr>
          <w:rFonts w:ascii="Times New Roman" w:hAnsi="Times New Roman" w:cs="Times New Roman"/>
        </w:rPr>
        <w:t xml:space="preserve">as it is exempted from the U.S. build </w:t>
      </w:r>
      <w:r w:rsidR="001E6C9A">
        <w:rPr>
          <w:rFonts w:ascii="Times New Roman" w:hAnsi="Times New Roman" w:cs="Times New Roman"/>
        </w:rPr>
        <w:t>requirement</w:t>
      </w:r>
      <w:r w:rsidR="00DF52AA">
        <w:rPr>
          <w:rFonts w:ascii="Times New Roman" w:hAnsi="Times New Roman" w:cs="Times New Roman"/>
        </w:rPr>
        <w:t xml:space="preserve"> but must still be served by U.S. flagged vessels. American President Lines (</w:t>
      </w:r>
      <w:r w:rsidR="00CA3BFE">
        <w:rPr>
          <w:rFonts w:ascii="Times New Roman" w:hAnsi="Times New Roman" w:cs="Times New Roman"/>
        </w:rPr>
        <w:t>APL</w:t>
      </w:r>
      <w:r w:rsidR="00DF52AA">
        <w:rPr>
          <w:rFonts w:ascii="Times New Roman" w:hAnsi="Times New Roman" w:cs="Times New Roman"/>
        </w:rPr>
        <w:t>)</w:t>
      </w:r>
      <w:r w:rsidRPr="00F3690D">
        <w:rPr>
          <w:rFonts w:ascii="Times New Roman" w:hAnsi="Times New Roman" w:cs="Times New Roman"/>
        </w:rPr>
        <w:t xml:space="preserve"> entered the U.S – Guam trade</w:t>
      </w:r>
      <w:r w:rsidR="00204D22">
        <w:rPr>
          <w:rFonts w:ascii="Times New Roman" w:hAnsi="Times New Roman" w:cs="Times New Roman"/>
        </w:rPr>
        <w:t xml:space="preserve"> with U.S.-flagged, foreign-built ships</w:t>
      </w:r>
      <w:r w:rsidR="004C1E25">
        <w:rPr>
          <w:rFonts w:ascii="Times New Roman" w:hAnsi="Times New Roman" w:cs="Times New Roman"/>
        </w:rPr>
        <w:t xml:space="preserve"> at</w:t>
      </w:r>
      <w:r w:rsidR="00C805AE" w:rsidRPr="00F3690D">
        <w:rPr>
          <w:rFonts w:ascii="Times New Roman" w:hAnsi="Times New Roman" w:cs="Times New Roman"/>
        </w:rPr>
        <w:t xml:space="preserve"> e</w:t>
      </w:r>
      <w:r w:rsidR="00590CA7" w:rsidRPr="00F3690D">
        <w:rPr>
          <w:rFonts w:ascii="Times New Roman" w:hAnsi="Times New Roman" w:cs="Times New Roman"/>
        </w:rPr>
        <w:t>nd of</w:t>
      </w:r>
      <w:r w:rsidR="00C805AE" w:rsidRPr="00F3690D">
        <w:rPr>
          <w:rFonts w:ascii="Times New Roman" w:hAnsi="Times New Roman" w:cs="Times New Roman"/>
        </w:rPr>
        <w:t xml:space="preserve"> 2015</w:t>
      </w:r>
      <w:r w:rsidR="004C1E25">
        <w:rPr>
          <w:rFonts w:ascii="Times New Roman" w:hAnsi="Times New Roman" w:cs="Times New Roman"/>
        </w:rPr>
        <w:t xml:space="preserve">. After entry, </w:t>
      </w:r>
      <w:r w:rsidRPr="00F3690D">
        <w:rPr>
          <w:rFonts w:ascii="Times New Roman" w:hAnsi="Times New Roman" w:cs="Times New Roman"/>
        </w:rPr>
        <w:t xml:space="preserve">Matson’s market share fell from around 94% in 2016 to </w:t>
      </w:r>
      <w:r w:rsidR="0018727F" w:rsidRPr="00F3690D">
        <w:rPr>
          <w:rFonts w:ascii="Times New Roman" w:hAnsi="Times New Roman" w:cs="Times New Roman"/>
        </w:rPr>
        <w:t>82% in 2017 and 74% in 2018</w:t>
      </w:r>
      <w:r w:rsidR="00E1242B">
        <w:rPr>
          <w:rFonts w:ascii="Times New Roman" w:hAnsi="Times New Roman" w:cs="Times New Roman"/>
        </w:rPr>
        <w:t>;</w:t>
      </w:r>
      <w:r w:rsidR="003B7808" w:rsidRPr="00F3690D">
        <w:rPr>
          <w:rFonts w:ascii="Times New Roman" w:hAnsi="Times New Roman" w:cs="Times New Roman"/>
        </w:rPr>
        <w:t xml:space="preserve"> 2025 court record</w:t>
      </w:r>
      <w:r w:rsidR="008458DD">
        <w:rPr>
          <w:rFonts w:ascii="Times New Roman" w:hAnsi="Times New Roman" w:cs="Times New Roman"/>
        </w:rPr>
        <w:t>s</w:t>
      </w:r>
      <w:r w:rsidR="003B7808" w:rsidRPr="00F3690D">
        <w:rPr>
          <w:rFonts w:ascii="Times New Roman" w:hAnsi="Times New Roman" w:cs="Times New Roman"/>
        </w:rPr>
        <w:t xml:space="preserve"> </w:t>
      </w:r>
      <w:r w:rsidR="00F655A3">
        <w:rPr>
          <w:rFonts w:ascii="Times New Roman" w:hAnsi="Times New Roman" w:cs="Times New Roman"/>
        </w:rPr>
        <w:t xml:space="preserve">show </w:t>
      </w:r>
      <w:r w:rsidR="00CD2701">
        <w:rPr>
          <w:rFonts w:ascii="Times New Roman" w:hAnsi="Times New Roman" w:cs="Times New Roman"/>
        </w:rPr>
        <w:t>showed the figure at</w:t>
      </w:r>
      <w:r w:rsidR="006454DF" w:rsidRPr="00F3690D">
        <w:rPr>
          <w:rFonts w:ascii="Times New Roman" w:hAnsi="Times New Roman" w:cs="Times New Roman"/>
        </w:rPr>
        <w:t xml:space="preserve"> 70% </w:t>
      </w:r>
      <w:r w:rsidR="005440C7">
        <w:rPr>
          <w:rFonts w:ascii="Times New Roman" w:hAnsi="Times New Roman" w:cs="Times New Roman"/>
        </w:rPr>
        <w:t>(Figure 1; American President Lines, LLC v. Matson, Inc., 2025, pp. 14–17)</w:t>
      </w:r>
      <w:r w:rsidR="00503303" w:rsidRPr="00F3690D">
        <w:rPr>
          <w:rFonts w:ascii="Times New Roman" w:hAnsi="Times New Roman" w:cs="Times New Roman"/>
        </w:rPr>
        <w:t>.</w:t>
      </w:r>
      <w:r w:rsidR="00F06067">
        <w:rPr>
          <w:rFonts w:ascii="Times New Roman" w:hAnsi="Times New Roman" w:cs="Times New Roman"/>
        </w:rPr>
        <w:t xml:space="preserve"> Post APL entry,</w:t>
      </w:r>
      <w:r w:rsidR="00503303" w:rsidRPr="00F3690D">
        <w:rPr>
          <w:rFonts w:ascii="Times New Roman" w:hAnsi="Times New Roman" w:cs="Times New Roman"/>
        </w:rPr>
        <w:t xml:space="preserve"> </w:t>
      </w:r>
      <w:r w:rsidR="006D5BF4">
        <w:rPr>
          <w:rFonts w:ascii="Times New Roman" w:hAnsi="Times New Roman"/>
        </w:rPr>
        <w:t xml:space="preserve">Home Depot initially allocated only 10% of its Guam volume to APL </w:t>
      </w:r>
      <w:r w:rsidR="006D5BF4">
        <w:rPr>
          <w:rFonts w:ascii="Times New Roman" w:hAnsi="Times New Roman"/>
        </w:rPr>
        <w:lastRenderedPageBreak/>
        <w:t>even though APL was about 40% cheaper because transit was roughly seven days longer</w:t>
      </w:r>
      <w:r w:rsidR="00292C54">
        <w:rPr>
          <w:rFonts w:ascii="Times New Roman" w:hAnsi="Times New Roman"/>
        </w:rPr>
        <w:t xml:space="preserve"> </w:t>
      </w:r>
      <w:r w:rsidR="00292C54">
        <w:rPr>
          <w:rFonts w:ascii="Times New Roman" w:hAnsi="Times New Roman" w:cs="Times New Roman"/>
        </w:rPr>
        <w:t>(p. 55)</w:t>
      </w:r>
      <w:r w:rsidR="006D5BF4">
        <w:rPr>
          <w:rFonts w:ascii="Times New Roman" w:hAnsi="Times New Roman"/>
        </w:rPr>
        <w:t xml:space="preserve">. </w:t>
      </w:r>
      <w:r w:rsidR="00235D1A">
        <w:rPr>
          <w:rFonts w:ascii="Times New Roman" w:hAnsi="Times New Roman" w:cs="Times New Roman"/>
        </w:rPr>
        <w:t>Matson’s former Vice President of Pricing also described Pacific Northwest-to-Guam price adjustments in response to APL’s Oakland-to-Guam pricing (p. 12). Guam supports the competition mechanism, not foreign-flag entry probability</w:t>
      </w:r>
      <w:r w:rsidR="00235D1A">
        <w:rPr>
          <w:rFonts w:ascii="Times New Roman" w:hAnsi="Times New Roman" w:cs="Times New Roman"/>
        </w:rPr>
        <w:t>.</w:t>
      </w:r>
      <w:r w:rsidR="00235D1A">
        <w:rPr>
          <w:rFonts w:ascii="Times New Roman" w:hAnsi="Times New Roman" w:cs="Times New Roman"/>
        </w:rPr>
        <w:t xml:space="preserve"> Figure 2 illustrates that mechanism.</w:t>
      </w:r>
    </w:p>
    <w:p w14:paraId="07703622" w14:textId="77777777" w:rsidR="000E510C" w:rsidRDefault="000E510C" w:rsidP="000E510C">
      <w:pPr>
        <w:spacing w:line="480" w:lineRule="auto"/>
        <w:jc w:val="center"/>
        <w:rPr>
          <w:rFonts w:ascii="Times New Roman" w:hAnsi="Times New Roman" w:cs="Times New Roman"/>
          <w:b/>
          <w:bCs/>
        </w:rPr>
      </w:pPr>
      <w:r>
        <w:rPr>
          <w:rFonts w:ascii="Times New Roman" w:hAnsi="Times New Roman" w:cs="Times New Roman"/>
          <w:b/>
        </w:rPr>
        <w:t>Directional Pricing Limits How Much Competition Can Do</w:t>
      </w:r>
    </w:p>
    <w:p w14:paraId="4B9F30DA" w14:textId="5E4ADBE5" w:rsidR="003A6B5B" w:rsidRPr="00F3690D" w:rsidRDefault="00756549" w:rsidP="003A6B5B">
      <w:pPr>
        <w:spacing w:line="480" w:lineRule="auto"/>
        <w:rPr>
          <w:rFonts w:ascii="Times New Roman" w:hAnsi="Times New Roman" w:cs="Times New Roman"/>
        </w:rPr>
      </w:pPr>
      <w:r w:rsidRPr="00F3690D">
        <w:rPr>
          <w:rFonts w:ascii="Times New Roman" w:hAnsi="Times New Roman" w:cs="Times New Roman"/>
        </w:rPr>
        <w:tab/>
        <w:t>Matson</w:t>
      </w:r>
      <w:r w:rsidR="00E46E58" w:rsidRPr="00F3690D">
        <w:rPr>
          <w:rFonts w:ascii="Times New Roman" w:hAnsi="Times New Roman" w:cs="Times New Roman"/>
        </w:rPr>
        <w:t>’s</w:t>
      </w:r>
      <w:r w:rsidRPr="00F3690D">
        <w:rPr>
          <w:rFonts w:ascii="Times New Roman" w:hAnsi="Times New Roman" w:cs="Times New Roman"/>
        </w:rPr>
        <w:t xml:space="preserve"> household goods rates show a large directional discrepanc</w:t>
      </w:r>
      <w:r w:rsidR="00102992">
        <w:rPr>
          <w:rFonts w:ascii="Times New Roman" w:hAnsi="Times New Roman" w:cs="Times New Roman"/>
        </w:rPr>
        <w:t>y</w:t>
      </w:r>
      <w:r w:rsidR="00235059">
        <w:rPr>
          <w:rFonts w:ascii="Times New Roman" w:hAnsi="Times New Roman" w:cs="Times New Roman"/>
        </w:rPr>
        <w:t xml:space="preserve"> for Hawai’i</w:t>
      </w:r>
      <w:r w:rsidR="00F04895" w:rsidRPr="00F3690D">
        <w:rPr>
          <w:rFonts w:ascii="Times New Roman" w:hAnsi="Times New Roman" w:cs="Times New Roman"/>
        </w:rPr>
        <w:t xml:space="preserve">. In 2025, the base rate for a 40ft container was $7,276 </w:t>
      </w:r>
      <w:r w:rsidR="007936DC">
        <w:rPr>
          <w:rFonts w:ascii="Times New Roman" w:hAnsi="Times New Roman" w:cs="Times New Roman"/>
        </w:rPr>
        <w:t xml:space="preserve">westbound and </w:t>
      </w:r>
      <w:r w:rsidR="00F04895" w:rsidRPr="00F3690D">
        <w:rPr>
          <w:rFonts w:ascii="Times New Roman" w:hAnsi="Times New Roman" w:cs="Times New Roman"/>
        </w:rPr>
        <w:t>$</w:t>
      </w:r>
      <w:r w:rsidR="000129F0" w:rsidRPr="00F3690D">
        <w:rPr>
          <w:rFonts w:ascii="Times New Roman" w:hAnsi="Times New Roman" w:cs="Times New Roman"/>
        </w:rPr>
        <w:t>4,254</w:t>
      </w:r>
      <w:r w:rsidR="007936DC">
        <w:rPr>
          <w:rFonts w:ascii="Times New Roman" w:hAnsi="Times New Roman" w:cs="Times New Roman"/>
        </w:rPr>
        <w:t xml:space="preserve"> eastbound</w:t>
      </w:r>
      <w:r w:rsidR="000129F0" w:rsidRPr="00F3690D">
        <w:rPr>
          <w:rFonts w:ascii="Times New Roman" w:hAnsi="Times New Roman" w:cs="Times New Roman"/>
        </w:rPr>
        <w:t>.</w:t>
      </w:r>
      <w:r w:rsidR="00E0732F" w:rsidRPr="00F3690D">
        <w:rPr>
          <w:rFonts w:ascii="Times New Roman" w:hAnsi="Times New Roman" w:cs="Times New Roman"/>
        </w:rPr>
        <w:t xml:space="preserve"> In 2026, the same rates were $7,476 </w:t>
      </w:r>
      <w:r w:rsidR="006B63CC" w:rsidRPr="00F3690D">
        <w:rPr>
          <w:rFonts w:ascii="Times New Roman" w:hAnsi="Times New Roman" w:cs="Times New Roman"/>
        </w:rPr>
        <w:t>and</w:t>
      </w:r>
      <w:r w:rsidR="00E0732F" w:rsidRPr="00F3690D">
        <w:rPr>
          <w:rFonts w:ascii="Times New Roman" w:hAnsi="Times New Roman" w:cs="Times New Roman"/>
        </w:rPr>
        <w:t xml:space="preserve"> $</w:t>
      </w:r>
      <w:r w:rsidR="006B63CC" w:rsidRPr="00F3690D">
        <w:rPr>
          <w:rFonts w:ascii="Times New Roman" w:hAnsi="Times New Roman" w:cs="Times New Roman"/>
        </w:rPr>
        <w:t>4,354 respectively</w:t>
      </w:r>
      <w:r w:rsidR="00590AD1">
        <w:rPr>
          <w:rFonts w:ascii="Times New Roman" w:hAnsi="Times New Roman" w:cs="Times New Roman"/>
        </w:rPr>
        <w:t xml:space="preserve"> (</w:t>
      </w:r>
      <w:r w:rsidR="00590AD1" w:rsidRPr="00590AD1">
        <w:rPr>
          <w:rFonts w:ascii="Times New Roman" w:hAnsi="Times New Roman" w:cs="Times New Roman"/>
        </w:rPr>
        <w:t>Matson Navigation Company, 2025, 2026)</w:t>
      </w:r>
      <w:r w:rsidR="00590AD1">
        <w:rPr>
          <w:rFonts w:ascii="Times New Roman" w:hAnsi="Times New Roman" w:cs="Times New Roman"/>
        </w:rPr>
        <w:t>.</w:t>
      </w:r>
      <w:r w:rsidR="006B63CC" w:rsidRPr="00F3690D">
        <w:rPr>
          <w:rFonts w:ascii="Times New Roman" w:hAnsi="Times New Roman" w:cs="Times New Roman"/>
        </w:rPr>
        <w:t xml:space="preserve"> The westbound rate was 71% higher in both years</w:t>
      </w:r>
      <w:r w:rsidR="002245BD" w:rsidRPr="00F3690D">
        <w:rPr>
          <w:rFonts w:ascii="Times New Roman" w:hAnsi="Times New Roman" w:cs="Times New Roman"/>
        </w:rPr>
        <w:t xml:space="preserve">. </w:t>
      </w:r>
      <w:r w:rsidR="00AE242F">
        <w:rPr>
          <w:rFonts w:ascii="Times New Roman" w:hAnsi="Times New Roman" w:cs="Times New Roman"/>
        </w:rPr>
        <w:t>B</w:t>
      </w:r>
      <w:r w:rsidR="002245BD" w:rsidRPr="00F3690D">
        <w:rPr>
          <w:rFonts w:ascii="Times New Roman" w:hAnsi="Times New Roman" w:cs="Times New Roman"/>
        </w:rPr>
        <w:t>oth directions operate under the same coastwise law</w:t>
      </w:r>
      <w:r w:rsidR="00AE242F">
        <w:rPr>
          <w:rFonts w:ascii="Times New Roman" w:hAnsi="Times New Roman" w:cs="Times New Roman"/>
        </w:rPr>
        <w:t>s</w:t>
      </w:r>
      <w:r w:rsidR="002245BD" w:rsidRPr="00F3690D">
        <w:rPr>
          <w:rFonts w:ascii="Times New Roman" w:hAnsi="Times New Roman" w:cs="Times New Roman"/>
        </w:rPr>
        <w:t xml:space="preserve"> and carrier market, </w:t>
      </w:r>
      <w:r w:rsidR="00CD26AE">
        <w:rPr>
          <w:rFonts w:ascii="Times New Roman" w:hAnsi="Times New Roman" w:cs="Times New Roman"/>
        </w:rPr>
        <w:t xml:space="preserve">so the gap cannot be </w:t>
      </w:r>
      <w:r w:rsidR="002245BD" w:rsidRPr="00F3690D">
        <w:rPr>
          <w:rFonts w:ascii="Times New Roman" w:hAnsi="Times New Roman" w:cs="Times New Roman"/>
        </w:rPr>
        <w:t>identif</w:t>
      </w:r>
      <w:r w:rsidR="00CD26AE">
        <w:rPr>
          <w:rFonts w:ascii="Times New Roman" w:hAnsi="Times New Roman" w:cs="Times New Roman"/>
        </w:rPr>
        <w:t>ied as</w:t>
      </w:r>
      <w:r w:rsidR="002245BD" w:rsidRPr="00F3690D">
        <w:rPr>
          <w:rFonts w:ascii="Times New Roman" w:hAnsi="Times New Roman" w:cs="Times New Roman"/>
        </w:rPr>
        <w:t xml:space="preserve"> a Jones </w:t>
      </w:r>
      <w:r w:rsidR="00931F3E" w:rsidRPr="00F3690D">
        <w:rPr>
          <w:rFonts w:ascii="Times New Roman" w:hAnsi="Times New Roman" w:cs="Times New Roman"/>
        </w:rPr>
        <w:t xml:space="preserve">Act premium. </w:t>
      </w:r>
    </w:p>
    <w:p w14:paraId="7B135F2A" w14:textId="77777777" w:rsidR="00727DEF" w:rsidRDefault="00727DEF" w:rsidP="00727DEF">
      <w:pPr>
        <w:spacing w:line="480" w:lineRule="auto"/>
        <w:ind w:firstLine="720"/>
        <w:rPr>
          <w:rFonts w:ascii="Times New Roman" w:hAnsi="Times New Roman" w:cs="Times New Roman"/>
        </w:rPr>
      </w:pPr>
      <w:r>
        <w:rPr>
          <w:rFonts w:ascii="Times New Roman" w:hAnsi="Times New Roman" w:cs="Times New Roman"/>
        </w:rPr>
        <w:t xml:space="preserve">HDOT data shows Hawaiʻi bringing in far more domestic tonnage than it sends out, consistent with unused eastbound backhaul capacity (HDOT, 2019). With strong westbound loads, more fixed round-trip </w:t>
      </w:r>
      <w:proofErr w:type="gramStart"/>
      <w:r>
        <w:rPr>
          <w:rFonts w:ascii="Times New Roman" w:hAnsi="Times New Roman" w:cs="Times New Roman"/>
        </w:rPr>
        <w:t>cost</w:t>
      </w:r>
      <w:proofErr w:type="gramEnd"/>
      <w:r>
        <w:rPr>
          <w:rFonts w:ascii="Times New Roman" w:hAnsi="Times New Roman" w:cs="Times New Roman"/>
        </w:rPr>
        <w:t xml:space="preserve"> must be recovered inbound; eastbound space that would otherwise sail empty can be priced closer to marginal cost. That can create a large directional spread even without strong market power. Competition could compress westbound markups but cannot erase the load imbalance. If entrants skim lower-urgency westbound cargo, incumbents could shift some cost eastbound or reduce frequency. GAO did not itself find stable rates: four carriers said rates had generally remained stable, and seven of nine interviewed entities said carrier numbers were adequate; GAO said the interviews were not generalizable (U.S. Government Accountability Office [GAO], 2022).</w:t>
      </w:r>
    </w:p>
    <w:p w14:paraId="7127ECA3" w14:textId="77777777" w:rsidR="00A604FA" w:rsidRDefault="00A604FA" w:rsidP="00A604FA">
      <w:pPr>
        <w:spacing w:line="480" w:lineRule="auto"/>
        <w:jc w:val="center"/>
        <w:rPr>
          <w:rFonts w:ascii="Times New Roman" w:hAnsi="Times New Roman" w:cs="Times New Roman"/>
          <w:b/>
          <w:bCs/>
        </w:rPr>
      </w:pPr>
      <w:r>
        <w:rPr>
          <w:rFonts w:ascii="Times New Roman" w:hAnsi="Times New Roman"/>
          <w:b/>
        </w:rPr>
        <w:t>The Strongest In-Scope Objection Is That Foreign Carriers May Not Enter</w:t>
      </w:r>
    </w:p>
    <w:p w14:paraId="1CCEF876" w14:textId="5712576F" w:rsidR="00742F6B" w:rsidRDefault="004C1F75" w:rsidP="00742F6B">
      <w:pPr>
        <w:spacing w:line="480" w:lineRule="auto"/>
        <w:ind w:firstLine="720"/>
        <w:rPr>
          <w:rFonts w:ascii="Times New Roman" w:hAnsi="Times New Roman"/>
        </w:rPr>
      </w:pPr>
      <w:r w:rsidRPr="004C1F75">
        <w:rPr>
          <w:rFonts w:ascii="Times New Roman" w:hAnsi="Times New Roman"/>
        </w:rPr>
        <w:t>The strongest objection is that removing the legal restriction may not</w:t>
      </w:r>
      <w:r w:rsidR="004E31C3">
        <w:rPr>
          <w:rFonts w:ascii="Times New Roman" w:hAnsi="Times New Roman"/>
        </w:rPr>
        <w:t xml:space="preserve"> create new entrants.</w:t>
      </w:r>
      <w:r w:rsidRPr="004C1F75">
        <w:rPr>
          <w:rFonts w:ascii="Times New Roman" w:hAnsi="Times New Roman"/>
        </w:rPr>
        <w:t xml:space="preserve"> Foreign carriers still face added transit time, service-frequency disadvantages, switching costs </w:t>
      </w:r>
      <w:r w:rsidRPr="004C1F75">
        <w:rPr>
          <w:rFonts w:ascii="Times New Roman" w:hAnsi="Times New Roman"/>
        </w:rPr>
        <w:lastRenderedPageBreak/>
        <w:t xml:space="preserve">and the basic economics of serving Hawaiʻi. The Guam evidence </w:t>
      </w:r>
      <w:r w:rsidR="00BA60F0">
        <w:rPr>
          <w:rFonts w:ascii="Times New Roman" w:hAnsi="Times New Roman"/>
        </w:rPr>
        <w:t>shows that lower prices may not</w:t>
      </w:r>
      <w:r w:rsidR="001225E0">
        <w:rPr>
          <w:rFonts w:ascii="Times New Roman" w:hAnsi="Times New Roman"/>
        </w:rPr>
        <w:t xml:space="preserve"> win much volume.</w:t>
      </w:r>
      <w:r w:rsidR="00742F6B" w:rsidRPr="00742F6B">
        <w:rPr>
          <w:rFonts w:ascii="Times New Roman" w:hAnsi="Times New Roman" w:cs="Times New Roman"/>
        </w:rPr>
        <w:t xml:space="preserve"> </w:t>
      </w:r>
      <w:r w:rsidR="00742F6B">
        <w:rPr>
          <w:rFonts w:ascii="Times New Roman" w:hAnsi="Times New Roman" w:cs="Times New Roman"/>
        </w:rPr>
        <w:t xml:space="preserve">But this counterfactual has a lower hurdle than a greenfield entrant: CMA CGM already called Honolulu on an international rotation, while the westbound imbalance creates an incremental-revenue opportunity. Matson’s 2025 Form 10-K says a Jones Act repeal, amendment, or waiver enabling lower-cost foreign-built or foreign-flagged entry in Hawaiʻi would adversely affect its business (Matson, Inc., 2026). </w:t>
      </w:r>
      <w:r w:rsidR="001225E0">
        <w:rPr>
          <w:rFonts w:ascii="Times New Roman" w:hAnsi="Times New Roman" w:cs="Times New Roman"/>
        </w:rPr>
        <w:t>A</w:t>
      </w:r>
      <w:r w:rsidR="00742F6B">
        <w:rPr>
          <w:rFonts w:ascii="Times New Roman" w:hAnsi="Times New Roman" w:cs="Times New Roman"/>
        </w:rPr>
        <w:t xml:space="preserve"> credible entry threat can discipline prices before an entrant wins much share (Stauffer, 2026). That does not prove entry, but it makes the hypothesis plausible. If no carrier participates, the freight-rate</w:t>
      </w:r>
      <w:r w:rsidR="002B4DCE">
        <w:rPr>
          <w:rFonts w:ascii="Times New Roman" w:hAnsi="Times New Roman" w:cs="Times New Roman"/>
        </w:rPr>
        <w:t xml:space="preserve"> effect is negligible</w:t>
      </w:r>
      <w:r w:rsidR="00742F6B">
        <w:rPr>
          <w:rFonts w:ascii="Times New Roman" w:hAnsi="Times New Roman" w:cs="Times New Roman"/>
        </w:rPr>
        <w:t>.</w:t>
      </w:r>
    </w:p>
    <w:p w14:paraId="27D0C34C" w14:textId="38FA07FB" w:rsidR="004C1F75" w:rsidRDefault="004C1F75" w:rsidP="00742F6B">
      <w:pPr>
        <w:spacing w:line="480" w:lineRule="auto"/>
        <w:ind w:firstLine="720"/>
        <w:rPr>
          <w:rFonts w:ascii="Times New Roman" w:hAnsi="Times New Roman"/>
        </w:rPr>
      </w:pPr>
      <w:r w:rsidRPr="004C1F75">
        <w:rPr>
          <w:rFonts w:ascii="Times New Roman" w:hAnsi="Times New Roman"/>
        </w:rPr>
        <w:t xml:space="preserve">National security remains a real </w:t>
      </w:r>
      <w:r w:rsidR="00611A44" w:rsidRPr="004C1F75">
        <w:rPr>
          <w:rFonts w:ascii="Times New Roman" w:hAnsi="Times New Roman"/>
        </w:rPr>
        <w:t>cost of policy</w:t>
      </w:r>
      <w:r w:rsidRPr="004C1F75">
        <w:rPr>
          <w:rFonts w:ascii="Times New Roman" w:hAnsi="Times New Roman"/>
        </w:rPr>
        <w:t>. The Jones Act is also defended on merchant-marine and military-sealift grounds (GAO, 2022</w:t>
      </w:r>
      <w:r w:rsidR="00800B09" w:rsidRPr="004C1F75">
        <w:rPr>
          <w:rFonts w:ascii="Times New Roman" w:hAnsi="Times New Roman"/>
        </w:rPr>
        <w:t>) but</w:t>
      </w:r>
      <w:r w:rsidRPr="004C1F75">
        <w:rPr>
          <w:rFonts w:ascii="Times New Roman" w:hAnsi="Times New Roman"/>
        </w:rPr>
        <w:t xml:space="preserve"> valuing U.S.-flag capacity in a crisis is outside this paper’s freight-rate question</w:t>
      </w:r>
      <w:r w:rsidR="00EC04D0">
        <w:rPr>
          <w:rFonts w:ascii="Times New Roman" w:hAnsi="Times New Roman"/>
        </w:rPr>
        <w:t xml:space="preserve"> and must be separately studied.</w:t>
      </w:r>
    </w:p>
    <w:p w14:paraId="28965ACA" w14:textId="29BE3EF9" w:rsidR="007341EA" w:rsidRPr="00F3690D" w:rsidRDefault="007341EA" w:rsidP="007341EA">
      <w:pPr>
        <w:spacing w:line="480" w:lineRule="auto"/>
        <w:jc w:val="center"/>
        <w:rPr>
          <w:rFonts w:ascii="Times New Roman" w:hAnsi="Times New Roman" w:cs="Times New Roman"/>
          <w:b/>
          <w:bCs/>
        </w:rPr>
      </w:pPr>
      <w:r w:rsidRPr="00F3690D">
        <w:rPr>
          <w:rFonts w:ascii="Times New Roman" w:hAnsi="Times New Roman" w:cs="Times New Roman"/>
          <w:b/>
          <w:bCs/>
        </w:rPr>
        <w:t>Decision Rule and Recommendation</w:t>
      </w:r>
    </w:p>
    <w:p w14:paraId="76533D5E" w14:textId="3FFAF790" w:rsidR="00C630AC" w:rsidRDefault="007A56AD" w:rsidP="00C630AC">
      <w:pPr>
        <w:spacing w:line="480" w:lineRule="auto"/>
        <w:ind w:firstLine="720"/>
        <w:rPr>
          <w:rFonts w:ascii="Times New Roman" w:hAnsi="Times New Roman" w:cs="Times New Roman"/>
        </w:rPr>
      </w:pPr>
      <w:r>
        <w:rPr>
          <w:rFonts w:ascii="Times New Roman" w:hAnsi="Times New Roman"/>
        </w:rPr>
        <w:t xml:space="preserve">On freight-rate grounds, I would recommend against an exemption if a credible entrant showed neither meaningful customer volume nor a measurable incumbent pricing response, or if foreign carriers had no economic reason to compete for domestic Hawaiʻi cargo after becoming eligible. </w:t>
      </w:r>
      <w:r w:rsidR="00C630AC">
        <w:rPr>
          <w:rFonts w:ascii="Times New Roman" w:hAnsi="Times New Roman" w:cs="Times New Roman"/>
        </w:rPr>
        <w:t xml:space="preserve">Pasha in Hawaiʻi and APL in Guam satisfy the second test: competition changed incumbent behavior. </w:t>
      </w:r>
      <w:r w:rsidR="00B26A26">
        <w:rPr>
          <w:rFonts w:ascii="Times New Roman" w:hAnsi="Times New Roman" w:cs="Times New Roman"/>
        </w:rPr>
        <w:t xml:space="preserve">This does not prove a </w:t>
      </w:r>
      <w:r w:rsidR="000F4309">
        <w:rPr>
          <w:rFonts w:ascii="Times New Roman" w:hAnsi="Times New Roman" w:cs="Times New Roman"/>
        </w:rPr>
        <w:t xml:space="preserve">definitive </w:t>
      </w:r>
      <w:r w:rsidR="00B26A26">
        <w:rPr>
          <w:rFonts w:ascii="Times New Roman" w:hAnsi="Times New Roman" w:cs="Times New Roman"/>
        </w:rPr>
        <w:t>foreign entran</w:t>
      </w:r>
      <w:r w:rsidR="000F4309">
        <w:rPr>
          <w:rFonts w:ascii="Times New Roman" w:hAnsi="Times New Roman" w:cs="Times New Roman"/>
        </w:rPr>
        <w:t>t</w:t>
      </w:r>
      <w:r w:rsidR="00C630AC">
        <w:rPr>
          <w:rFonts w:ascii="Times New Roman" w:hAnsi="Times New Roman" w:cs="Times New Roman"/>
        </w:rPr>
        <w:t>, but CMA CGM’s Honolulu call, the westbound imbalance, and Matson’s disclosed Jones Act risk give a carrier reason to test the market. If none enters, there is no rate-based reason to continue or expand the exemption.</w:t>
      </w:r>
    </w:p>
    <w:p w14:paraId="7EA84F90" w14:textId="1684136B" w:rsidR="00014D8F" w:rsidRPr="00F3690D" w:rsidRDefault="00243512" w:rsidP="003809F1">
      <w:pPr>
        <w:spacing w:line="480" w:lineRule="auto"/>
        <w:ind w:firstLine="720"/>
        <w:rPr>
          <w:rFonts w:ascii="Times New Roman" w:hAnsi="Times New Roman" w:cs="Times New Roman"/>
        </w:rPr>
      </w:pPr>
      <w:r>
        <w:rPr>
          <w:rFonts w:ascii="Times New Roman" w:hAnsi="Times New Roman" w:cs="Times New Roman"/>
        </w:rPr>
        <w:t>I therefore support a narrow Honolulu–West Coast container exemption rather than H.R. 667’s broader opening. Track entry, switching, rates, sailing frequency, and any eastbound response. Pressure should be greatest on less time-sensitive westbound cargo. The evidence supports lower-rate potential</w:t>
      </w:r>
      <w:r>
        <w:rPr>
          <w:rFonts w:ascii="Times New Roman" w:hAnsi="Times New Roman" w:cs="Times New Roman"/>
        </w:rPr>
        <w:t xml:space="preserve"> however,</w:t>
      </w:r>
      <w:r w:rsidR="00B46E85">
        <w:rPr>
          <w:rFonts w:ascii="Times New Roman" w:hAnsi="Times New Roman"/>
        </w:rPr>
        <w:t xml:space="preserve"> </w:t>
      </w:r>
      <w:r>
        <w:rPr>
          <w:rFonts w:ascii="Times New Roman" w:hAnsi="Times New Roman"/>
        </w:rPr>
        <w:t>t</w:t>
      </w:r>
      <w:r w:rsidR="00B46E85">
        <w:rPr>
          <w:rFonts w:ascii="Times New Roman" w:hAnsi="Times New Roman"/>
        </w:rPr>
        <w:t xml:space="preserve">he size of any </w:t>
      </w:r>
      <w:r w:rsidR="00BD4E69">
        <w:rPr>
          <w:rFonts w:ascii="Times New Roman" w:hAnsi="Times New Roman"/>
        </w:rPr>
        <w:t xml:space="preserve">saving </w:t>
      </w:r>
      <w:r w:rsidR="00B46E85">
        <w:rPr>
          <w:rFonts w:ascii="Times New Roman" w:hAnsi="Times New Roman"/>
        </w:rPr>
        <w:t>is uncertain</w:t>
      </w:r>
      <w:r w:rsidR="00BD4E69">
        <w:rPr>
          <w:rFonts w:ascii="Times New Roman" w:hAnsi="Times New Roman"/>
        </w:rPr>
        <w:t>.</w:t>
      </w:r>
    </w:p>
    <w:p w14:paraId="308D6229" w14:textId="77777777" w:rsidR="006F6036" w:rsidRPr="00F3690D" w:rsidRDefault="006F6036" w:rsidP="006F6036">
      <w:pPr>
        <w:jc w:val="center"/>
        <w:rPr>
          <w:rFonts w:ascii="Times New Roman" w:hAnsi="Times New Roman" w:cs="Times New Roman"/>
        </w:rPr>
      </w:pPr>
      <w:r w:rsidRPr="00F3690D">
        <w:rPr>
          <w:rFonts w:ascii="Times New Roman" w:hAnsi="Times New Roman" w:cs="Times New Roman"/>
          <w:b/>
          <w:sz w:val="28"/>
        </w:rPr>
        <w:lastRenderedPageBreak/>
        <w:t>Figures</w:t>
      </w:r>
    </w:p>
    <w:p w14:paraId="3AFB9C55" w14:textId="12F4B11A" w:rsidR="006F6036" w:rsidRPr="00F3690D" w:rsidRDefault="003D21A6" w:rsidP="006F6036">
      <w:pPr>
        <w:jc w:val="center"/>
        <w:rPr>
          <w:rFonts w:ascii="Times New Roman" w:hAnsi="Times New Roman" w:cs="Times New Roman"/>
        </w:rPr>
      </w:pPr>
      <w:r>
        <w:rPr>
          <w:rFonts w:ascii="Times New Roman" w:hAnsi="Times New Roman" w:cs="Times New Roman"/>
          <w:noProof/>
        </w:rPr>
        <w:drawing>
          <wp:inline distT="0" distB="0" distL="0" distR="0" wp14:anchorId="503AE1E0" wp14:editId="7DF82763">
            <wp:extent cx="4529012" cy="272901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uam_share.png"/>
                    <pic:cNvPicPr/>
                  </pic:nvPicPr>
                  <pic:blipFill>
                    <a:blip r:embed="rId6"/>
                    <a:stretch>
                      <a:fillRect/>
                    </a:stretch>
                  </pic:blipFill>
                  <pic:spPr>
                    <a:xfrm>
                      <a:off x="0" y="0"/>
                      <a:ext cx="4565875" cy="2751231"/>
                    </a:xfrm>
                    <a:prstGeom prst="rect">
                      <a:avLst/>
                    </a:prstGeom>
                  </pic:spPr>
                </pic:pic>
              </a:graphicData>
            </a:graphic>
          </wp:inline>
        </w:drawing>
      </w:r>
    </w:p>
    <w:p w14:paraId="1CA78035" w14:textId="77777777" w:rsidR="00AB68EA" w:rsidRDefault="00AB68EA" w:rsidP="00AB68EA">
      <w:pPr>
        <w:spacing w:after="80"/>
        <w:rPr>
          <w:rFonts w:ascii="Times New Roman" w:hAnsi="Times New Roman" w:cs="Times New Roman"/>
        </w:rPr>
      </w:pPr>
      <w:r>
        <w:rPr>
          <w:rFonts w:ascii="Times New Roman" w:hAnsi="Times New Roman" w:cs="Times New Roman"/>
          <w:b/>
        </w:rPr>
        <w:t>Figure 1. Matson U.S.–Guam market share after APL entry.</w:t>
      </w:r>
    </w:p>
    <w:p w14:paraId="60EE3D61" w14:textId="77777777" w:rsidR="00AB68EA" w:rsidRDefault="00AB68EA" w:rsidP="00AB68EA">
      <w:pPr>
        <w:spacing w:after="160"/>
        <w:rPr>
          <w:rFonts w:ascii="Times New Roman" w:hAnsi="Times New Roman" w:cs="Times New Roman"/>
        </w:rPr>
      </w:pPr>
      <w:r>
        <w:rPr>
          <w:rFonts w:ascii="Times New Roman" w:hAnsi="Times New Roman" w:cs="Times New Roman"/>
        </w:rPr>
        <w:t>Note. Following APL entry, Matson’s share was approximately 94% in 2016, 82% in 2017, and 74% in 2018. The 2025 federal court opinion described Matson as then handling roughly 70% of U.S.–Guam shipping volume. The dotted segment connects nonannual observations and should not be read as a trend. Guam is comparator evidence for the competition mechanism, not a causal estimate for Hawaiʻi. Source: American President Lines, LLC v. Matson, Inc. (2025, pp. 14–17).</w:t>
      </w:r>
    </w:p>
    <w:p w14:paraId="6ACA92B0" w14:textId="77777777" w:rsidR="006C1CD4" w:rsidRPr="00F3690D" w:rsidRDefault="006C1CD4" w:rsidP="006C1CD4">
      <w:pPr>
        <w:jc w:val="center"/>
        <w:rPr>
          <w:rFonts w:ascii="Times New Roman" w:hAnsi="Times New Roman" w:cs="Times New Roman"/>
        </w:rPr>
      </w:pPr>
      <w:r w:rsidRPr="00F3690D">
        <w:rPr>
          <w:rFonts w:ascii="Times New Roman" w:hAnsi="Times New Roman" w:cs="Times New Roman"/>
          <w:noProof/>
        </w:rPr>
        <w:drawing>
          <wp:inline distT="0" distB="0" distL="0" distR="0" wp14:anchorId="0B6D5715" wp14:editId="3F45C395">
            <wp:extent cx="4940135" cy="2705385"/>
            <wp:effectExtent l="0" t="0" r="0" b="0"/>
            <wp:docPr id="2" name="Picture 2" descr="Conceptual economics diagram showing a steeper incumbent demand curve with fewer substitutes and a flatter lower demand curve after additional carrier entry, illustrating greater elasticity and lower pric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ubstitutes_elasticity.png"/>
                    <pic:cNvPicPr/>
                  </pic:nvPicPr>
                  <pic:blipFill>
                    <a:blip r:embed="rId7"/>
                    <a:stretch>
                      <a:fillRect/>
                    </a:stretch>
                  </pic:blipFill>
                  <pic:spPr>
                    <a:xfrm>
                      <a:off x="0" y="0"/>
                      <a:ext cx="4952276" cy="2712034"/>
                    </a:xfrm>
                    <a:prstGeom prst="rect">
                      <a:avLst/>
                    </a:prstGeom>
                  </pic:spPr>
                </pic:pic>
              </a:graphicData>
            </a:graphic>
          </wp:inline>
        </w:drawing>
      </w:r>
    </w:p>
    <w:p w14:paraId="22556290" w14:textId="77777777" w:rsidR="00BF2587" w:rsidRDefault="00BF2587" w:rsidP="00BF2587">
      <w:pPr>
        <w:spacing w:after="80"/>
        <w:rPr>
          <w:rFonts w:ascii="Times New Roman" w:hAnsi="Times New Roman" w:cs="Times New Roman"/>
        </w:rPr>
      </w:pPr>
      <w:r>
        <w:rPr>
          <w:rFonts w:ascii="Times New Roman" w:hAnsi="Times New Roman" w:cs="Times New Roman"/>
          <w:b/>
        </w:rPr>
        <w:t>Figure 2. More credible substitutes make incumbent demand more elastic.</w:t>
      </w:r>
    </w:p>
    <w:p w14:paraId="40B2FD23" w14:textId="77777777" w:rsidR="00BF2587" w:rsidRDefault="00BF2587" w:rsidP="00BF2587">
      <w:pPr>
        <w:rPr>
          <w:rFonts w:ascii="Times New Roman" w:hAnsi="Times New Roman" w:cs="Times New Roman"/>
        </w:rPr>
      </w:pPr>
      <w:r>
        <w:rPr>
          <w:rFonts w:ascii="Times New Roman" w:hAnsi="Times New Roman" w:cs="Times New Roman"/>
        </w:rPr>
        <w:t>Note. Conceptual illustration. Allowing additional carriers to compete increases the number of credible substitutes available to shippers. The residual demand facing an incumbent therefore becomes more elastic, reducing pricing power. The figure shows the expected direction of the mechanism, not the magnitude of any Hawaiʻi rate reduction. Source: Author illustration based on the BUS 620 pricing-power framework.</w:t>
      </w:r>
    </w:p>
    <w:p w14:paraId="401A0D1F" w14:textId="77777777" w:rsidR="00ED29E5" w:rsidRPr="00F3690D" w:rsidRDefault="00ED29E5">
      <w:pPr>
        <w:rPr>
          <w:rFonts w:ascii="Times New Roman" w:hAnsi="Times New Roman" w:cs="Times New Roman"/>
        </w:rPr>
      </w:pPr>
    </w:p>
    <w:p w14:paraId="4077C7B2" w14:textId="77777777" w:rsidR="009C02D6" w:rsidRDefault="009C02D6" w:rsidP="009C02D6">
      <w:pPr>
        <w:spacing w:line="480" w:lineRule="auto"/>
        <w:jc w:val="center"/>
        <w:rPr>
          <w:rFonts w:ascii="Times New Roman" w:eastAsia="MS Mincho" w:hAnsi="Times New Roman" w:cs="Times New Roman"/>
          <w:kern w:val="0"/>
          <w:szCs w:val="22"/>
          <w14:ligatures w14:val="none"/>
        </w:rPr>
      </w:pPr>
      <w:r>
        <w:rPr>
          <w:rFonts w:ascii="Times New Roman" w:eastAsia="MS Mincho" w:hAnsi="Times New Roman" w:cs="Times New Roman"/>
          <w:b/>
          <w:kern w:val="0"/>
          <w:szCs w:val="22"/>
          <w14:ligatures w14:val="none"/>
        </w:rPr>
        <w:lastRenderedPageBreak/>
        <w:t>References</w:t>
      </w:r>
    </w:p>
    <w:p w14:paraId="4E34CDE8"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American President Lines, LLC v. Matson, Inc., No. 1:21-cv-02040 (D.D.C. 2025). https://law.justia.com/cases/federal/district-courts/district-of-columbia/dcdce/1:2021cv02040/233910/195/</w:t>
      </w:r>
    </w:p>
    <w:p w14:paraId="5ACC19BE"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CMA CGM. (2025). EXX - Eagle Express X. https://www.cma-cgm.com/assets/public/documents/EXX_CMA%20CGM_20251126.pdf</w:t>
      </w:r>
    </w:p>
    <w:p w14:paraId="63046D68"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Hawaiʻi Department of Transportation. (2019). Hawaiʻi Statewide Freight Plan. https://hidot.hawaii.gov/highways/files/2019/03/HDOT_FreightPlan_FINAL.pdf</w:t>
      </w:r>
    </w:p>
    <w:p w14:paraId="3BE61163"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Hawaiʻi Department of Transportation. (2024). Hawaiʻi Statewide Freight Plan. https://hidot.hawaii.gov/highways/files/2024/04/HDOT-Freight-Plan-Final-Report-2024-03-01.pdf</w:t>
      </w:r>
    </w:p>
    <w:p w14:paraId="0435DE4E"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Matson, Inc. (2026). Annual report on Form 10-K for the year ended December 31, 2025. U.S. Securities and Exchange Commission. https://www.sec.gov/Archives/edgar/data/3453/000110465926020944/matx-20251231x10k.htm</w:t>
      </w:r>
    </w:p>
    <w:p w14:paraId="219E19EC"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Matson Navigation Company. (2025). Hawaiʻi household goods tariff, effective June 1, 2025. https://www.matson.com/others/Hawaii_Service_June_1_2025.pdf</w:t>
      </w:r>
    </w:p>
    <w:p w14:paraId="4955466E"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Matson Navigation Company. (2026). Hawaiʻi household goods tariff, effective June 1, 2026. https://www.matson.com/others/HHG_Hawaii_6.26.pdf</w:t>
      </w:r>
    </w:p>
    <w:p w14:paraId="677BBFAD"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Port of Los Angeles. (2025). 2025 Port of Los Angeles container statistics. https://portoflosangeles.org/business/statistics/container-statistics/historical-teu-statistics-2025</w:t>
      </w:r>
    </w:p>
    <w:p w14:paraId="11754843"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lastRenderedPageBreak/>
        <w:t xml:space="preserve">Stauffer, A. W. (2026). BUS 620 Session 4: Power [Course slides]. Shidler College of Business, University of Hawaiʻi at </w:t>
      </w:r>
      <w:proofErr w:type="spellStart"/>
      <w:r>
        <w:rPr>
          <w:rFonts w:ascii="Times New Roman" w:hAnsi="Times New Roman"/>
        </w:rPr>
        <w:t>Mānoa</w:t>
      </w:r>
      <w:proofErr w:type="spellEnd"/>
      <w:r>
        <w:rPr>
          <w:rFonts w:ascii="Times New Roman" w:hAnsi="Times New Roman"/>
        </w:rPr>
        <w:t>.</w:t>
      </w:r>
    </w:p>
    <w:p w14:paraId="5B61E1D8"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cs="Times New Roman"/>
        </w:rPr>
        <w:t>U.S. Congress. (2025). Noncontiguous Shipping Relief Act of 2024 (H.R. 667, 119th Cong.). U.S. Government Publishing Office. https://www.govinfo.gov/app/details/BILLS-119hr667ih</w:t>
      </w:r>
    </w:p>
    <w:p w14:paraId="5521FB73"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U.S. Government Accountability Office. (2022). Domestic oceangoing shipping: Information on the Surface Transportation Board’s regulatory processes (GAO-22-105391). https://www.gao.gov/products/gao-22-105391</w:t>
      </w:r>
    </w:p>
    <w:p w14:paraId="13B85EC5" w14:textId="77777777" w:rsidR="009C02D6" w:rsidRDefault="009C02D6" w:rsidP="009C02D6">
      <w:pPr>
        <w:spacing w:line="480" w:lineRule="auto"/>
        <w:ind w:left="720" w:hanging="720"/>
        <w:rPr>
          <w:rFonts w:ascii="Times New Roman" w:eastAsia="MS Mincho" w:hAnsi="Times New Roman" w:cs="Times New Roman"/>
          <w:kern w:val="0"/>
          <w:szCs w:val="22"/>
          <w14:ligatures w14:val="none"/>
        </w:rPr>
      </w:pPr>
      <w:r>
        <w:rPr>
          <w:rFonts w:ascii="Times New Roman" w:hAnsi="Times New Roman"/>
        </w:rPr>
        <w:t>United States Code, 46 U.S.C. § 55102, Transportation of merchandise. https://uscode.house.gov/view.xhtml?req=granuleid:USC-prelim-title46-section55102&amp;num=0&amp;edition=prelim</w:t>
      </w:r>
    </w:p>
    <w:p w14:paraId="231865F0" w14:textId="77777777" w:rsidR="009C02D6" w:rsidRDefault="009C02D6" w:rsidP="009C02D6">
      <w:pPr>
        <w:rPr>
          <w:rFonts w:ascii="Times New Roman" w:hAnsi="Times New Roman" w:cs="Times New Roman"/>
        </w:rPr>
      </w:pPr>
    </w:p>
    <w:p w14:paraId="7A0B6EC4" w14:textId="77777777" w:rsidR="009C02D6" w:rsidRDefault="009C02D6" w:rsidP="009C02D6">
      <w:pPr>
        <w:spacing w:line="480" w:lineRule="auto"/>
        <w:jc w:val="center"/>
        <w:rPr>
          <w:rFonts w:ascii="Times New Roman" w:hAnsi="Times New Roman" w:cs="Times New Roman"/>
        </w:rPr>
      </w:pPr>
    </w:p>
    <w:p w14:paraId="2C1D7390" w14:textId="77777777" w:rsidR="00ED29E5" w:rsidRPr="00F3690D" w:rsidRDefault="00ED29E5" w:rsidP="009C02D6">
      <w:pPr>
        <w:spacing w:line="480" w:lineRule="auto"/>
        <w:jc w:val="center"/>
        <w:rPr>
          <w:rFonts w:ascii="Times New Roman" w:hAnsi="Times New Roman" w:cs="Times New Roman"/>
        </w:rPr>
      </w:pPr>
    </w:p>
    <w:sectPr w:rsidR="00ED29E5" w:rsidRPr="00F3690D" w:rsidSect="001969F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32ED" w14:textId="77777777" w:rsidR="006E58B8" w:rsidRDefault="006E58B8" w:rsidP="00BC6940">
      <w:r>
        <w:separator/>
      </w:r>
    </w:p>
  </w:endnote>
  <w:endnote w:type="continuationSeparator" w:id="0">
    <w:p w14:paraId="313E03C1" w14:textId="77777777" w:rsidR="006E58B8" w:rsidRDefault="006E58B8" w:rsidP="00BC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E67E" w14:textId="77777777" w:rsidR="00BC6940" w:rsidRDefault="00BC6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4A65" w14:textId="2E62E0DA" w:rsidR="00BC6940" w:rsidRDefault="00BC69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BD5" w14:textId="77777777" w:rsidR="00BC6940" w:rsidRDefault="00BC6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8C041" w14:textId="77777777" w:rsidR="006E58B8" w:rsidRDefault="006E58B8" w:rsidP="00BC6940">
      <w:r>
        <w:separator/>
      </w:r>
    </w:p>
  </w:footnote>
  <w:footnote w:type="continuationSeparator" w:id="0">
    <w:p w14:paraId="1C2EB917" w14:textId="77777777" w:rsidR="006E58B8" w:rsidRDefault="006E58B8" w:rsidP="00BC6940">
      <w:r>
        <w:continuationSeparator/>
      </w:r>
    </w:p>
  </w:footnote>
  <w:footnote w:id="1">
    <w:p w14:paraId="0E1F7713" w14:textId="77777777" w:rsidR="002D409C" w:rsidRDefault="002D409C" w:rsidP="002D409C">
      <w:pPr>
        <w:pStyle w:val="FootnoteText"/>
      </w:pPr>
      <w:r>
        <w:rPr>
          <w:rStyle w:val="FootnoteReference"/>
        </w:rPr>
        <w:footnoteRef/>
      </w:r>
      <w:r>
        <w:rPr>
          <w:rFonts w:ascii="Times New Roman" w:hAnsi="Times New Roman" w:cs="Times New Roman"/>
        </w:rPr>
        <w:t xml:space="preserve"> TEU = twenty-foot equivalent unit.</w:t>
      </w:r>
    </w:p>
  </w:footnote>
  <w:footnote w:id="2">
    <w:p w14:paraId="24856666" w14:textId="77777777" w:rsidR="003D4485" w:rsidRDefault="003D4485" w:rsidP="003D4485">
      <w:pPr>
        <w:pStyle w:val="FootnoteText"/>
      </w:pPr>
      <w:r>
        <w:rPr>
          <w:rStyle w:val="FootnoteReference"/>
        </w:rPr>
        <w:footnoteRef/>
      </w:r>
      <w:r>
        <w:rPr>
          <w:rFonts w:ascii="Times New Roman" w:hAnsi="Times New Roman" w:cs="Times New Roman"/>
        </w:rPr>
        <w:t xml:space="preserve"> Two each from Long Beach and Oakland, and one from Tacoma.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428" w14:textId="77777777" w:rsidR="00BC6940" w:rsidRDefault="00BC6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FB63" w14:textId="77777777" w:rsidR="00BC6940" w:rsidRDefault="00BC6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8B6E" w14:textId="77777777" w:rsidR="00BC6940" w:rsidRDefault="00BC69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5B"/>
    <w:rsid w:val="0000273B"/>
    <w:rsid w:val="00012467"/>
    <w:rsid w:val="000129F0"/>
    <w:rsid w:val="00014D8F"/>
    <w:rsid w:val="000225CC"/>
    <w:rsid w:val="00027F4F"/>
    <w:rsid w:val="000749B0"/>
    <w:rsid w:val="00074D5D"/>
    <w:rsid w:val="000779ED"/>
    <w:rsid w:val="00080C63"/>
    <w:rsid w:val="00092CA9"/>
    <w:rsid w:val="00097271"/>
    <w:rsid w:val="000C1461"/>
    <w:rsid w:val="000C4270"/>
    <w:rsid w:val="000E510C"/>
    <w:rsid w:val="000F008F"/>
    <w:rsid w:val="000F4309"/>
    <w:rsid w:val="00102992"/>
    <w:rsid w:val="001029F9"/>
    <w:rsid w:val="00103B2E"/>
    <w:rsid w:val="001225E0"/>
    <w:rsid w:val="0014374A"/>
    <w:rsid w:val="00154505"/>
    <w:rsid w:val="00170085"/>
    <w:rsid w:val="00172E24"/>
    <w:rsid w:val="001740D7"/>
    <w:rsid w:val="00180328"/>
    <w:rsid w:val="0018727F"/>
    <w:rsid w:val="00191C49"/>
    <w:rsid w:val="001969F5"/>
    <w:rsid w:val="001A74E9"/>
    <w:rsid w:val="001E6C9A"/>
    <w:rsid w:val="00204D22"/>
    <w:rsid w:val="00216AB8"/>
    <w:rsid w:val="00217D59"/>
    <w:rsid w:val="002245BD"/>
    <w:rsid w:val="00232C33"/>
    <w:rsid w:val="00235059"/>
    <w:rsid w:val="00235D1A"/>
    <w:rsid w:val="00243512"/>
    <w:rsid w:val="002545EF"/>
    <w:rsid w:val="0026092A"/>
    <w:rsid w:val="00264B3F"/>
    <w:rsid w:val="002720B2"/>
    <w:rsid w:val="00283C72"/>
    <w:rsid w:val="00292C54"/>
    <w:rsid w:val="002A17FE"/>
    <w:rsid w:val="002B073C"/>
    <w:rsid w:val="002B1F5C"/>
    <w:rsid w:val="002B4DCE"/>
    <w:rsid w:val="002D409C"/>
    <w:rsid w:val="002E718E"/>
    <w:rsid w:val="00315360"/>
    <w:rsid w:val="00332FEB"/>
    <w:rsid w:val="00345399"/>
    <w:rsid w:val="0035777E"/>
    <w:rsid w:val="003809F1"/>
    <w:rsid w:val="0039093F"/>
    <w:rsid w:val="003A36B6"/>
    <w:rsid w:val="003A6B5B"/>
    <w:rsid w:val="003B6118"/>
    <w:rsid w:val="003B7808"/>
    <w:rsid w:val="003D21A6"/>
    <w:rsid w:val="003D3852"/>
    <w:rsid w:val="003D4485"/>
    <w:rsid w:val="003D5344"/>
    <w:rsid w:val="003E48F9"/>
    <w:rsid w:val="00407D4D"/>
    <w:rsid w:val="0042251E"/>
    <w:rsid w:val="00472A12"/>
    <w:rsid w:val="00484505"/>
    <w:rsid w:val="0049091F"/>
    <w:rsid w:val="00497170"/>
    <w:rsid w:val="004972A4"/>
    <w:rsid w:val="004A6F22"/>
    <w:rsid w:val="004B0CC5"/>
    <w:rsid w:val="004C1E25"/>
    <w:rsid w:val="004C1F75"/>
    <w:rsid w:val="004E146F"/>
    <w:rsid w:val="004E31C3"/>
    <w:rsid w:val="004F0745"/>
    <w:rsid w:val="004F3AA8"/>
    <w:rsid w:val="00503303"/>
    <w:rsid w:val="005332F5"/>
    <w:rsid w:val="005363FB"/>
    <w:rsid w:val="005376D0"/>
    <w:rsid w:val="005440C7"/>
    <w:rsid w:val="00556C7D"/>
    <w:rsid w:val="005602A1"/>
    <w:rsid w:val="0056437E"/>
    <w:rsid w:val="0057303C"/>
    <w:rsid w:val="00581007"/>
    <w:rsid w:val="0058124A"/>
    <w:rsid w:val="00586EA2"/>
    <w:rsid w:val="00590AD1"/>
    <w:rsid w:val="00590CA7"/>
    <w:rsid w:val="005A2B66"/>
    <w:rsid w:val="005A607B"/>
    <w:rsid w:val="005A6A88"/>
    <w:rsid w:val="005C0B95"/>
    <w:rsid w:val="005C6556"/>
    <w:rsid w:val="00600BD4"/>
    <w:rsid w:val="00611A44"/>
    <w:rsid w:val="00614790"/>
    <w:rsid w:val="00626248"/>
    <w:rsid w:val="00632BB6"/>
    <w:rsid w:val="006454DF"/>
    <w:rsid w:val="00645B28"/>
    <w:rsid w:val="00666CB3"/>
    <w:rsid w:val="00687509"/>
    <w:rsid w:val="00697A23"/>
    <w:rsid w:val="006A0EC2"/>
    <w:rsid w:val="006B63CC"/>
    <w:rsid w:val="006C1CD4"/>
    <w:rsid w:val="006C6ABA"/>
    <w:rsid w:val="006C6C60"/>
    <w:rsid w:val="006D2F95"/>
    <w:rsid w:val="006D5BF4"/>
    <w:rsid w:val="006E58B8"/>
    <w:rsid w:val="006E7C5B"/>
    <w:rsid w:val="006F6036"/>
    <w:rsid w:val="00710CBB"/>
    <w:rsid w:val="00713237"/>
    <w:rsid w:val="00726616"/>
    <w:rsid w:val="00727DEF"/>
    <w:rsid w:val="007341EA"/>
    <w:rsid w:val="00742F6B"/>
    <w:rsid w:val="0075166D"/>
    <w:rsid w:val="00756549"/>
    <w:rsid w:val="00760379"/>
    <w:rsid w:val="00761FA3"/>
    <w:rsid w:val="00785CCF"/>
    <w:rsid w:val="007936DC"/>
    <w:rsid w:val="007A56AD"/>
    <w:rsid w:val="007D2B4B"/>
    <w:rsid w:val="007E25C1"/>
    <w:rsid w:val="007E52E2"/>
    <w:rsid w:val="007E6599"/>
    <w:rsid w:val="00800B09"/>
    <w:rsid w:val="00811D1A"/>
    <w:rsid w:val="00821BD3"/>
    <w:rsid w:val="00844A27"/>
    <w:rsid w:val="008458DD"/>
    <w:rsid w:val="008A2A7F"/>
    <w:rsid w:val="008B2AE3"/>
    <w:rsid w:val="008C33AB"/>
    <w:rsid w:val="008D15E5"/>
    <w:rsid w:val="008D1B9A"/>
    <w:rsid w:val="008F41F0"/>
    <w:rsid w:val="00931F3E"/>
    <w:rsid w:val="00942283"/>
    <w:rsid w:val="00961195"/>
    <w:rsid w:val="00964240"/>
    <w:rsid w:val="009A38BB"/>
    <w:rsid w:val="009A6F59"/>
    <w:rsid w:val="009B5A07"/>
    <w:rsid w:val="009C02D6"/>
    <w:rsid w:val="009C752F"/>
    <w:rsid w:val="00A0796E"/>
    <w:rsid w:val="00A37756"/>
    <w:rsid w:val="00A42E7E"/>
    <w:rsid w:val="00A52FED"/>
    <w:rsid w:val="00A604FA"/>
    <w:rsid w:val="00A67E89"/>
    <w:rsid w:val="00A730AB"/>
    <w:rsid w:val="00A819CF"/>
    <w:rsid w:val="00A85CB6"/>
    <w:rsid w:val="00AB6120"/>
    <w:rsid w:val="00AB68EA"/>
    <w:rsid w:val="00AE242F"/>
    <w:rsid w:val="00B00D4A"/>
    <w:rsid w:val="00B06CE5"/>
    <w:rsid w:val="00B11475"/>
    <w:rsid w:val="00B2005B"/>
    <w:rsid w:val="00B22C4A"/>
    <w:rsid w:val="00B26A26"/>
    <w:rsid w:val="00B43945"/>
    <w:rsid w:val="00B46D36"/>
    <w:rsid w:val="00B46E85"/>
    <w:rsid w:val="00B55E27"/>
    <w:rsid w:val="00B6231C"/>
    <w:rsid w:val="00B659CD"/>
    <w:rsid w:val="00B77606"/>
    <w:rsid w:val="00B80D2C"/>
    <w:rsid w:val="00B925CF"/>
    <w:rsid w:val="00BA60F0"/>
    <w:rsid w:val="00BB70BA"/>
    <w:rsid w:val="00BC3343"/>
    <w:rsid w:val="00BC6940"/>
    <w:rsid w:val="00BD4E69"/>
    <w:rsid w:val="00BF0649"/>
    <w:rsid w:val="00BF2587"/>
    <w:rsid w:val="00BF595E"/>
    <w:rsid w:val="00C074DB"/>
    <w:rsid w:val="00C27D09"/>
    <w:rsid w:val="00C43C8C"/>
    <w:rsid w:val="00C46840"/>
    <w:rsid w:val="00C630AC"/>
    <w:rsid w:val="00C649F2"/>
    <w:rsid w:val="00C73910"/>
    <w:rsid w:val="00C7410F"/>
    <w:rsid w:val="00C74360"/>
    <w:rsid w:val="00C7496F"/>
    <w:rsid w:val="00C75E8C"/>
    <w:rsid w:val="00C805AE"/>
    <w:rsid w:val="00CA3BFE"/>
    <w:rsid w:val="00CB13EB"/>
    <w:rsid w:val="00CD26AE"/>
    <w:rsid w:val="00CD2701"/>
    <w:rsid w:val="00CF1247"/>
    <w:rsid w:val="00D07357"/>
    <w:rsid w:val="00D31733"/>
    <w:rsid w:val="00D3757A"/>
    <w:rsid w:val="00D5540B"/>
    <w:rsid w:val="00D63E4D"/>
    <w:rsid w:val="00D7385D"/>
    <w:rsid w:val="00D81C5C"/>
    <w:rsid w:val="00D96533"/>
    <w:rsid w:val="00D96E5F"/>
    <w:rsid w:val="00DA2C11"/>
    <w:rsid w:val="00DB5DAA"/>
    <w:rsid w:val="00DC4D31"/>
    <w:rsid w:val="00DC793C"/>
    <w:rsid w:val="00DD1C6E"/>
    <w:rsid w:val="00DE3F9A"/>
    <w:rsid w:val="00DF1CC2"/>
    <w:rsid w:val="00DF52AA"/>
    <w:rsid w:val="00E0732F"/>
    <w:rsid w:val="00E1242B"/>
    <w:rsid w:val="00E158CA"/>
    <w:rsid w:val="00E22C14"/>
    <w:rsid w:val="00E32C7C"/>
    <w:rsid w:val="00E338B7"/>
    <w:rsid w:val="00E43881"/>
    <w:rsid w:val="00E46E58"/>
    <w:rsid w:val="00E65B6B"/>
    <w:rsid w:val="00E845CF"/>
    <w:rsid w:val="00E87C99"/>
    <w:rsid w:val="00EB4F75"/>
    <w:rsid w:val="00EC04D0"/>
    <w:rsid w:val="00EC7A6C"/>
    <w:rsid w:val="00ED29E5"/>
    <w:rsid w:val="00EE2E56"/>
    <w:rsid w:val="00EE6816"/>
    <w:rsid w:val="00F00714"/>
    <w:rsid w:val="00F03165"/>
    <w:rsid w:val="00F04895"/>
    <w:rsid w:val="00F05739"/>
    <w:rsid w:val="00F06067"/>
    <w:rsid w:val="00F123D2"/>
    <w:rsid w:val="00F13865"/>
    <w:rsid w:val="00F3690D"/>
    <w:rsid w:val="00F415DE"/>
    <w:rsid w:val="00F655A3"/>
    <w:rsid w:val="00F73105"/>
    <w:rsid w:val="00F979C2"/>
    <w:rsid w:val="00FA3507"/>
    <w:rsid w:val="00FA44CC"/>
    <w:rsid w:val="00FB42A8"/>
    <w:rsid w:val="00FF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4F41"/>
  <w15:chartTrackingRefBased/>
  <w15:docId w15:val="{A7BA48C8-CD7F-4EDC-9C24-C05FDE2A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5B"/>
    <w:rPr>
      <w:rFonts w:eastAsiaTheme="majorEastAsia" w:cstheme="majorBidi"/>
      <w:color w:val="272727" w:themeColor="text1" w:themeTint="D8"/>
    </w:rPr>
  </w:style>
  <w:style w:type="paragraph" w:styleId="Title">
    <w:name w:val="Title"/>
    <w:basedOn w:val="Normal"/>
    <w:next w:val="Normal"/>
    <w:link w:val="TitleChar"/>
    <w:uiPriority w:val="10"/>
    <w:qFormat/>
    <w:rsid w:val="003A6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A6B5B"/>
    <w:rPr>
      <w:i/>
      <w:iCs/>
      <w:color w:val="404040" w:themeColor="text1" w:themeTint="BF"/>
    </w:rPr>
  </w:style>
  <w:style w:type="paragraph" w:styleId="ListParagraph">
    <w:name w:val="List Paragraph"/>
    <w:basedOn w:val="Normal"/>
    <w:uiPriority w:val="34"/>
    <w:qFormat/>
    <w:rsid w:val="003A6B5B"/>
    <w:pPr>
      <w:ind w:left="720"/>
      <w:contextualSpacing/>
    </w:pPr>
  </w:style>
  <w:style w:type="character" w:styleId="IntenseEmphasis">
    <w:name w:val="Intense Emphasis"/>
    <w:basedOn w:val="DefaultParagraphFont"/>
    <w:uiPriority w:val="21"/>
    <w:qFormat/>
    <w:rsid w:val="003A6B5B"/>
    <w:rPr>
      <w:i/>
      <w:iCs/>
      <w:color w:val="0F4761" w:themeColor="accent1" w:themeShade="BF"/>
    </w:rPr>
  </w:style>
  <w:style w:type="paragraph" w:styleId="IntenseQuote">
    <w:name w:val="Intense Quote"/>
    <w:basedOn w:val="Normal"/>
    <w:next w:val="Normal"/>
    <w:link w:val="IntenseQuoteChar"/>
    <w:uiPriority w:val="30"/>
    <w:qFormat/>
    <w:rsid w:val="003A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B5B"/>
    <w:rPr>
      <w:i/>
      <w:iCs/>
      <w:color w:val="0F4761" w:themeColor="accent1" w:themeShade="BF"/>
    </w:rPr>
  </w:style>
  <w:style w:type="character" w:styleId="IntenseReference">
    <w:name w:val="Intense Reference"/>
    <w:basedOn w:val="DefaultParagraphFont"/>
    <w:uiPriority w:val="32"/>
    <w:qFormat/>
    <w:rsid w:val="003A6B5B"/>
    <w:rPr>
      <w:b/>
      <w:bCs/>
      <w:smallCaps/>
      <w:color w:val="0F4761" w:themeColor="accent1" w:themeShade="BF"/>
      <w:spacing w:val="5"/>
    </w:rPr>
  </w:style>
  <w:style w:type="paragraph" w:styleId="Header">
    <w:name w:val="header"/>
    <w:basedOn w:val="Normal"/>
    <w:link w:val="HeaderChar"/>
    <w:uiPriority w:val="99"/>
    <w:unhideWhenUsed/>
    <w:rsid w:val="00BC6940"/>
    <w:pPr>
      <w:tabs>
        <w:tab w:val="center" w:pos="4680"/>
        <w:tab w:val="right" w:pos="9360"/>
      </w:tabs>
    </w:pPr>
  </w:style>
  <w:style w:type="character" w:customStyle="1" w:styleId="HeaderChar">
    <w:name w:val="Header Char"/>
    <w:basedOn w:val="DefaultParagraphFont"/>
    <w:link w:val="Header"/>
    <w:uiPriority w:val="99"/>
    <w:rsid w:val="00BC6940"/>
  </w:style>
  <w:style w:type="paragraph" w:styleId="Footer">
    <w:name w:val="footer"/>
    <w:basedOn w:val="Normal"/>
    <w:link w:val="FooterChar"/>
    <w:uiPriority w:val="99"/>
    <w:unhideWhenUsed/>
    <w:rsid w:val="00BC6940"/>
    <w:pPr>
      <w:tabs>
        <w:tab w:val="center" w:pos="4680"/>
        <w:tab w:val="right" w:pos="9360"/>
      </w:tabs>
    </w:pPr>
  </w:style>
  <w:style w:type="character" w:customStyle="1" w:styleId="FooterChar">
    <w:name w:val="Footer Char"/>
    <w:basedOn w:val="DefaultParagraphFont"/>
    <w:link w:val="Footer"/>
    <w:uiPriority w:val="99"/>
    <w:rsid w:val="00BC6940"/>
  </w:style>
  <w:style w:type="paragraph" w:styleId="FootnoteText">
    <w:name w:val="footnote text"/>
    <w:basedOn w:val="Normal"/>
    <w:link w:val="FootnoteTextChar"/>
    <w:uiPriority w:val="99"/>
    <w:semiHidden/>
    <w:unhideWhenUsed/>
    <w:rsid w:val="00A42E7E"/>
    <w:rPr>
      <w:sz w:val="20"/>
      <w:szCs w:val="20"/>
    </w:rPr>
  </w:style>
  <w:style w:type="character" w:customStyle="1" w:styleId="FootnoteTextChar">
    <w:name w:val="Footnote Text Char"/>
    <w:basedOn w:val="DefaultParagraphFont"/>
    <w:link w:val="FootnoteText"/>
    <w:uiPriority w:val="99"/>
    <w:semiHidden/>
    <w:rsid w:val="00A42E7E"/>
    <w:rPr>
      <w:sz w:val="20"/>
      <w:szCs w:val="20"/>
    </w:rPr>
  </w:style>
  <w:style w:type="character" w:styleId="FootnoteReference">
    <w:name w:val="footnote reference"/>
    <w:basedOn w:val="DefaultParagraphFont"/>
    <w:uiPriority w:val="99"/>
    <w:semiHidden/>
    <w:unhideWhenUsed/>
    <w:rsid w:val="00A42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1723</Words>
  <Characters>9445</Characters>
  <Application>Microsoft Office Word</Application>
  <DocSecurity>0</DocSecurity>
  <Lines>277</Lines>
  <Paragraphs>214</Paragraphs>
  <ScaleCrop>false</ScaleCrop>
  <Company>The Wonderful Company</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Eric</dc:creator>
  <cp:keywords/>
  <dc:description/>
  <cp:lastModifiedBy>Carmichael, Eric</cp:lastModifiedBy>
  <cp:revision>63</cp:revision>
  <dcterms:created xsi:type="dcterms:W3CDTF">2026-10-06T05:58:00Z</dcterms:created>
  <dcterms:modified xsi:type="dcterms:W3CDTF">2026-10-06T06:43:00Z</dcterms:modified>
</cp:coreProperties>
</file>