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37CF1" w14:textId="77777777" w:rsidR="003A6B5B" w:rsidRPr="00F3690D" w:rsidRDefault="003A6B5B" w:rsidP="003A6B5B">
      <w:pPr>
        <w:spacing w:after="160" w:line="278" w:lineRule="auto"/>
        <w:jc w:val="center"/>
        <w:rPr>
          <w:rFonts w:ascii="Times New Roman" w:hAnsi="Times New Roman" w:cs="Times New Roman"/>
        </w:rPr>
      </w:pPr>
    </w:p>
    <w:p w14:paraId="0C3CFC0D" w14:textId="77777777" w:rsidR="003A6B5B" w:rsidRPr="00F3690D" w:rsidRDefault="003A6B5B" w:rsidP="003A6B5B">
      <w:pPr>
        <w:spacing w:after="160" w:line="278" w:lineRule="auto"/>
        <w:jc w:val="center"/>
        <w:rPr>
          <w:rFonts w:ascii="Times New Roman" w:hAnsi="Times New Roman" w:cs="Times New Roman"/>
        </w:rPr>
      </w:pPr>
    </w:p>
    <w:p w14:paraId="1A9E31AD" w14:textId="77777777" w:rsidR="003A6B5B" w:rsidRPr="00F3690D" w:rsidRDefault="003A6B5B" w:rsidP="003A6B5B">
      <w:pPr>
        <w:spacing w:after="160" w:line="278" w:lineRule="auto"/>
        <w:jc w:val="center"/>
        <w:rPr>
          <w:rFonts w:ascii="Times New Roman" w:hAnsi="Times New Roman" w:cs="Times New Roman"/>
        </w:rPr>
      </w:pPr>
    </w:p>
    <w:p w14:paraId="7639B8AE" w14:textId="0A8A2F4B" w:rsidR="003A6B5B" w:rsidRPr="00F3690D" w:rsidRDefault="003A6B5B" w:rsidP="003A6B5B">
      <w:pPr>
        <w:spacing w:after="160" w:line="278" w:lineRule="auto"/>
        <w:jc w:val="center"/>
        <w:rPr>
          <w:rFonts w:ascii="Times New Roman" w:hAnsi="Times New Roman" w:cs="Times New Roman"/>
        </w:rPr>
      </w:pPr>
      <w:r w:rsidRPr="00F3690D">
        <w:rPr>
          <w:rFonts w:ascii="Times New Roman" w:hAnsi="Times New Roman" w:cs="Times New Roman"/>
          <w:b/>
        </w:rPr>
        <w:t>Sailing Past the Cargo: Would Foreign Ships Carrying Domestic Cargo Lower Hawaiʻi’s Westbound Freight Rate?</w:t>
      </w:r>
    </w:p>
    <w:p w14:paraId="22952375" w14:textId="77777777" w:rsidR="003A6B5B" w:rsidRPr="00F3690D" w:rsidRDefault="003A6B5B" w:rsidP="003A6B5B">
      <w:pPr>
        <w:spacing w:after="160" w:line="278" w:lineRule="auto"/>
        <w:jc w:val="center"/>
        <w:rPr>
          <w:rFonts w:ascii="Times New Roman" w:hAnsi="Times New Roman" w:cs="Times New Roman"/>
        </w:rPr>
      </w:pPr>
      <w:r w:rsidRPr="00F3690D">
        <w:rPr>
          <w:rFonts w:ascii="Times New Roman" w:hAnsi="Times New Roman" w:cs="Times New Roman"/>
        </w:rPr>
        <w:t>Eric Carmichael</w:t>
      </w:r>
    </w:p>
    <w:p w14:paraId="4E7E0D81" w14:textId="77777777" w:rsidR="003A6B5B" w:rsidRPr="00F3690D" w:rsidRDefault="003A6B5B" w:rsidP="003A6B5B">
      <w:pPr>
        <w:spacing w:after="160" w:line="278" w:lineRule="auto"/>
        <w:jc w:val="center"/>
        <w:rPr>
          <w:rFonts w:ascii="Times New Roman" w:hAnsi="Times New Roman" w:cs="Times New Roman"/>
        </w:rPr>
      </w:pPr>
      <w:r w:rsidRPr="00F3690D">
        <w:rPr>
          <w:rFonts w:ascii="Times New Roman" w:hAnsi="Times New Roman" w:cs="Times New Roman"/>
        </w:rPr>
        <w:t>BUS 620 — Individual Research Paper</w:t>
      </w:r>
    </w:p>
    <w:p w14:paraId="458EEDBF" w14:textId="02F948F7" w:rsidR="003A6B5B" w:rsidRPr="00F3690D" w:rsidRDefault="003A6B5B" w:rsidP="003A6B5B">
      <w:pPr>
        <w:spacing w:after="160" w:line="278" w:lineRule="auto"/>
        <w:jc w:val="center"/>
        <w:rPr>
          <w:rFonts w:ascii="Times New Roman" w:hAnsi="Times New Roman" w:cs="Times New Roman"/>
        </w:rPr>
      </w:pPr>
      <w:r w:rsidRPr="00F3690D">
        <w:rPr>
          <w:rFonts w:ascii="Times New Roman" w:hAnsi="Times New Roman" w:cs="Times New Roman"/>
        </w:rPr>
        <w:t xml:space="preserve">Shidler College of Business, University of Hawaiʻi at </w:t>
      </w:r>
      <w:proofErr w:type="spellStart"/>
      <w:r w:rsidRPr="00F3690D">
        <w:rPr>
          <w:rFonts w:ascii="Times New Roman" w:hAnsi="Times New Roman" w:cs="Times New Roman"/>
        </w:rPr>
        <w:t>Mānoa</w:t>
      </w:r>
      <w:proofErr w:type="spellEnd"/>
    </w:p>
    <w:p w14:paraId="1743880A" w14:textId="3F108D69" w:rsidR="003A6B5B" w:rsidRPr="00F3690D" w:rsidRDefault="003A6B5B" w:rsidP="003A6B5B">
      <w:pPr>
        <w:jc w:val="center"/>
        <w:rPr>
          <w:rFonts w:ascii="Times New Roman" w:hAnsi="Times New Roman" w:cs="Times New Roman"/>
        </w:rPr>
      </w:pPr>
      <w:r w:rsidRPr="00F3690D">
        <w:rPr>
          <w:rFonts w:ascii="Times New Roman" w:hAnsi="Times New Roman" w:cs="Times New Roman"/>
        </w:rPr>
        <w:t>10.09.2026</w:t>
      </w:r>
    </w:p>
    <w:p w14:paraId="22F55DC5" w14:textId="77777777" w:rsidR="003A6B5B" w:rsidRPr="00F3690D" w:rsidRDefault="003A6B5B" w:rsidP="003A6B5B">
      <w:pPr>
        <w:spacing w:after="160" w:line="278" w:lineRule="auto"/>
        <w:jc w:val="center"/>
        <w:rPr>
          <w:rFonts w:ascii="Times New Roman" w:hAnsi="Times New Roman" w:cs="Times New Roman"/>
        </w:rPr>
      </w:pPr>
    </w:p>
    <w:p w14:paraId="36B088FD" w14:textId="4BC07059" w:rsidR="003A6B5B" w:rsidRPr="00F3690D" w:rsidRDefault="003A6B5B" w:rsidP="003A6B5B">
      <w:pPr>
        <w:spacing w:line="480" w:lineRule="auto"/>
        <w:jc w:val="center"/>
        <w:rPr>
          <w:rFonts w:ascii="Times New Roman" w:hAnsi="Times New Roman" w:cs="Times New Roman"/>
        </w:rPr>
      </w:pPr>
      <w:r w:rsidRPr="00F3690D">
        <w:rPr>
          <w:rFonts w:ascii="Times New Roman" w:hAnsi="Times New Roman" w:cs="Times New Roman"/>
        </w:rPr>
        <w:br w:type="page"/>
      </w:r>
      <w:r w:rsidRPr="00F3690D">
        <w:rPr>
          <w:rFonts w:ascii="Times New Roman" w:hAnsi="Times New Roman" w:cs="Times New Roman"/>
          <w:b/>
        </w:rPr>
        <w:lastRenderedPageBreak/>
        <w:t>Would Foreign Ships Carrying Domestic Cargo Lower Hawaiʻi’s Westbound Freight Rate?</w:t>
      </w:r>
    </w:p>
    <w:p w14:paraId="44F20C77" w14:textId="0C94C9B8" w:rsidR="00D07357" w:rsidRPr="00F3690D" w:rsidRDefault="003A6B5B" w:rsidP="003A6B5B">
      <w:pPr>
        <w:spacing w:line="480" w:lineRule="auto"/>
        <w:rPr>
          <w:rFonts w:ascii="Times New Roman" w:hAnsi="Times New Roman" w:cs="Times New Roman"/>
        </w:rPr>
      </w:pPr>
      <w:r w:rsidRPr="00F3690D">
        <w:rPr>
          <w:rFonts w:ascii="Times New Roman" w:hAnsi="Times New Roman" w:cs="Times New Roman"/>
        </w:rPr>
        <w:tab/>
        <w:t>Almost everything sold in Hawai’i depends on ocean freight</w:t>
      </w:r>
      <w:r w:rsidR="00217D59">
        <w:rPr>
          <w:rFonts w:ascii="Times New Roman" w:hAnsi="Times New Roman" w:cs="Times New Roman"/>
        </w:rPr>
        <w:t>.</w:t>
      </w:r>
      <w:r w:rsidRPr="00F3690D">
        <w:rPr>
          <w:rFonts w:ascii="Times New Roman" w:hAnsi="Times New Roman" w:cs="Times New Roman"/>
        </w:rPr>
        <w:t xml:space="preserve"> The Hawai’i Department of Transportation estimates that 85% of goods are imported and that 91% of those goods arrive through commercial ports (Hawaiʻi Department of Transportation [HDOT], 2024). </w:t>
      </w:r>
      <w:r w:rsidR="00B06CE5">
        <w:rPr>
          <w:rFonts w:ascii="Times New Roman" w:hAnsi="Times New Roman" w:cs="Times New Roman"/>
        </w:rPr>
        <w:t xml:space="preserve">Freight therefore affects </w:t>
      </w:r>
      <w:r w:rsidR="00B46D36">
        <w:rPr>
          <w:rFonts w:ascii="Times New Roman" w:hAnsi="Times New Roman" w:cs="Times New Roman"/>
        </w:rPr>
        <w:t>the landed cost of foods and household goods</w:t>
      </w:r>
      <w:r w:rsidR="00D63E4D">
        <w:rPr>
          <w:rFonts w:ascii="Times New Roman" w:hAnsi="Times New Roman" w:cs="Times New Roman"/>
        </w:rPr>
        <w:t xml:space="preserve"> and by extension, the price on shelf. </w:t>
      </w:r>
      <w:r w:rsidR="00C7410F">
        <w:rPr>
          <w:rFonts w:ascii="Times New Roman" w:hAnsi="Times New Roman" w:cs="Times New Roman"/>
        </w:rPr>
        <w:t>The West Coast – Hawaii route is dominated by Matson and Pasha.</w:t>
      </w:r>
      <w:r w:rsidR="00645B28">
        <w:rPr>
          <w:rFonts w:ascii="Times New Roman" w:hAnsi="Times New Roman" w:cs="Times New Roman"/>
        </w:rPr>
        <w:t xml:space="preserve"> </w:t>
      </w:r>
      <w:r w:rsidRPr="00F3690D">
        <w:rPr>
          <w:rFonts w:ascii="Times New Roman" w:hAnsi="Times New Roman" w:cs="Times New Roman"/>
        </w:rPr>
        <w:t xml:space="preserve">Federal cabotage law prohibits foreign-flagged vessels from transporting domestic goods between two U.S ports </w:t>
      </w:r>
      <w:r w:rsidR="00E338B7" w:rsidRPr="00F3690D">
        <w:rPr>
          <w:rFonts w:ascii="Times New Roman" w:hAnsi="Times New Roman" w:cs="Times New Roman"/>
        </w:rPr>
        <w:t>(46 U.S.C. § 55102)</w:t>
      </w:r>
      <w:r w:rsidR="00E338B7">
        <w:rPr>
          <w:rFonts w:ascii="Times New Roman" w:hAnsi="Times New Roman" w:cs="Times New Roman"/>
        </w:rPr>
        <w:t xml:space="preserve">. </w:t>
      </w:r>
      <w:r w:rsidR="005C6556">
        <w:rPr>
          <w:rFonts w:ascii="Times New Roman" w:hAnsi="Times New Roman" w:cs="Times New Roman"/>
        </w:rPr>
        <w:t>CMA CGM</w:t>
      </w:r>
      <w:r w:rsidR="00645B28">
        <w:rPr>
          <w:rFonts w:ascii="Times New Roman" w:hAnsi="Times New Roman" w:cs="Times New Roman"/>
        </w:rPr>
        <w:t xml:space="preserve"> (foreign)</w:t>
      </w:r>
      <w:r w:rsidR="005C6556">
        <w:rPr>
          <w:rFonts w:ascii="Times New Roman" w:hAnsi="Times New Roman" w:cs="Times New Roman"/>
        </w:rPr>
        <w:t xml:space="preserve"> </w:t>
      </w:r>
      <w:r w:rsidRPr="00F3690D">
        <w:rPr>
          <w:rFonts w:ascii="Times New Roman" w:hAnsi="Times New Roman" w:cs="Times New Roman"/>
        </w:rPr>
        <w:t>already operat</w:t>
      </w:r>
      <w:r w:rsidR="00645B28">
        <w:rPr>
          <w:rFonts w:ascii="Times New Roman" w:hAnsi="Times New Roman" w:cs="Times New Roman"/>
        </w:rPr>
        <w:t>es</w:t>
      </w:r>
      <w:r w:rsidRPr="00F3690D">
        <w:rPr>
          <w:rFonts w:ascii="Times New Roman" w:hAnsi="Times New Roman" w:cs="Times New Roman"/>
        </w:rPr>
        <w:t xml:space="preserve"> a route that includes both</w:t>
      </w:r>
      <w:r w:rsidR="00645B28">
        <w:rPr>
          <w:rFonts w:ascii="Times New Roman" w:hAnsi="Times New Roman" w:cs="Times New Roman"/>
        </w:rPr>
        <w:t xml:space="preserve"> LA</w:t>
      </w:r>
      <w:r w:rsidRPr="00F3690D">
        <w:rPr>
          <w:rFonts w:ascii="Times New Roman" w:hAnsi="Times New Roman" w:cs="Times New Roman"/>
        </w:rPr>
        <w:t xml:space="preserve"> and Honolulu on the same r</w:t>
      </w:r>
      <w:r w:rsidR="00F73105">
        <w:rPr>
          <w:rFonts w:ascii="Times New Roman" w:hAnsi="Times New Roman" w:cs="Times New Roman"/>
        </w:rPr>
        <w:t>otation</w:t>
      </w:r>
      <w:r w:rsidR="00D7385D">
        <w:rPr>
          <w:rFonts w:ascii="Times New Roman" w:hAnsi="Times New Roman" w:cs="Times New Roman"/>
        </w:rPr>
        <w:t>, making the</w:t>
      </w:r>
      <w:r w:rsidR="00EE2E56">
        <w:rPr>
          <w:rFonts w:ascii="Times New Roman" w:hAnsi="Times New Roman" w:cs="Times New Roman"/>
        </w:rPr>
        <w:t xml:space="preserve"> </w:t>
      </w:r>
      <w:r w:rsidR="00216AB8">
        <w:rPr>
          <w:rFonts w:ascii="Times New Roman" w:hAnsi="Times New Roman" w:cs="Times New Roman"/>
        </w:rPr>
        <w:t xml:space="preserve">counterfactual less theoretical (CMA CGM, 2025). </w:t>
      </w:r>
    </w:p>
    <w:p w14:paraId="212F73A4" w14:textId="181B33C7" w:rsidR="003A6B5B" w:rsidRPr="00F3690D" w:rsidRDefault="003A6B5B" w:rsidP="003A6B5B">
      <w:pPr>
        <w:spacing w:line="480" w:lineRule="auto"/>
        <w:rPr>
          <w:rFonts w:ascii="Times New Roman" w:hAnsi="Times New Roman" w:cs="Times New Roman"/>
        </w:rPr>
      </w:pPr>
      <w:r w:rsidRPr="00F3690D">
        <w:rPr>
          <w:rFonts w:ascii="Times New Roman" w:hAnsi="Times New Roman" w:cs="Times New Roman"/>
        </w:rPr>
        <w:tab/>
        <w:t>For</w:t>
      </w:r>
      <w:r w:rsidR="00216AB8">
        <w:rPr>
          <w:rFonts w:ascii="Times New Roman" w:hAnsi="Times New Roman" w:cs="Times New Roman"/>
        </w:rPr>
        <w:t xml:space="preserve"> Hawai’i’s </w:t>
      </w:r>
      <w:r w:rsidR="00472A12">
        <w:rPr>
          <w:rFonts w:ascii="Times New Roman" w:hAnsi="Times New Roman" w:cs="Times New Roman"/>
        </w:rPr>
        <w:t>congressional delegatio</w:t>
      </w:r>
      <w:r w:rsidR="005A2B66">
        <w:rPr>
          <w:rFonts w:ascii="Times New Roman" w:hAnsi="Times New Roman" w:cs="Times New Roman"/>
        </w:rPr>
        <w:t>n</w:t>
      </w:r>
      <w:r w:rsidR="00A67E89">
        <w:rPr>
          <w:rFonts w:ascii="Times New Roman" w:hAnsi="Times New Roman" w:cs="Times New Roman"/>
        </w:rPr>
        <w:t>,</w:t>
      </w:r>
      <w:r w:rsidRPr="00F3690D">
        <w:rPr>
          <w:rFonts w:ascii="Times New Roman" w:hAnsi="Times New Roman" w:cs="Times New Roman"/>
        </w:rPr>
        <w:t xml:space="preserve"> the most useful question would be </w:t>
      </w:r>
      <w:proofErr w:type="gramStart"/>
      <w:r w:rsidRPr="00F3690D">
        <w:rPr>
          <w:rFonts w:ascii="Times New Roman" w:hAnsi="Times New Roman" w:cs="Times New Roman"/>
        </w:rPr>
        <w:t>whether or not</w:t>
      </w:r>
      <w:proofErr w:type="gramEnd"/>
      <w:r w:rsidRPr="00F3690D">
        <w:rPr>
          <w:rFonts w:ascii="Times New Roman" w:hAnsi="Times New Roman" w:cs="Times New Roman"/>
        </w:rPr>
        <w:t xml:space="preserve"> passing an exemption to the Jones Act for </w:t>
      </w:r>
      <w:r w:rsidR="00A67E89">
        <w:rPr>
          <w:rFonts w:ascii="Times New Roman" w:hAnsi="Times New Roman" w:cs="Times New Roman"/>
        </w:rPr>
        <w:t xml:space="preserve">Hawai’i cargo </w:t>
      </w:r>
      <w:r w:rsidRPr="00F3690D">
        <w:rPr>
          <w:rFonts w:ascii="Times New Roman" w:hAnsi="Times New Roman" w:cs="Times New Roman"/>
        </w:rPr>
        <w:t xml:space="preserve">would increase the competition beyond the oligopoly of Matson and Pasha. </w:t>
      </w:r>
      <w:r w:rsidR="003B6118">
        <w:rPr>
          <w:rFonts w:ascii="Times New Roman" w:hAnsi="Times New Roman" w:cs="Times New Roman"/>
        </w:rPr>
        <w:t xml:space="preserve">I expect </w:t>
      </w:r>
      <w:r w:rsidRPr="00F3690D">
        <w:rPr>
          <w:rFonts w:ascii="Times New Roman" w:hAnsi="Times New Roman" w:cs="Times New Roman"/>
        </w:rPr>
        <w:t xml:space="preserve">that an exemption would create downward pricing pressure in both directions, with </w:t>
      </w:r>
      <w:r w:rsidR="003B6118">
        <w:rPr>
          <w:rFonts w:ascii="Times New Roman" w:hAnsi="Times New Roman" w:cs="Times New Roman"/>
        </w:rPr>
        <w:t>the greatest opportunity on the westbound leg</w:t>
      </w:r>
      <w:r w:rsidRPr="00F3690D">
        <w:rPr>
          <w:rFonts w:ascii="Times New Roman" w:hAnsi="Times New Roman" w:cs="Times New Roman"/>
        </w:rPr>
        <w:t xml:space="preserve">. </w:t>
      </w:r>
      <w:r w:rsidR="00092CA9">
        <w:rPr>
          <w:rFonts w:ascii="Times New Roman" w:hAnsi="Times New Roman" w:cs="Times New Roman"/>
        </w:rPr>
        <w:t xml:space="preserve">The </w:t>
      </w:r>
      <w:r w:rsidRPr="00F3690D">
        <w:rPr>
          <w:rFonts w:ascii="Times New Roman" w:hAnsi="Times New Roman" w:cs="Times New Roman"/>
        </w:rPr>
        <w:t xml:space="preserve">decision hinges on whether the current restrictions exclude plausible competitors, whether </w:t>
      </w:r>
      <w:r w:rsidR="006A0EC2">
        <w:rPr>
          <w:rFonts w:ascii="Times New Roman" w:hAnsi="Times New Roman" w:cs="Times New Roman"/>
        </w:rPr>
        <w:t xml:space="preserve">past </w:t>
      </w:r>
      <w:r w:rsidRPr="00F3690D">
        <w:rPr>
          <w:rFonts w:ascii="Times New Roman" w:hAnsi="Times New Roman" w:cs="Times New Roman"/>
        </w:rPr>
        <w:t xml:space="preserve">market entries have changed behavior and whether </w:t>
      </w:r>
      <w:r w:rsidR="006A0EC2">
        <w:rPr>
          <w:rFonts w:ascii="Times New Roman" w:hAnsi="Times New Roman" w:cs="Times New Roman"/>
        </w:rPr>
        <w:t>route economics explain</w:t>
      </w:r>
      <w:r w:rsidRPr="00F3690D">
        <w:rPr>
          <w:rFonts w:ascii="Times New Roman" w:hAnsi="Times New Roman" w:cs="Times New Roman"/>
        </w:rPr>
        <w:t xml:space="preserve"> current prices.</w:t>
      </w:r>
    </w:p>
    <w:p w14:paraId="181D8E88" w14:textId="657E754D" w:rsidR="003A6B5B" w:rsidRPr="00F3690D" w:rsidRDefault="003A6B5B" w:rsidP="003A6B5B">
      <w:pPr>
        <w:spacing w:line="480" w:lineRule="auto"/>
        <w:jc w:val="center"/>
        <w:rPr>
          <w:rFonts w:ascii="Times New Roman" w:hAnsi="Times New Roman" w:cs="Times New Roman"/>
          <w:b/>
          <w:bCs/>
        </w:rPr>
      </w:pPr>
      <w:r w:rsidRPr="00F3690D">
        <w:rPr>
          <w:rFonts w:ascii="Times New Roman" w:hAnsi="Times New Roman" w:cs="Times New Roman"/>
          <w:b/>
          <w:bCs/>
        </w:rPr>
        <w:t>The Current Jones Act Restrictions Limits the Potential Competitive Set</w:t>
      </w:r>
    </w:p>
    <w:p w14:paraId="15BC092B" w14:textId="6B621B50" w:rsidR="003A6B5B" w:rsidRPr="00F3690D" w:rsidRDefault="003A6B5B" w:rsidP="003A6B5B">
      <w:pPr>
        <w:spacing w:line="480" w:lineRule="auto"/>
        <w:rPr>
          <w:rFonts w:ascii="Times New Roman" w:hAnsi="Times New Roman" w:cs="Times New Roman"/>
        </w:rPr>
      </w:pPr>
      <w:r w:rsidRPr="00F3690D">
        <w:rPr>
          <w:rFonts w:ascii="Times New Roman" w:hAnsi="Times New Roman" w:cs="Times New Roman"/>
        </w:rPr>
        <w:tab/>
        <w:t xml:space="preserve">Ocean transport has substantial fixed costs and economies of scale, which means removing a single legal barrier to entry would not create perfect competition. Instead, a viable market entrant would still need sustainable volume, port access, containers, crews and a </w:t>
      </w:r>
      <w:r w:rsidR="00170085">
        <w:rPr>
          <w:rFonts w:ascii="Times New Roman" w:hAnsi="Times New Roman" w:cs="Times New Roman"/>
        </w:rPr>
        <w:t xml:space="preserve">competitive sailing </w:t>
      </w:r>
      <w:r w:rsidRPr="00F3690D">
        <w:rPr>
          <w:rFonts w:ascii="Times New Roman" w:hAnsi="Times New Roman" w:cs="Times New Roman"/>
        </w:rPr>
        <w:t>schedule. Matson identifies Pasha as its primary U.S competitor in Hawai’i and foreign carriers like</w:t>
      </w:r>
      <w:r w:rsidR="008D1B9A">
        <w:rPr>
          <w:rFonts w:ascii="Times New Roman" w:hAnsi="Times New Roman" w:cs="Times New Roman"/>
        </w:rPr>
        <w:t xml:space="preserve"> ONE</w:t>
      </w:r>
      <w:r w:rsidRPr="00F3690D">
        <w:rPr>
          <w:rFonts w:ascii="Times New Roman" w:hAnsi="Times New Roman" w:cs="Times New Roman"/>
        </w:rPr>
        <w:t xml:space="preserve"> and CMA CGM as competitors for international cargo (Matson, Inc 2026). The coastwise exemption is relevant here as it completely limits the foreign carriers from even considering domestic Honolulu – West Coast cargo as part of their route-network. </w:t>
      </w:r>
    </w:p>
    <w:p w14:paraId="5856F810" w14:textId="62AC28EA" w:rsidR="0056437E" w:rsidRDefault="003A6B5B" w:rsidP="003A6B5B">
      <w:pPr>
        <w:spacing w:line="480" w:lineRule="auto"/>
        <w:rPr>
          <w:rFonts w:ascii="Times New Roman" w:hAnsi="Times New Roman" w:cs="Times New Roman"/>
        </w:rPr>
      </w:pPr>
      <w:r w:rsidRPr="00F3690D">
        <w:rPr>
          <w:rFonts w:ascii="Times New Roman" w:hAnsi="Times New Roman" w:cs="Times New Roman"/>
        </w:rPr>
        <w:lastRenderedPageBreak/>
        <w:tab/>
      </w:r>
      <w:r w:rsidR="0056437E">
        <w:rPr>
          <w:rFonts w:ascii="Times New Roman" w:hAnsi="Times New Roman" w:cs="Times New Roman"/>
        </w:rPr>
        <w:t xml:space="preserve">CMA CGM’s </w:t>
      </w:r>
      <w:r w:rsidR="002E718E">
        <w:rPr>
          <w:rFonts w:ascii="Times New Roman" w:hAnsi="Times New Roman" w:cs="Times New Roman"/>
        </w:rPr>
        <w:t>2025 Eagle Express X schedule listed Los Angeles and Honolulu on the same rotation</w:t>
      </w:r>
      <w:r w:rsidR="00A730AB">
        <w:rPr>
          <w:rFonts w:ascii="Times New Roman" w:hAnsi="Times New Roman" w:cs="Times New Roman"/>
        </w:rPr>
        <w:t>, with Honolulu only bi-weekly</w:t>
      </w:r>
      <w:r w:rsidR="00961195">
        <w:rPr>
          <w:rFonts w:ascii="Times New Roman" w:hAnsi="Times New Roman" w:cs="Times New Roman"/>
        </w:rPr>
        <w:t xml:space="preserve"> (CMA CGM, 2025)</w:t>
      </w:r>
      <w:r w:rsidR="00A730AB">
        <w:rPr>
          <w:rFonts w:ascii="Times New Roman" w:hAnsi="Times New Roman" w:cs="Times New Roman"/>
        </w:rPr>
        <w:t xml:space="preserve">. </w:t>
      </w:r>
      <w:r w:rsidR="002A17FE">
        <w:rPr>
          <w:rFonts w:ascii="Times New Roman" w:hAnsi="Times New Roman" w:cs="Times New Roman"/>
        </w:rPr>
        <w:t xml:space="preserve">In 2025, </w:t>
      </w:r>
      <w:r w:rsidR="00EC7A6C">
        <w:rPr>
          <w:rFonts w:ascii="Times New Roman" w:hAnsi="Times New Roman" w:cs="Times New Roman"/>
        </w:rPr>
        <w:t xml:space="preserve">Los Angeles </w:t>
      </w:r>
      <w:r w:rsidR="00407D4D">
        <w:rPr>
          <w:rFonts w:ascii="Times New Roman" w:hAnsi="Times New Roman" w:cs="Times New Roman"/>
        </w:rPr>
        <w:t xml:space="preserve">handled 5.3 million </w:t>
      </w:r>
      <w:r w:rsidR="000749B0">
        <w:rPr>
          <w:rFonts w:ascii="Times New Roman" w:hAnsi="Times New Roman" w:cs="Times New Roman"/>
        </w:rPr>
        <w:t xml:space="preserve">import </w:t>
      </w:r>
      <w:r w:rsidR="00407D4D">
        <w:rPr>
          <w:rFonts w:ascii="Times New Roman" w:hAnsi="Times New Roman" w:cs="Times New Roman"/>
        </w:rPr>
        <w:t>TEUs</w:t>
      </w:r>
      <w:r w:rsidR="00A42E7E">
        <w:rPr>
          <w:rStyle w:val="FootnoteReference"/>
          <w:rFonts w:ascii="Times New Roman" w:hAnsi="Times New Roman" w:cs="Times New Roman"/>
        </w:rPr>
        <w:footnoteReference w:id="1"/>
      </w:r>
      <w:r w:rsidR="00315360">
        <w:rPr>
          <w:rFonts w:ascii="Times New Roman" w:hAnsi="Times New Roman" w:cs="Times New Roman"/>
        </w:rPr>
        <w:t xml:space="preserve"> </w:t>
      </w:r>
      <w:r w:rsidR="00D5540B">
        <w:rPr>
          <w:rFonts w:ascii="Times New Roman" w:hAnsi="Times New Roman" w:cs="Times New Roman"/>
        </w:rPr>
        <w:t>but only 1.4 million export TEUs</w:t>
      </w:r>
      <w:r w:rsidR="009C752F">
        <w:rPr>
          <w:rFonts w:ascii="Times New Roman" w:hAnsi="Times New Roman" w:cs="Times New Roman"/>
        </w:rPr>
        <w:t xml:space="preserve"> while 3.5 million TEUs were exported</w:t>
      </w:r>
      <w:r w:rsidR="00614790">
        <w:rPr>
          <w:rFonts w:ascii="Times New Roman" w:hAnsi="Times New Roman" w:cs="Times New Roman"/>
        </w:rPr>
        <w:t xml:space="preserve"> empty</w:t>
      </w:r>
      <w:r w:rsidR="009C752F">
        <w:rPr>
          <w:rFonts w:ascii="Times New Roman" w:hAnsi="Times New Roman" w:cs="Times New Roman"/>
        </w:rPr>
        <w:t xml:space="preserve"> (Port of Los Angeles, </w:t>
      </w:r>
      <w:r w:rsidR="00D3757A">
        <w:rPr>
          <w:rFonts w:ascii="Times New Roman" w:hAnsi="Times New Roman" w:cs="Times New Roman"/>
        </w:rPr>
        <w:t>2025). A vessel that is already heading westbound could use otherwise empty capacity for Honolulu cargo</w:t>
      </w:r>
      <w:r w:rsidR="00027F4F">
        <w:rPr>
          <w:rFonts w:ascii="Times New Roman" w:hAnsi="Times New Roman" w:cs="Times New Roman"/>
        </w:rPr>
        <w:t>, putting more pressure on the westbound rates. Entry</w:t>
      </w:r>
      <w:r w:rsidR="0058124A">
        <w:rPr>
          <w:rFonts w:ascii="Times New Roman" w:hAnsi="Times New Roman" w:cs="Times New Roman"/>
        </w:rPr>
        <w:t xml:space="preserve"> is still not</w:t>
      </w:r>
      <w:r w:rsidR="00027F4F">
        <w:rPr>
          <w:rFonts w:ascii="Times New Roman" w:hAnsi="Times New Roman" w:cs="Times New Roman"/>
        </w:rPr>
        <w:t xml:space="preserve"> guaranteed as a Honolulu stop would add time for carriers that do not currently have it routed</w:t>
      </w:r>
      <w:r w:rsidR="00D31733">
        <w:rPr>
          <w:rFonts w:ascii="Times New Roman" w:hAnsi="Times New Roman" w:cs="Times New Roman"/>
        </w:rPr>
        <w:t xml:space="preserve"> and Matson’s </w:t>
      </w:r>
      <w:r w:rsidR="0058124A">
        <w:rPr>
          <w:rFonts w:ascii="Times New Roman" w:hAnsi="Times New Roman" w:cs="Times New Roman"/>
        </w:rPr>
        <w:t>frequency</w:t>
      </w:r>
      <w:r w:rsidR="00D31733">
        <w:rPr>
          <w:rFonts w:ascii="Times New Roman" w:hAnsi="Times New Roman" w:cs="Times New Roman"/>
        </w:rPr>
        <w:t xml:space="preserve"> is much higher</w:t>
      </w:r>
      <w:r w:rsidR="006E7C5B">
        <w:rPr>
          <w:rFonts w:ascii="Times New Roman" w:hAnsi="Times New Roman" w:cs="Times New Roman"/>
        </w:rPr>
        <w:t xml:space="preserve"> with five weekly </w:t>
      </w:r>
      <w:r w:rsidR="009A6F59">
        <w:rPr>
          <w:rFonts w:ascii="Times New Roman" w:hAnsi="Times New Roman" w:cs="Times New Roman"/>
        </w:rPr>
        <w:t>d</w:t>
      </w:r>
      <w:r w:rsidR="00A37756">
        <w:rPr>
          <w:rFonts w:ascii="Times New Roman" w:hAnsi="Times New Roman" w:cs="Times New Roman"/>
        </w:rPr>
        <w:t>epartures</w:t>
      </w:r>
      <w:r w:rsidR="00A42E7E">
        <w:rPr>
          <w:rStyle w:val="FootnoteReference"/>
          <w:rFonts w:ascii="Times New Roman" w:hAnsi="Times New Roman" w:cs="Times New Roman"/>
        </w:rPr>
        <w:footnoteReference w:id="2"/>
      </w:r>
      <w:r w:rsidR="00586EA2">
        <w:rPr>
          <w:rFonts w:ascii="Times New Roman" w:hAnsi="Times New Roman" w:cs="Times New Roman"/>
        </w:rPr>
        <w:t xml:space="preserve">. </w:t>
      </w:r>
      <w:r w:rsidR="00761FA3">
        <w:rPr>
          <w:rFonts w:ascii="Times New Roman" w:hAnsi="Times New Roman" w:cs="Times New Roman"/>
        </w:rPr>
        <w:t>Lower rates may be retained by shippers or retailers or passed to households, while losses would mainly be concentrated among the incumbent shipping companies</w:t>
      </w:r>
      <w:r w:rsidR="00FF499C">
        <w:rPr>
          <w:rFonts w:ascii="Times New Roman" w:hAnsi="Times New Roman" w:cs="Times New Roman"/>
        </w:rPr>
        <w:t xml:space="preserve"> and possibly </w:t>
      </w:r>
      <w:r w:rsidR="00484505">
        <w:rPr>
          <w:rFonts w:ascii="Times New Roman" w:hAnsi="Times New Roman" w:cs="Times New Roman"/>
        </w:rPr>
        <w:t>domestic shipyards.</w:t>
      </w:r>
    </w:p>
    <w:p w14:paraId="0A00696F" w14:textId="20EB91C8" w:rsidR="003A6B5B" w:rsidRPr="00F3690D" w:rsidRDefault="003A6B5B" w:rsidP="00180328">
      <w:pPr>
        <w:spacing w:line="480" w:lineRule="auto"/>
        <w:jc w:val="center"/>
        <w:rPr>
          <w:rFonts w:ascii="Times New Roman" w:hAnsi="Times New Roman" w:cs="Times New Roman"/>
          <w:b/>
          <w:bCs/>
        </w:rPr>
      </w:pPr>
      <w:r w:rsidRPr="00F3690D">
        <w:rPr>
          <w:rFonts w:ascii="Times New Roman" w:hAnsi="Times New Roman" w:cs="Times New Roman"/>
          <w:b/>
          <w:bCs/>
        </w:rPr>
        <w:t>Competition Has Changed Pricing Behavior Previously</w:t>
      </w:r>
    </w:p>
    <w:p w14:paraId="50A17D2C" w14:textId="306FAD2C" w:rsidR="000C1461" w:rsidRDefault="003A6B5B" w:rsidP="003A6B5B">
      <w:pPr>
        <w:spacing w:line="480" w:lineRule="auto"/>
        <w:rPr>
          <w:rFonts w:ascii="Times New Roman" w:hAnsi="Times New Roman" w:cs="Times New Roman"/>
        </w:rPr>
      </w:pPr>
      <w:r w:rsidRPr="00F3690D">
        <w:rPr>
          <w:rFonts w:ascii="Times New Roman" w:hAnsi="Times New Roman" w:cs="Times New Roman"/>
        </w:rPr>
        <w:tab/>
        <w:t>Matsons response to Pasha provides a solid example of competition influencing freight pricin</w:t>
      </w:r>
      <w:r w:rsidR="00DE3F9A">
        <w:rPr>
          <w:rFonts w:ascii="Times New Roman" w:hAnsi="Times New Roman" w:cs="Times New Roman"/>
        </w:rPr>
        <w:t>g</w:t>
      </w:r>
      <w:r w:rsidRPr="00F3690D">
        <w:rPr>
          <w:rFonts w:ascii="Times New Roman" w:hAnsi="Times New Roman" w:cs="Times New Roman"/>
        </w:rPr>
        <w:t xml:space="preserve">. The factual record in </w:t>
      </w:r>
      <w:r w:rsidRPr="00F3690D">
        <w:rPr>
          <w:rFonts w:ascii="Times New Roman" w:hAnsi="Times New Roman" w:cs="Times New Roman"/>
          <w:i/>
          <w:iCs/>
        </w:rPr>
        <w:t xml:space="preserve">American President Lines, LLC v Matson Inc. </w:t>
      </w:r>
      <w:r w:rsidRPr="00F3690D">
        <w:rPr>
          <w:rFonts w:ascii="Times New Roman" w:hAnsi="Times New Roman" w:cs="Times New Roman"/>
        </w:rPr>
        <w:t xml:space="preserve">(2025) describes a loyalty program debuted by Matson in 2016 to customers shipping household goods designed </w:t>
      </w:r>
      <w:r w:rsidR="00DE3F9A">
        <w:rPr>
          <w:rFonts w:ascii="Times New Roman" w:hAnsi="Times New Roman" w:cs="Times New Roman"/>
        </w:rPr>
        <w:t xml:space="preserve">to </w:t>
      </w:r>
      <w:r w:rsidRPr="00F3690D">
        <w:rPr>
          <w:rFonts w:ascii="Times New Roman" w:hAnsi="Times New Roman" w:cs="Times New Roman"/>
        </w:rPr>
        <w:t>compete with Pasha. Customers who shipped at least 90 % of their household goods through Matsons were granted a 15% discount</w:t>
      </w:r>
      <w:r w:rsidR="00B11475">
        <w:rPr>
          <w:rFonts w:ascii="Times New Roman" w:hAnsi="Times New Roman" w:cs="Times New Roman"/>
        </w:rPr>
        <w:t xml:space="preserve"> with l</w:t>
      </w:r>
      <w:r w:rsidRPr="00F3690D">
        <w:rPr>
          <w:rFonts w:ascii="Times New Roman" w:hAnsi="Times New Roman" w:cs="Times New Roman"/>
        </w:rPr>
        <w:t xml:space="preserve">ater revisions </w:t>
      </w:r>
      <w:r w:rsidR="00B11475" w:rsidRPr="00F3690D">
        <w:rPr>
          <w:rFonts w:ascii="Times New Roman" w:hAnsi="Times New Roman" w:cs="Times New Roman"/>
        </w:rPr>
        <w:t>o</w:t>
      </w:r>
      <w:r w:rsidR="00B11475">
        <w:rPr>
          <w:rFonts w:ascii="Times New Roman" w:hAnsi="Times New Roman" w:cs="Times New Roman"/>
        </w:rPr>
        <w:t xml:space="preserve">ffering </w:t>
      </w:r>
      <w:r w:rsidRPr="00F3690D">
        <w:rPr>
          <w:rFonts w:ascii="Times New Roman" w:hAnsi="Times New Roman" w:cs="Times New Roman"/>
        </w:rPr>
        <w:t xml:space="preserve">up to 25%. These were economically meaningful price reductions directly tied to retaining customer volume in a market where Pasha was an alternative carrier. </w:t>
      </w:r>
      <w:r w:rsidR="002720B2">
        <w:rPr>
          <w:rFonts w:ascii="Times New Roman" w:hAnsi="Times New Roman" w:cs="Times New Roman"/>
        </w:rPr>
        <w:t xml:space="preserve"> However, this evidence cuts both ways as </w:t>
      </w:r>
      <w:r w:rsidR="005332F5">
        <w:rPr>
          <w:rFonts w:ascii="Times New Roman" w:hAnsi="Times New Roman" w:cs="Times New Roman"/>
        </w:rPr>
        <w:t xml:space="preserve">this competition lowered realized </w:t>
      </w:r>
      <w:r w:rsidR="000C1461">
        <w:rPr>
          <w:rFonts w:ascii="Times New Roman" w:hAnsi="Times New Roman" w:cs="Times New Roman"/>
        </w:rPr>
        <w:t>prices,</w:t>
      </w:r>
      <w:r w:rsidR="005332F5">
        <w:rPr>
          <w:rFonts w:ascii="Times New Roman" w:hAnsi="Times New Roman" w:cs="Times New Roman"/>
        </w:rPr>
        <w:t xml:space="preserve"> but loyalty pricing could make entry more expensive. </w:t>
      </w:r>
      <w:r w:rsidRPr="00F3690D">
        <w:rPr>
          <w:rFonts w:ascii="Times New Roman" w:hAnsi="Times New Roman" w:cs="Times New Roman"/>
        </w:rPr>
        <w:t xml:space="preserve"> </w:t>
      </w:r>
      <w:r w:rsidR="002B073C">
        <w:rPr>
          <w:rFonts w:ascii="Times New Roman" w:hAnsi="Times New Roman" w:cs="Times New Roman"/>
        </w:rPr>
        <w:t>M</w:t>
      </w:r>
      <w:r w:rsidR="002B073C" w:rsidRPr="002B073C">
        <w:rPr>
          <w:rFonts w:ascii="Times New Roman" w:hAnsi="Times New Roman" w:cs="Times New Roman"/>
        </w:rPr>
        <w:t>ore substitutes make demand facing an incumbent more elastic and reduce its</w:t>
      </w:r>
      <w:r w:rsidR="00E845CF">
        <w:rPr>
          <w:rFonts w:ascii="Times New Roman" w:hAnsi="Times New Roman" w:cs="Times New Roman"/>
        </w:rPr>
        <w:t xml:space="preserve"> </w:t>
      </w:r>
      <w:r w:rsidR="002B073C" w:rsidRPr="002B073C">
        <w:rPr>
          <w:rFonts w:ascii="Times New Roman" w:hAnsi="Times New Roman" w:cs="Times New Roman"/>
        </w:rPr>
        <w:t>ability to maintain a markup over marginal cost, the logic behind the Lerner index (Figure 2; Stauffer, 2026)</w:t>
      </w:r>
    </w:p>
    <w:p w14:paraId="03FCB20C" w14:textId="12A03DB7" w:rsidR="0039093F" w:rsidRDefault="003A6B5B" w:rsidP="006D5BF4">
      <w:pPr>
        <w:spacing w:line="480" w:lineRule="auto"/>
        <w:ind w:firstLine="720"/>
        <w:rPr>
          <w:rFonts w:ascii="Times New Roman" w:hAnsi="Times New Roman" w:cs="Times New Roman"/>
        </w:rPr>
      </w:pPr>
      <w:r w:rsidRPr="00F3690D">
        <w:rPr>
          <w:rFonts w:ascii="Times New Roman" w:hAnsi="Times New Roman" w:cs="Times New Roman"/>
        </w:rPr>
        <w:t xml:space="preserve">Guam provides a second example of the mechanism. After </w:t>
      </w:r>
      <w:r w:rsidR="00CA3BFE">
        <w:rPr>
          <w:rFonts w:ascii="Times New Roman" w:hAnsi="Times New Roman" w:cs="Times New Roman"/>
        </w:rPr>
        <w:t>APL</w:t>
      </w:r>
      <w:r w:rsidRPr="00F3690D">
        <w:rPr>
          <w:rFonts w:ascii="Times New Roman" w:hAnsi="Times New Roman" w:cs="Times New Roman"/>
        </w:rPr>
        <w:t xml:space="preserve"> entered the U.S – Guam trade</w:t>
      </w:r>
      <w:r w:rsidR="00C805AE" w:rsidRPr="00F3690D">
        <w:rPr>
          <w:rFonts w:ascii="Times New Roman" w:hAnsi="Times New Roman" w:cs="Times New Roman"/>
        </w:rPr>
        <w:t xml:space="preserve"> e</w:t>
      </w:r>
      <w:r w:rsidR="00590CA7" w:rsidRPr="00F3690D">
        <w:rPr>
          <w:rFonts w:ascii="Times New Roman" w:hAnsi="Times New Roman" w:cs="Times New Roman"/>
        </w:rPr>
        <w:t>nd of</w:t>
      </w:r>
      <w:r w:rsidR="00C805AE" w:rsidRPr="00F3690D">
        <w:rPr>
          <w:rFonts w:ascii="Times New Roman" w:hAnsi="Times New Roman" w:cs="Times New Roman"/>
        </w:rPr>
        <w:t xml:space="preserve"> 2015</w:t>
      </w:r>
      <w:r w:rsidRPr="00F3690D">
        <w:rPr>
          <w:rFonts w:ascii="Times New Roman" w:hAnsi="Times New Roman" w:cs="Times New Roman"/>
        </w:rPr>
        <w:t xml:space="preserve">, Matson’s market share fell from around 94% in 2016 to </w:t>
      </w:r>
      <w:r w:rsidR="0018727F" w:rsidRPr="00F3690D">
        <w:rPr>
          <w:rFonts w:ascii="Times New Roman" w:hAnsi="Times New Roman" w:cs="Times New Roman"/>
        </w:rPr>
        <w:t xml:space="preserve">82% in 2017 and 74% </w:t>
      </w:r>
      <w:r w:rsidR="0018727F" w:rsidRPr="00F3690D">
        <w:rPr>
          <w:rFonts w:ascii="Times New Roman" w:hAnsi="Times New Roman" w:cs="Times New Roman"/>
        </w:rPr>
        <w:lastRenderedPageBreak/>
        <w:t>in 2018</w:t>
      </w:r>
      <w:r w:rsidR="00E1242B">
        <w:rPr>
          <w:rFonts w:ascii="Times New Roman" w:hAnsi="Times New Roman" w:cs="Times New Roman"/>
        </w:rPr>
        <w:t>;</w:t>
      </w:r>
      <w:r w:rsidR="003B7808" w:rsidRPr="00F3690D">
        <w:rPr>
          <w:rFonts w:ascii="Times New Roman" w:hAnsi="Times New Roman" w:cs="Times New Roman"/>
        </w:rPr>
        <w:t xml:space="preserve"> 2025 court record </w:t>
      </w:r>
      <w:r w:rsidR="00F655A3">
        <w:rPr>
          <w:rFonts w:ascii="Times New Roman" w:hAnsi="Times New Roman" w:cs="Times New Roman"/>
        </w:rPr>
        <w:t xml:space="preserve">show that it has </w:t>
      </w:r>
      <w:r w:rsidR="00C27D09">
        <w:rPr>
          <w:rFonts w:ascii="Times New Roman" w:hAnsi="Times New Roman" w:cs="Times New Roman"/>
        </w:rPr>
        <w:t>continued</w:t>
      </w:r>
      <w:r w:rsidR="00F655A3">
        <w:rPr>
          <w:rFonts w:ascii="Times New Roman" w:hAnsi="Times New Roman" w:cs="Times New Roman"/>
        </w:rPr>
        <w:t xml:space="preserve"> to hover around</w:t>
      </w:r>
      <w:r w:rsidR="006454DF" w:rsidRPr="00F3690D">
        <w:rPr>
          <w:rFonts w:ascii="Times New Roman" w:hAnsi="Times New Roman" w:cs="Times New Roman"/>
        </w:rPr>
        <w:t xml:space="preserve"> 70% (Figure 1)</w:t>
      </w:r>
      <w:r w:rsidR="00503303" w:rsidRPr="00F3690D">
        <w:rPr>
          <w:rFonts w:ascii="Times New Roman" w:hAnsi="Times New Roman" w:cs="Times New Roman"/>
        </w:rPr>
        <w:t>.</w:t>
      </w:r>
      <w:r w:rsidR="00F06067">
        <w:rPr>
          <w:rFonts w:ascii="Times New Roman" w:hAnsi="Times New Roman" w:cs="Times New Roman"/>
        </w:rPr>
        <w:t xml:space="preserve"> Post APL entry,</w:t>
      </w:r>
      <w:r w:rsidR="00503303" w:rsidRPr="00F3690D">
        <w:rPr>
          <w:rFonts w:ascii="Times New Roman" w:hAnsi="Times New Roman" w:cs="Times New Roman"/>
        </w:rPr>
        <w:t xml:space="preserve"> </w:t>
      </w:r>
      <w:r w:rsidR="006D5BF4">
        <w:rPr>
          <w:rFonts w:ascii="Times New Roman" w:hAnsi="Times New Roman"/>
        </w:rPr>
        <w:t>Home Depot initially allocated only 10% of its Guam volume to APL even though APL was about 40% cheaper because transit was roughly seven days longer. Matson’s former Vice President of Pricing also testified that Matson sometimes adjusted Pacific Northwest prices in response to APL’s Oakland pricing. Guam is imperfect evidence, but share loss, switching and incumbent price adjustment all support the mechanism.</w:t>
      </w:r>
    </w:p>
    <w:p w14:paraId="644681AE" w14:textId="7A43540F" w:rsidR="003A6B5B" w:rsidRPr="00F3690D" w:rsidRDefault="003A6B5B" w:rsidP="0039093F">
      <w:pPr>
        <w:spacing w:line="480" w:lineRule="auto"/>
        <w:rPr>
          <w:rFonts w:ascii="Times New Roman" w:hAnsi="Times New Roman" w:cs="Times New Roman"/>
          <w:b/>
          <w:bCs/>
        </w:rPr>
      </w:pPr>
      <w:r w:rsidRPr="00F3690D">
        <w:rPr>
          <w:rFonts w:ascii="Times New Roman" w:hAnsi="Times New Roman" w:cs="Times New Roman"/>
          <w:b/>
          <w:bCs/>
        </w:rPr>
        <w:t>Westbound Pricing Discrepancy is Counterevidence, Not Necessarily a Jones Act Premium</w:t>
      </w:r>
    </w:p>
    <w:p w14:paraId="4B9F30DA" w14:textId="5E4ADBE5" w:rsidR="003A6B5B" w:rsidRPr="00F3690D" w:rsidRDefault="00756549" w:rsidP="003A6B5B">
      <w:pPr>
        <w:spacing w:line="480" w:lineRule="auto"/>
        <w:rPr>
          <w:rFonts w:ascii="Times New Roman" w:hAnsi="Times New Roman" w:cs="Times New Roman"/>
        </w:rPr>
      </w:pPr>
      <w:r w:rsidRPr="00F3690D">
        <w:rPr>
          <w:rFonts w:ascii="Times New Roman" w:hAnsi="Times New Roman" w:cs="Times New Roman"/>
        </w:rPr>
        <w:tab/>
        <w:t>Matson</w:t>
      </w:r>
      <w:r w:rsidR="00E46E58" w:rsidRPr="00F3690D">
        <w:rPr>
          <w:rFonts w:ascii="Times New Roman" w:hAnsi="Times New Roman" w:cs="Times New Roman"/>
        </w:rPr>
        <w:t>’s</w:t>
      </w:r>
      <w:r w:rsidRPr="00F3690D">
        <w:rPr>
          <w:rFonts w:ascii="Times New Roman" w:hAnsi="Times New Roman" w:cs="Times New Roman"/>
        </w:rPr>
        <w:t xml:space="preserve"> household goods rates show a large directional discrepanc</w:t>
      </w:r>
      <w:r w:rsidR="00102992">
        <w:rPr>
          <w:rFonts w:ascii="Times New Roman" w:hAnsi="Times New Roman" w:cs="Times New Roman"/>
        </w:rPr>
        <w:t>y</w:t>
      </w:r>
      <w:r w:rsidR="00235059">
        <w:rPr>
          <w:rFonts w:ascii="Times New Roman" w:hAnsi="Times New Roman" w:cs="Times New Roman"/>
        </w:rPr>
        <w:t xml:space="preserve"> for Hawai’i</w:t>
      </w:r>
      <w:r w:rsidR="00F04895" w:rsidRPr="00F3690D">
        <w:rPr>
          <w:rFonts w:ascii="Times New Roman" w:hAnsi="Times New Roman" w:cs="Times New Roman"/>
        </w:rPr>
        <w:t xml:space="preserve">. In 2025, the base rate for a 40ft container was $7,276 </w:t>
      </w:r>
      <w:r w:rsidR="007936DC">
        <w:rPr>
          <w:rFonts w:ascii="Times New Roman" w:hAnsi="Times New Roman" w:cs="Times New Roman"/>
        </w:rPr>
        <w:t xml:space="preserve">westbound and </w:t>
      </w:r>
      <w:r w:rsidR="00F04895" w:rsidRPr="00F3690D">
        <w:rPr>
          <w:rFonts w:ascii="Times New Roman" w:hAnsi="Times New Roman" w:cs="Times New Roman"/>
        </w:rPr>
        <w:t>$</w:t>
      </w:r>
      <w:r w:rsidR="000129F0" w:rsidRPr="00F3690D">
        <w:rPr>
          <w:rFonts w:ascii="Times New Roman" w:hAnsi="Times New Roman" w:cs="Times New Roman"/>
        </w:rPr>
        <w:t>4,254</w:t>
      </w:r>
      <w:r w:rsidR="007936DC">
        <w:rPr>
          <w:rFonts w:ascii="Times New Roman" w:hAnsi="Times New Roman" w:cs="Times New Roman"/>
        </w:rPr>
        <w:t xml:space="preserve"> eastbound</w:t>
      </w:r>
      <w:r w:rsidR="000129F0" w:rsidRPr="00F3690D">
        <w:rPr>
          <w:rFonts w:ascii="Times New Roman" w:hAnsi="Times New Roman" w:cs="Times New Roman"/>
        </w:rPr>
        <w:t>.</w:t>
      </w:r>
      <w:r w:rsidR="00E0732F" w:rsidRPr="00F3690D">
        <w:rPr>
          <w:rFonts w:ascii="Times New Roman" w:hAnsi="Times New Roman" w:cs="Times New Roman"/>
        </w:rPr>
        <w:t xml:space="preserve"> In 2026, the same rates were $7,476 </w:t>
      </w:r>
      <w:r w:rsidR="006B63CC" w:rsidRPr="00F3690D">
        <w:rPr>
          <w:rFonts w:ascii="Times New Roman" w:hAnsi="Times New Roman" w:cs="Times New Roman"/>
        </w:rPr>
        <w:t>and</w:t>
      </w:r>
      <w:r w:rsidR="00E0732F" w:rsidRPr="00F3690D">
        <w:rPr>
          <w:rFonts w:ascii="Times New Roman" w:hAnsi="Times New Roman" w:cs="Times New Roman"/>
        </w:rPr>
        <w:t xml:space="preserve"> $</w:t>
      </w:r>
      <w:r w:rsidR="006B63CC" w:rsidRPr="00F3690D">
        <w:rPr>
          <w:rFonts w:ascii="Times New Roman" w:hAnsi="Times New Roman" w:cs="Times New Roman"/>
        </w:rPr>
        <w:t>4,354 respectively</w:t>
      </w:r>
      <w:r w:rsidR="00590AD1">
        <w:rPr>
          <w:rFonts w:ascii="Times New Roman" w:hAnsi="Times New Roman" w:cs="Times New Roman"/>
        </w:rPr>
        <w:t xml:space="preserve"> (</w:t>
      </w:r>
      <w:r w:rsidR="00590AD1" w:rsidRPr="00590AD1">
        <w:rPr>
          <w:rFonts w:ascii="Times New Roman" w:hAnsi="Times New Roman" w:cs="Times New Roman"/>
        </w:rPr>
        <w:t>Matson Navigation Company, 2025, 2026)</w:t>
      </w:r>
      <w:r w:rsidR="00590AD1">
        <w:rPr>
          <w:rFonts w:ascii="Times New Roman" w:hAnsi="Times New Roman" w:cs="Times New Roman"/>
        </w:rPr>
        <w:t>.</w:t>
      </w:r>
      <w:r w:rsidR="006B63CC" w:rsidRPr="00F3690D">
        <w:rPr>
          <w:rFonts w:ascii="Times New Roman" w:hAnsi="Times New Roman" w:cs="Times New Roman"/>
        </w:rPr>
        <w:t xml:space="preserve"> The westbound rate was 71% higher in both years</w:t>
      </w:r>
      <w:r w:rsidR="002245BD" w:rsidRPr="00F3690D">
        <w:rPr>
          <w:rFonts w:ascii="Times New Roman" w:hAnsi="Times New Roman" w:cs="Times New Roman"/>
        </w:rPr>
        <w:t xml:space="preserve">. </w:t>
      </w:r>
      <w:r w:rsidR="00AE242F">
        <w:rPr>
          <w:rFonts w:ascii="Times New Roman" w:hAnsi="Times New Roman" w:cs="Times New Roman"/>
        </w:rPr>
        <w:t>B</w:t>
      </w:r>
      <w:r w:rsidR="002245BD" w:rsidRPr="00F3690D">
        <w:rPr>
          <w:rFonts w:ascii="Times New Roman" w:hAnsi="Times New Roman" w:cs="Times New Roman"/>
        </w:rPr>
        <w:t>oth directions operate under the same coastwise law</w:t>
      </w:r>
      <w:r w:rsidR="00AE242F">
        <w:rPr>
          <w:rFonts w:ascii="Times New Roman" w:hAnsi="Times New Roman" w:cs="Times New Roman"/>
        </w:rPr>
        <w:t>s</w:t>
      </w:r>
      <w:r w:rsidR="002245BD" w:rsidRPr="00F3690D">
        <w:rPr>
          <w:rFonts w:ascii="Times New Roman" w:hAnsi="Times New Roman" w:cs="Times New Roman"/>
        </w:rPr>
        <w:t xml:space="preserve"> and carrier market, </w:t>
      </w:r>
      <w:r w:rsidR="00CD26AE">
        <w:rPr>
          <w:rFonts w:ascii="Times New Roman" w:hAnsi="Times New Roman" w:cs="Times New Roman"/>
        </w:rPr>
        <w:t xml:space="preserve">so the gap cannot be </w:t>
      </w:r>
      <w:r w:rsidR="002245BD" w:rsidRPr="00F3690D">
        <w:rPr>
          <w:rFonts w:ascii="Times New Roman" w:hAnsi="Times New Roman" w:cs="Times New Roman"/>
        </w:rPr>
        <w:t>identif</w:t>
      </w:r>
      <w:r w:rsidR="00CD26AE">
        <w:rPr>
          <w:rFonts w:ascii="Times New Roman" w:hAnsi="Times New Roman" w:cs="Times New Roman"/>
        </w:rPr>
        <w:t>ied as</w:t>
      </w:r>
      <w:r w:rsidR="002245BD" w:rsidRPr="00F3690D">
        <w:rPr>
          <w:rFonts w:ascii="Times New Roman" w:hAnsi="Times New Roman" w:cs="Times New Roman"/>
        </w:rPr>
        <w:t xml:space="preserve"> a Jones </w:t>
      </w:r>
      <w:r w:rsidR="00931F3E" w:rsidRPr="00F3690D">
        <w:rPr>
          <w:rFonts w:ascii="Times New Roman" w:hAnsi="Times New Roman" w:cs="Times New Roman"/>
        </w:rPr>
        <w:t xml:space="preserve">Act premium. </w:t>
      </w:r>
    </w:p>
    <w:p w14:paraId="480DAF8A" w14:textId="03CF7FF8" w:rsidR="00B22C4A" w:rsidRDefault="00931F3E" w:rsidP="003A6B5B">
      <w:pPr>
        <w:spacing w:line="480" w:lineRule="auto"/>
        <w:rPr>
          <w:rFonts w:ascii="Times New Roman" w:hAnsi="Times New Roman" w:cs="Times New Roman"/>
        </w:rPr>
      </w:pPr>
      <w:r w:rsidRPr="00F3690D">
        <w:rPr>
          <w:rFonts w:ascii="Times New Roman" w:hAnsi="Times New Roman" w:cs="Times New Roman"/>
        </w:rPr>
        <w:tab/>
      </w:r>
      <w:r w:rsidR="00103B2E">
        <w:rPr>
          <w:rFonts w:ascii="Times New Roman" w:hAnsi="Times New Roman" w:cs="Times New Roman"/>
        </w:rPr>
        <w:t xml:space="preserve">HDOT’s freight data </w:t>
      </w:r>
      <w:r w:rsidR="00B22C4A">
        <w:rPr>
          <w:rFonts w:ascii="Times New Roman" w:hAnsi="Times New Roman" w:cs="Times New Roman"/>
        </w:rPr>
        <w:t xml:space="preserve">shows Hawai’i importing far more </w:t>
      </w:r>
      <w:r w:rsidR="00581007">
        <w:rPr>
          <w:rFonts w:ascii="Times New Roman" w:hAnsi="Times New Roman" w:cs="Times New Roman"/>
        </w:rPr>
        <w:t>domestic tonnage than it exports, consistent with</w:t>
      </w:r>
      <w:r w:rsidR="00B6231C">
        <w:rPr>
          <w:rFonts w:ascii="Times New Roman" w:hAnsi="Times New Roman" w:cs="Times New Roman"/>
        </w:rPr>
        <w:t xml:space="preserve"> </w:t>
      </w:r>
      <w:r w:rsidR="005C0B95">
        <w:rPr>
          <w:rFonts w:ascii="Times New Roman" w:hAnsi="Times New Roman" w:cs="Times New Roman"/>
        </w:rPr>
        <w:t>unused eastbound back</w:t>
      </w:r>
      <w:r w:rsidR="00E43881">
        <w:rPr>
          <w:rFonts w:ascii="Times New Roman" w:hAnsi="Times New Roman" w:cs="Times New Roman"/>
        </w:rPr>
        <w:t xml:space="preserve">haul capacity (HDOT, 2019). The gap fits normal round-trip </w:t>
      </w:r>
      <w:r w:rsidR="00C074DB">
        <w:rPr>
          <w:rFonts w:ascii="Times New Roman" w:hAnsi="Times New Roman" w:cs="Times New Roman"/>
        </w:rPr>
        <w:t>cost pricing with or without market power, limiting how much competition alone can lower westbound rates.</w:t>
      </w:r>
      <w:r w:rsidR="00EB4F75">
        <w:rPr>
          <w:rFonts w:ascii="Times New Roman" w:hAnsi="Times New Roman"/>
        </w:rPr>
        <w:t xml:space="preserve"> GAO (2022) also reported generally stable rates and that seven of nine industry entities interviewed viewed carrier numbers as adequate. The interviews were not generalizable, but they are real counterevidence</w:t>
      </w:r>
    </w:p>
    <w:p w14:paraId="7127ECA3" w14:textId="77777777" w:rsidR="00A604FA" w:rsidRDefault="00A604FA" w:rsidP="00A604FA">
      <w:pPr>
        <w:spacing w:line="480" w:lineRule="auto"/>
        <w:jc w:val="center"/>
        <w:rPr>
          <w:rFonts w:ascii="Times New Roman" w:hAnsi="Times New Roman" w:cs="Times New Roman"/>
          <w:b/>
          <w:bCs/>
        </w:rPr>
      </w:pPr>
      <w:r>
        <w:rPr>
          <w:rFonts w:ascii="Times New Roman" w:hAnsi="Times New Roman"/>
          <w:b/>
        </w:rPr>
        <w:t>The Strongest In-Scope Objection Is That Foreign Carriers May Not Enter</w:t>
      </w:r>
    </w:p>
    <w:p w14:paraId="1E7BA82B" w14:textId="77777777" w:rsidR="004C1F75" w:rsidRPr="004C1F75" w:rsidRDefault="00A604FA" w:rsidP="004C1F75">
      <w:pPr>
        <w:spacing w:line="480" w:lineRule="auto"/>
        <w:rPr>
          <w:rFonts w:ascii="Times New Roman" w:hAnsi="Times New Roman"/>
        </w:rPr>
      </w:pPr>
      <w:r>
        <w:rPr>
          <w:rFonts w:ascii="Times New Roman" w:hAnsi="Times New Roman"/>
        </w:rPr>
        <w:tab/>
      </w:r>
      <w:r w:rsidR="004C1F75" w:rsidRPr="004C1F75">
        <w:rPr>
          <w:rFonts w:ascii="Times New Roman" w:hAnsi="Times New Roman"/>
        </w:rPr>
        <w:t xml:space="preserve">The strongest objection is that removing the legal restriction may not change the market at all. Foreign carriers still face added transit time, service-frequency disadvantages, switching costs and the basic economics of serving Hawaiʻi. The Guam evidence reinforces that limitation: even with materially lower prices, customers did not immediately shift large volumes to APL. If </w:t>
      </w:r>
      <w:r w:rsidR="004C1F75" w:rsidRPr="004C1F75">
        <w:rPr>
          <w:rFonts w:ascii="Times New Roman" w:hAnsi="Times New Roman"/>
        </w:rPr>
        <w:lastRenderedPageBreak/>
        <w:t>no carrier enters, or if entrants cannot attract meaningful cargo, there is no reason to expect incumbent pricing to change. For that reason, the case for an exemption depends on actual entry and competitive response rather than legal eligibility alone.</w:t>
      </w:r>
    </w:p>
    <w:p w14:paraId="27D0C34C" w14:textId="7D72B5D1" w:rsidR="004C1F75" w:rsidRDefault="004C1F75" w:rsidP="00F05739">
      <w:pPr>
        <w:spacing w:line="480" w:lineRule="auto"/>
        <w:ind w:firstLine="720"/>
        <w:rPr>
          <w:rFonts w:ascii="Times New Roman" w:hAnsi="Times New Roman"/>
        </w:rPr>
      </w:pPr>
      <w:r w:rsidRPr="004C1F75">
        <w:rPr>
          <w:rFonts w:ascii="Times New Roman" w:hAnsi="Times New Roman"/>
        </w:rPr>
        <w:t xml:space="preserve">National security remains a real </w:t>
      </w:r>
      <w:r w:rsidR="00611A44" w:rsidRPr="004C1F75">
        <w:rPr>
          <w:rFonts w:ascii="Times New Roman" w:hAnsi="Times New Roman"/>
        </w:rPr>
        <w:t>cost of policy</w:t>
      </w:r>
      <w:r w:rsidRPr="004C1F75">
        <w:rPr>
          <w:rFonts w:ascii="Times New Roman" w:hAnsi="Times New Roman"/>
        </w:rPr>
        <w:t>. The Jones Act is also defended on merchant-marine and military-sealift grounds (GAO, 2022</w:t>
      </w:r>
      <w:proofErr w:type="gramStart"/>
      <w:r w:rsidRPr="004C1F75">
        <w:rPr>
          <w:rFonts w:ascii="Times New Roman" w:hAnsi="Times New Roman"/>
        </w:rPr>
        <w:t>),but</w:t>
      </w:r>
      <w:proofErr w:type="gramEnd"/>
      <w:r w:rsidRPr="004C1F75">
        <w:rPr>
          <w:rFonts w:ascii="Times New Roman" w:hAnsi="Times New Roman"/>
        </w:rPr>
        <w:t xml:space="preserve"> valuing U.S.-flag capacity in a crisis is outside this paper’s freight-rate question. Hawaiʻi’s delegation would still need to weigh that cost separately; my recommendation is limited to freight-rate grounds.</w:t>
      </w:r>
    </w:p>
    <w:p w14:paraId="28965ACA" w14:textId="29BE3EF9" w:rsidR="007341EA" w:rsidRPr="00F3690D" w:rsidRDefault="007341EA" w:rsidP="007341EA">
      <w:pPr>
        <w:spacing w:line="480" w:lineRule="auto"/>
        <w:jc w:val="center"/>
        <w:rPr>
          <w:rFonts w:ascii="Times New Roman" w:hAnsi="Times New Roman" w:cs="Times New Roman"/>
          <w:b/>
          <w:bCs/>
        </w:rPr>
      </w:pPr>
      <w:r w:rsidRPr="00F3690D">
        <w:rPr>
          <w:rFonts w:ascii="Times New Roman" w:hAnsi="Times New Roman" w:cs="Times New Roman"/>
          <w:b/>
          <w:bCs/>
        </w:rPr>
        <w:t>Decision Rule and Recommendation</w:t>
      </w:r>
    </w:p>
    <w:p w14:paraId="74A6B1DF" w14:textId="77777777" w:rsidR="007A56AD" w:rsidRPr="00F3690D" w:rsidRDefault="007A56AD" w:rsidP="007A56AD">
      <w:pPr>
        <w:spacing w:line="480" w:lineRule="auto"/>
        <w:rPr>
          <w:rFonts w:ascii="Times New Roman" w:hAnsi="Times New Roman" w:cs="Times New Roman"/>
        </w:rPr>
      </w:pPr>
      <w:r>
        <w:rPr>
          <w:rFonts w:ascii="Times New Roman" w:hAnsi="Times New Roman"/>
        </w:rPr>
        <w:tab/>
        <w:t>On freight-rate grounds, I would recommend against an exemption if a credible entrant showed neither meaningful customer volume nor a measurable incumbent pricing response, or if foreign carriers had no economic reason to compete for domestic Hawaiʻi cargo after becoming eligible. In that case, changing eligibility would have no effect on rates. The evidence does not meet those failure criteria: Pasha competition produced material Matson discounting in Hawaiʻi, while APL’s Guam entry coincided with lost Matson share and documented pricing responses.</w:t>
      </w:r>
    </w:p>
    <w:p w14:paraId="1960C9AA" w14:textId="5B6FFCD8" w:rsidR="00014D8F" w:rsidRDefault="005363FB" w:rsidP="007E6599">
      <w:pPr>
        <w:spacing w:line="480" w:lineRule="auto"/>
        <w:ind w:firstLine="720"/>
        <w:rPr>
          <w:rFonts w:ascii="Times New Roman" w:hAnsi="Times New Roman" w:cs="Times New Roman"/>
        </w:rPr>
      </w:pPr>
      <w:r>
        <w:rPr>
          <w:rFonts w:ascii="Times New Roman" w:hAnsi="Times New Roman"/>
        </w:rPr>
        <w:t>For Hawaiʻi’s congressional delegation, the likely outcomes are more useful than one savings estimate.</w:t>
      </w:r>
      <w:r>
        <w:rPr>
          <w:rFonts w:ascii="Times New Roman" w:hAnsi="Times New Roman"/>
        </w:rPr>
        <w:t xml:space="preserve"> </w:t>
      </w:r>
      <w:r w:rsidR="001029F9">
        <w:rPr>
          <w:rFonts w:ascii="Times New Roman" w:hAnsi="Times New Roman" w:cs="Times New Roman"/>
        </w:rPr>
        <w:t xml:space="preserve">If a carrier adds or uses a West Coast – Honolulu leg, pressure </w:t>
      </w:r>
      <w:r w:rsidR="00F13865">
        <w:rPr>
          <w:rFonts w:ascii="Times New Roman" w:hAnsi="Times New Roman" w:cs="Times New Roman"/>
        </w:rPr>
        <w:t>should be greatest on non-urgent westbound cargo where empty capacity exists.</w:t>
      </w:r>
      <w:r w:rsidR="00014D8F">
        <w:rPr>
          <w:rFonts w:ascii="Times New Roman" w:hAnsi="Times New Roman" w:cs="Times New Roman"/>
        </w:rPr>
        <w:t xml:space="preserve"> If no carrier enters the market, nothing changes. If Matson or Pasha respond to competition with loyalty pricing, large shippers may pay less but the cost of switching becomes </w:t>
      </w:r>
      <w:r w:rsidR="00C649F2">
        <w:rPr>
          <w:rFonts w:ascii="Times New Roman" w:hAnsi="Times New Roman" w:cs="Times New Roman"/>
        </w:rPr>
        <w:t>higher,</w:t>
      </w:r>
      <w:r w:rsidR="00014D8F">
        <w:rPr>
          <w:rFonts w:ascii="Times New Roman" w:hAnsi="Times New Roman" w:cs="Times New Roman"/>
        </w:rPr>
        <w:t xml:space="preserve"> and market entry may become less durable. </w:t>
      </w:r>
      <w:r w:rsidR="0075166D">
        <w:rPr>
          <w:rFonts w:ascii="Times New Roman" w:hAnsi="Times New Roman" w:cs="Times New Roman"/>
        </w:rPr>
        <w:t xml:space="preserve">Scale, service frequency, and the directional gap remain. </w:t>
      </w:r>
      <w:r w:rsidR="00B46E85">
        <w:rPr>
          <w:rFonts w:ascii="Times New Roman" w:hAnsi="Times New Roman"/>
        </w:rPr>
        <w:t xml:space="preserve">On freight-rate grounds, I would support a narrow </w:t>
      </w:r>
      <w:r w:rsidR="00BD4E69">
        <w:rPr>
          <w:rFonts w:ascii="Times New Roman" w:hAnsi="Times New Roman"/>
        </w:rPr>
        <w:t>Honolulu – West Coast</w:t>
      </w:r>
      <w:r w:rsidR="00B46E85">
        <w:rPr>
          <w:rFonts w:ascii="Times New Roman" w:hAnsi="Times New Roman"/>
        </w:rPr>
        <w:t xml:space="preserve"> container exemption followed by measurement of entry, realized prices and sailing frequenc</w:t>
      </w:r>
      <w:r w:rsidR="00BD4E69">
        <w:rPr>
          <w:rFonts w:ascii="Times New Roman" w:hAnsi="Times New Roman"/>
        </w:rPr>
        <w:t>y.</w:t>
      </w:r>
      <w:r w:rsidR="00B46E85">
        <w:rPr>
          <w:rFonts w:ascii="Times New Roman" w:hAnsi="Times New Roman"/>
        </w:rPr>
        <w:t xml:space="preserve"> </w:t>
      </w:r>
      <w:r w:rsidR="00BD4E69">
        <w:rPr>
          <w:rFonts w:ascii="Times New Roman" w:hAnsi="Times New Roman"/>
        </w:rPr>
        <w:t>T</w:t>
      </w:r>
      <w:r w:rsidR="00B46E85">
        <w:rPr>
          <w:rFonts w:ascii="Times New Roman" w:hAnsi="Times New Roman"/>
        </w:rPr>
        <w:t xml:space="preserve">he size of any </w:t>
      </w:r>
      <w:r w:rsidR="00BD4E69">
        <w:rPr>
          <w:rFonts w:ascii="Times New Roman" w:hAnsi="Times New Roman"/>
        </w:rPr>
        <w:t>savings,</w:t>
      </w:r>
      <w:r w:rsidR="00B46E85">
        <w:rPr>
          <w:rFonts w:ascii="Times New Roman" w:hAnsi="Times New Roman"/>
        </w:rPr>
        <w:t xml:space="preserve"> </w:t>
      </w:r>
      <w:r w:rsidR="00BD4E69">
        <w:rPr>
          <w:rFonts w:ascii="Times New Roman" w:hAnsi="Times New Roman"/>
        </w:rPr>
        <w:t xml:space="preserve">however, </w:t>
      </w:r>
      <w:r w:rsidR="00B46E85">
        <w:rPr>
          <w:rFonts w:ascii="Times New Roman" w:hAnsi="Times New Roman"/>
        </w:rPr>
        <w:t>is uncertain</w:t>
      </w:r>
      <w:r w:rsidR="00BD4E69">
        <w:rPr>
          <w:rFonts w:ascii="Times New Roman" w:hAnsi="Times New Roman"/>
        </w:rPr>
        <w:t>.</w:t>
      </w:r>
    </w:p>
    <w:p w14:paraId="7EA84F90" w14:textId="77777777" w:rsidR="00014D8F" w:rsidRPr="00F3690D" w:rsidRDefault="00014D8F" w:rsidP="00172E24">
      <w:pPr>
        <w:spacing w:line="480" w:lineRule="auto"/>
        <w:ind w:firstLine="720"/>
        <w:rPr>
          <w:rFonts w:ascii="Times New Roman" w:hAnsi="Times New Roman" w:cs="Times New Roman"/>
        </w:rPr>
      </w:pPr>
    </w:p>
    <w:p w14:paraId="308D6229" w14:textId="77777777" w:rsidR="006F6036" w:rsidRPr="00F3690D" w:rsidRDefault="006F6036" w:rsidP="006F6036">
      <w:pPr>
        <w:jc w:val="center"/>
        <w:rPr>
          <w:rFonts w:ascii="Times New Roman" w:hAnsi="Times New Roman" w:cs="Times New Roman"/>
        </w:rPr>
      </w:pPr>
      <w:r w:rsidRPr="00F3690D">
        <w:rPr>
          <w:rFonts w:ascii="Times New Roman" w:hAnsi="Times New Roman" w:cs="Times New Roman"/>
          <w:b/>
          <w:sz w:val="28"/>
        </w:rPr>
        <w:lastRenderedPageBreak/>
        <w:t>Figures</w:t>
      </w:r>
    </w:p>
    <w:p w14:paraId="3AFB9C55" w14:textId="77777777" w:rsidR="006F6036" w:rsidRPr="00F3690D" w:rsidRDefault="006F6036" w:rsidP="006F6036">
      <w:pPr>
        <w:jc w:val="center"/>
        <w:rPr>
          <w:rFonts w:ascii="Times New Roman" w:hAnsi="Times New Roman" w:cs="Times New Roman"/>
        </w:rPr>
      </w:pPr>
      <w:r w:rsidRPr="00F3690D">
        <w:rPr>
          <w:rFonts w:ascii="Times New Roman" w:hAnsi="Times New Roman" w:cs="Times New Roman"/>
          <w:noProof/>
        </w:rPr>
        <w:drawing>
          <wp:inline distT="0" distB="0" distL="0" distR="0" wp14:anchorId="7E142C36" wp14:editId="3EF43E78">
            <wp:extent cx="4529012" cy="2729019"/>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guam_share.png"/>
                    <pic:cNvPicPr/>
                  </pic:nvPicPr>
                  <pic:blipFill>
                    <a:blip r:embed="rId6"/>
                    <a:stretch>
                      <a:fillRect/>
                    </a:stretch>
                  </pic:blipFill>
                  <pic:spPr>
                    <a:xfrm>
                      <a:off x="0" y="0"/>
                      <a:ext cx="4565875" cy="2751231"/>
                    </a:xfrm>
                    <a:prstGeom prst="rect">
                      <a:avLst/>
                    </a:prstGeom>
                  </pic:spPr>
                </pic:pic>
              </a:graphicData>
            </a:graphic>
          </wp:inline>
        </w:drawing>
      </w:r>
    </w:p>
    <w:p w14:paraId="61A93B43" w14:textId="77777777" w:rsidR="006F6036" w:rsidRPr="00F3690D" w:rsidRDefault="006F6036" w:rsidP="006F6036">
      <w:pPr>
        <w:spacing w:after="80"/>
        <w:rPr>
          <w:rFonts w:ascii="Times New Roman" w:hAnsi="Times New Roman" w:cs="Times New Roman"/>
        </w:rPr>
      </w:pPr>
      <w:r w:rsidRPr="00F3690D">
        <w:rPr>
          <w:rFonts w:ascii="Times New Roman" w:hAnsi="Times New Roman" w:cs="Times New Roman"/>
          <w:b/>
        </w:rPr>
        <w:t>Figure 1. Matson U.S.–Guam market share after APL entry.</w:t>
      </w:r>
    </w:p>
    <w:p w14:paraId="34535B59" w14:textId="77777777" w:rsidR="006F6036" w:rsidRPr="00F3690D" w:rsidRDefault="006F6036" w:rsidP="006F6036">
      <w:pPr>
        <w:spacing w:after="160"/>
        <w:rPr>
          <w:rFonts w:ascii="Times New Roman" w:hAnsi="Times New Roman" w:cs="Times New Roman"/>
        </w:rPr>
      </w:pPr>
      <w:r w:rsidRPr="00F3690D">
        <w:rPr>
          <w:rFonts w:ascii="Times New Roman" w:hAnsi="Times New Roman" w:cs="Times New Roman"/>
        </w:rPr>
        <w:t>Note. Matson’s U.S.–Guam market share fell from approximately 94% in 2016 to 82% in 2017 and 74% in 2018 after APL entered the trade. A 2025 federal court opinion describes Matson as currently handling roughly 70% of U.S.–Guam shipping volume. The dotted segment indicates that annual observations between 2018 and the latest public figure are not plotted. Guam is comparator evidence for the competition mechanism, not a causal estimate for Hawaiʻi.</w:t>
      </w:r>
    </w:p>
    <w:p w14:paraId="6ACA92B0" w14:textId="77777777" w:rsidR="006C1CD4" w:rsidRPr="00F3690D" w:rsidRDefault="006C1CD4" w:rsidP="006C1CD4">
      <w:pPr>
        <w:jc w:val="center"/>
        <w:rPr>
          <w:rFonts w:ascii="Times New Roman" w:hAnsi="Times New Roman" w:cs="Times New Roman"/>
        </w:rPr>
      </w:pPr>
      <w:r w:rsidRPr="00F3690D">
        <w:rPr>
          <w:rFonts w:ascii="Times New Roman" w:hAnsi="Times New Roman" w:cs="Times New Roman"/>
          <w:noProof/>
        </w:rPr>
        <w:drawing>
          <wp:inline distT="0" distB="0" distL="0" distR="0" wp14:anchorId="0B6D5715" wp14:editId="3F45C395">
            <wp:extent cx="4940135" cy="2705385"/>
            <wp:effectExtent l="0" t="0" r="0" b="0"/>
            <wp:docPr id="2" name="Picture 2" descr="Conceptual economics diagram showing a steeper incumbent demand curve with fewer substitutes and a flatter lower demand curve after additional carrier entry, illustrating greater elasticity and lower pricing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substitutes_elasticity.png"/>
                    <pic:cNvPicPr/>
                  </pic:nvPicPr>
                  <pic:blipFill>
                    <a:blip r:embed="rId7"/>
                    <a:stretch>
                      <a:fillRect/>
                    </a:stretch>
                  </pic:blipFill>
                  <pic:spPr>
                    <a:xfrm>
                      <a:off x="0" y="0"/>
                      <a:ext cx="4952276" cy="2712034"/>
                    </a:xfrm>
                    <a:prstGeom prst="rect">
                      <a:avLst/>
                    </a:prstGeom>
                  </pic:spPr>
                </pic:pic>
              </a:graphicData>
            </a:graphic>
          </wp:inline>
        </w:drawing>
      </w:r>
    </w:p>
    <w:p w14:paraId="786A6784" w14:textId="77777777" w:rsidR="006C1CD4" w:rsidRPr="00F3690D" w:rsidRDefault="006C1CD4" w:rsidP="006C1CD4">
      <w:pPr>
        <w:spacing w:after="80"/>
        <w:rPr>
          <w:rFonts w:ascii="Times New Roman" w:hAnsi="Times New Roman" w:cs="Times New Roman"/>
        </w:rPr>
      </w:pPr>
      <w:r w:rsidRPr="00F3690D">
        <w:rPr>
          <w:rFonts w:ascii="Times New Roman" w:hAnsi="Times New Roman" w:cs="Times New Roman"/>
          <w:b/>
        </w:rPr>
        <w:t>Figure 2. More credible substitutes make incumbent demand more elastic.</w:t>
      </w:r>
    </w:p>
    <w:p w14:paraId="0CE4D5A8" w14:textId="1215E770" w:rsidR="00ED29E5" w:rsidRPr="00F3690D" w:rsidRDefault="006C1CD4">
      <w:pPr>
        <w:rPr>
          <w:rFonts w:ascii="Times New Roman" w:hAnsi="Times New Roman" w:cs="Times New Roman"/>
        </w:rPr>
      </w:pPr>
      <w:r w:rsidRPr="00F3690D">
        <w:rPr>
          <w:rFonts w:ascii="Times New Roman" w:hAnsi="Times New Roman" w:cs="Times New Roman"/>
        </w:rPr>
        <w:t>Note. Conceptual illustration. Allowing additional carriers to compete increases the number of credible substitutes available to shippers. The residual demand facing an incumbent therefore becomes more elastic, reducing pricing power. The figure shows the expected direction of the mechanism, not the magnitude of any Hawaiʻi rate reduction. Source: Author illustration based on the BUS 620 pricing-power framework</w:t>
      </w:r>
    </w:p>
    <w:p w14:paraId="401A0D1F" w14:textId="77777777" w:rsidR="00ED29E5" w:rsidRPr="00F3690D" w:rsidRDefault="00ED29E5">
      <w:pPr>
        <w:rPr>
          <w:rFonts w:ascii="Times New Roman" w:hAnsi="Times New Roman" w:cs="Times New Roman"/>
        </w:rPr>
      </w:pPr>
    </w:p>
    <w:p w14:paraId="6EBE77CB" w14:textId="77777777" w:rsidR="00A819CF" w:rsidRPr="00F3690D" w:rsidRDefault="00A819CF" w:rsidP="00A819CF">
      <w:pPr>
        <w:spacing w:line="480" w:lineRule="auto"/>
        <w:jc w:val="center"/>
        <w:rPr>
          <w:rFonts w:ascii="Times New Roman" w:eastAsia="MS Mincho" w:hAnsi="Times New Roman" w:cs="Times New Roman"/>
          <w:kern w:val="0"/>
          <w:szCs w:val="22"/>
          <w14:ligatures w14:val="none"/>
        </w:rPr>
      </w:pPr>
      <w:r w:rsidRPr="00F3690D">
        <w:rPr>
          <w:rFonts w:ascii="Times New Roman" w:eastAsia="MS Mincho" w:hAnsi="Times New Roman" w:cs="Times New Roman"/>
          <w:b/>
          <w:kern w:val="0"/>
          <w:szCs w:val="22"/>
          <w14:ligatures w14:val="none"/>
        </w:rPr>
        <w:lastRenderedPageBreak/>
        <w:t>References</w:t>
      </w:r>
    </w:p>
    <w:p w14:paraId="1C0698DD" w14:textId="77777777" w:rsidR="00A819CF" w:rsidRPr="00F3690D" w:rsidRDefault="00A819CF" w:rsidP="00A819CF">
      <w:pPr>
        <w:spacing w:line="480" w:lineRule="auto"/>
        <w:ind w:left="720" w:hanging="720"/>
        <w:rPr>
          <w:rFonts w:ascii="Times New Roman" w:eastAsia="MS Mincho" w:hAnsi="Times New Roman" w:cs="Times New Roman"/>
          <w:kern w:val="0"/>
          <w:szCs w:val="22"/>
          <w14:ligatures w14:val="none"/>
        </w:rPr>
      </w:pPr>
      <w:r w:rsidRPr="00F3690D">
        <w:rPr>
          <w:rFonts w:ascii="Times New Roman" w:eastAsia="MS Mincho" w:hAnsi="Times New Roman" w:cs="Times New Roman"/>
          <w:kern w:val="0"/>
          <w:szCs w:val="22"/>
          <w14:ligatures w14:val="none"/>
        </w:rPr>
        <w:t>American President Lines, LLC v. Matson, Inc., No. 1:21-cv-02040 (D.D.C. 2025). https://law.justia.com/cases/federal/district-courts/district-of-columbia/dcdce/1:2021cv02040/233910/195/</w:t>
      </w:r>
    </w:p>
    <w:p w14:paraId="44232256" w14:textId="77777777" w:rsidR="00A819CF" w:rsidRPr="00F3690D" w:rsidRDefault="00A819CF" w:rsidP="00A819CF">
      <w:pPr>
        <w:spacing w:line="480" w:lineRule="auto"/>
        <w:ind w:left="720" w:hanging="720"/>
        <w:rPr>
          <w:rFonts w:ascii="Times New Roman" w:eastAsia="MS Mincho" w:hAnsi="Times New Roman" w:cs="Times New Roman"/>
          <w:kern w:val="0"/>
          <w:szCs w:val="22"/>
          <w14:ligatures w14:val="none"/>
        </w:rPr>
      </w:pPr>
      <w:r w:rsidRPr="00F3690D">
        <w:rPr>
          <w:rFonts w:ascii="Times New Roman" w:eastAsia="MS Mincho" w:hAnsi="Times New Roman" w:cs="Times New Roman"/>
          <w:kern w:val="0"/>
          <w:szCs w:val="22"/>
          <w14:ligatures w14:val="none"/>
        </w:rPr>
        <w:t>Hawaiʻi Department of Transportation. (2024). Hawaiʻi Statewide Freight Plan. https://hidot.hawaii.gov/highways/files/2024/04/HDOT-Freight-Plan-Final-Report-2024-03-01.pdf</w:t>
      </w:r>
    </w:p>
    <w:p w14:paraId="12E92519" w14:textId="77777777" w:rsidR="00A819CF" w:rsidRPr="00F3690D" w:rsidRDefault="00A819CF" w:rsidP="00A819CF">
      <w:pPr>
        <w:spacing w:line="480" w:lineRule="auto"/>
        <w:ind w:left="720" w:hanging="720"/>
        <w:rPr>
          <w:rFonts w:ascii="Times New Roman" w:eastAsia="MS Mincho" w:hAnsi="Times New Roman" w:cs="Times New Roman"/>
          <w:kern w:val="0"/>
          <w:szCs w:val="22"/>
          <w14:ligatures w14:val="none"/>
        </w:rPr>
      </w:pPr>
      <w:r w:rsidRPr="00F3690D">
        <w:rPr>
          <w:rFonts w:ascii="Times New Roman" w:eastAsia="MS Mincho" w:hAnsi="Times New Roman" w:cs="Times New Roman"/>
          <w:kern w:val="0"/>
          <w:szCs w:val="22"/>
          <w14:ligatures w14:val="none"/>
        </w:rPr>
        <w:t>Matson, Inc. (2026). Annual report on Form 10-K for the year ended December 31, 2025. U.S. Securities and Exchange Commission. https://www.sec.gov/Archives/edgar/data/3453/000110465926020944/matx-20251231x10k.htm</w:t>
      </w:r>
    </w:p>
    <w:p w14:paraId="1540DA1F" w14:textId="77777777" w:rsidR="00A819CF" w:rsidRPr="00F3690D" w:rsidRDefault="00A819CF" w:rsidP="00A819CF">
      <w:pPr>
        <w:spacing w:line="480" w:lineRule="auto"/>
        <w:ind w:left="720" w:hanging="720"/>
        <w:rPr>
          <w:rFonts w:ascii="Times New Roman" w:eastAsia="MS Mincho" w:hAnsi="Times New Roman" w:cs="Times New Roman"/>
          <w:kern w:val="0"/>
          <w:szCs w:val="22"/>
          <w14:ligatures w14:val="none"/>
        </w:rPr>
      </w:pPr>
      <w:r w:rsidRPr="00F3690D">
        <w:rPr>
          <w:rFonts w:ascii="Times New Roman" w:eastAsia="MS Mincho" w:hAnsi="Times New Roman" w:cs="Times New Roman"/>
          <w:kern w:val="0"/>
          <w:szCs w:val="22"/>
          <w14:ligatures w14:val="none"/>
        </w:rPr>
        <w:t>Matson Navigation Company. (2025). Hawaiʻi household goods tariff, effective June 1, 2025. https://www.matson.com/others/Hawaii_Service_June_1_2025.pdf</w:t>
      </w:r>
    </w:p>
    <w:p w14:paraId="73FC86EA" w14:textId="77777777" w:rsidR="00A819CF" w:rsidRPr="00F3690D" w:rsidRDefault="00A819CF" w:rsidP="00A819CF">
      <w:pPr>
        <w:spacing w:line="480" w:lineRule="auto"/>
        <w:ind w:left="720" w:hanging="720"/>
        <w:rPr>
          <w:rFonts w:ascii="Times New Roman" w:eastAsia="MS Mincho" w:hAnsi="Times New Roman" w:cs="Times New Roman"/>
          <w:kern w:val="0"/>
          <w:szCs w:val="22"/>
          <w14:ligatures w14:val="none"/>
        </w:rPr>
      </w:pPr>
      <w:r w:rsidRPr="00F3690D">
        <w:rPr>
          <w:rFonts w:ascii="Times New Roman" w:eastAsia="MS Mincho" w:hAnsi="Times New Roman" w:cs="Times New Roman"/>
          <w:kern w:val="0"/>
          <w:szCs w:val="22"/>
          <w14:ligatures w14:val="none"/>
        </w:rPr>
        <w:t>Matson Navigation Company. (2026). Hawaiʻi household goods tariff, effective June 1, 2026. https://www.matson.com/others/HHG_Hawaii_6.26.pdf</w:t>
      </w:r>
    </w:p>
    <w:p w14:paraId="39D0ACEE" w14:textId="77777777" w:rsidR="00A819CF" w:rsidRPr="00F3690D" w:rsidRDefault="00A819CF" w:rsidP="00A819CF">
      <w:pPr>
        <w:spacing w:line="480" w:lineRule="auto"/>
        <w:ind w:left="720" w:hanging="720"/>
        <w:rPr>
          <w:rFonts w:ascii="Times New Roman" w:eastAsia="MS Mincho" w:hAnsi="Times New Roman" w:cs="Times New Roman"/>
          <w:kern w:val="0"/>
          <w:szCs w:val="22"/>
          <w14:ligatures w14:val="none"/>
        </w:rPr>
      </w:pPr>
      <w:r w:rsidRPr="00F3690D">
        <w:rPr>
          <w:rFonts w:ascii="Times New Roman" w:eastAsia="MS Mincho" w:hAnsi="Times New Roman" w:cs="Times New Roman"/>
          <w:kern w:val="0"/>
          <w:szCs w:val="22"/>
          <w14:ligatures w14:val="none"/>
        </w:rPr>
        <w:t>United States Code, 46 U.S.C. § 55102, Transportation of merchandise. https://uscode.house.gov/view.xhtml?req=granuleid:USC-prelim-title46-section55102&amp;num=0&amp;edition=prelim</w:t>
      </w:r>
    </w:p>
    <w:p w14:paraId="2C1D7390" w14:textId="77777777" w:rsidR="00ED29E5" w:rsidRPr="00F3690D" w:rsidRDefault="00ED29E5" w:rsidP="00A819CF">
      <w:pPr>
        <w:rPr>
          <w:rFonts w:ascii="Times New Roman" w:hAnsi="Times New Roman" w:cs="Times New Roman"/>
        </w:rPr>
      </w:pPr>
    </w:p>
    <w:sectPr w:rsidR="00ED29E5" w:rsidRPr="00F3690D" w:rsidSect="001969F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6C740" w14:textId="77777777" w:rsidR="0000273B" w:rsidRDefault="0000273B" w:rsidP="00BC6940">
      <w:r>
        <w:separator/>
      </w:r>
    </w:p>
  </w:endnote>
  <w:endnote w:type="continuationSeparator" w:id="0">
    <w:p w14:paraId="1A1DB65E" w14:textId="77777777" w:rsidR="0000273B" w:rsidRDefault="0000273B" w:rsidP="00BC6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E67E" w14:textId="77777777" w:rsidR="00BC6940" w:rsidRDefault="00BC69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B4A65" w14:textId="2E62E0DA" w:rsidR="00BC6940" w:rsidRDefault="00BC694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36BD5" w14:textId="77777777" w:rsidR="00BC6940" w:rsidRDefault="00BC69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9918E" w14:textId="77777777" w:rsidR="0000273B" w:rsidRDefault="0000273B" w:rsidP="00BC6940">
      <w:r>
        <w:separator/>
      </w:r>
    </w:p>
  </w:footnote>
  <w:footnote w:type="continuationSeparator" w:id="0">
    <w:p w14:paraId="7FF6AA54" w14:textId="77777777" w:rsidR="0000273B" w:rsidRDefault="0000273B" w:rsidP="00BC6940">
      <w:r>
        <w:continuationSeparator/>
      </w:r>
    </w:p>
  </w:footnote>
  <w:footnote w:id="1">
    <w:p w14:paraId="3C5A6574" w14:textId="55AFA9BA" w:rsidR="00A42E7E" w:rsidRDefault="00A42E7E">
      <w:pPr>
        <w:pStyle w:val="FootnoteText"/>
      </w:pPr>
      <w:r>
        <w:rPr>
          <w:rStyle w:val="FootnoteReference"/>
        </w:rPr>
        <w:footnoteRef/>
      </w:r>
      <w:r>
        <w:t xml:space="preserve"> </w:t>
      </w:r>
      <w:r w:rsidR="00BB70BA">
        <w:t>TEU = twenty-foot equivalent unit</w:t>
      </w:r>
    </w:p>
  </w:footnote>
  <w:footnote w:id="2">
    <w:p w14:paraId="1111B636" w14:textId="0566A8A7" w:rsidR="00A42E7E" w:rsidRDefault="00A42E7E">
      <w:pPr>
        <w:pStyle w:val="FootnoteText"/>
      </w:pPr>
      <w:r>
        <w:rPr>
          <w:rStyle w:val="FootnoteReference"/>
        </w:rPr>
        <w:footnoteRef/>
      </w:r>
      <w:r>
        <w:t xml:space="preserve"> </w:t>
      </w:r>
      <w:r w:rsidR="00BB70BA">
        <w:rPr>
          <w:rFonts w:ascii="Times New Roman" w:hAnsi="Times New Roman" w:cs="Times New Roman"/>
        </w:rPr>
        <w:t>T</w:t>
      </w:r>
      <w:r>
        <w:rPr>
          <w:rFonts w:ascii="Times New Roman" w:hAnsi="Times New Roman" w:cs="Times New Roman"/>
        </w:rPr>
        <w:t>wo each from Los Angeles and Oakland, and one from Seattle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6A428" w14:textId="77777777" w:rsidR="00BC6940" w:rsidRDefault="00BC69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FB63" w14:textId="77777777" w:rsidR="00BC6940" w:rsidRDefault="00BC694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98B6E" w14:textId="77777777" w:rsidR="00BC6940" w:rsidRDefault="00BC69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B5B"/>
    <w:rsid w:val="0000273B"/>
    <w:rsid w:val="000129F0"/>
    <w:rsid w:val="00014D8F"/>
    <w:rsid w:val="000225CC"/>
    <w:rsid w:val="00027F4F"/>
    <w:rsid w:val="000749B0"/>
    <w:rsid w:val="00074D5D"/>
    <w:rsid w:val="000779ED"/>
    <w:rsid w:val="00080C63"/>
    <w:rsid w:val="00092CA9"/>
    <w:rsid w:val="000C1461"/>
    <w:rsid w:val="000C4270"/>
    <w:rsid w:val="000F008F"/>
    <w:rsid w:val="00102992"/>
    <w:rsid w:val="001029F9"/>
    <w:rsid w:val="00103B2E"/>
    <w:rsid w:val="00154505"/>
    <w:rsid w:val="00170085"/>
    <w:rsid w:val="00172E24"/>
    <w:rsid w:val="00180328"/>
    <w:rsid w:val="0018727F"/>
    <w:rsid w:val="00191C49"/>
    <w:rsid w:val="001969F5"/>
    <w:rsid w:val="001A74E9"/>
    <w:rsid w:val="00216AB8"/>
    <w:rsid w:val="00217D59"/>
    <w:rsid w:val="002245BD"/>
    <w:rsid w:val="00232C33"/>
    <w:rsid w:val="00235059"/>
    <w:rsid w:val="002545EF"/>
    <w:rsid w:val="00264B3F"/>
    <w:rsid w:val="002720B2"/>
    <w:rsid w:val="00283C72"/>
    <w:rsid w:val="002A17FE"/>
    <w:rsid w:val="002B073C"/>
    <w:rsid w:val="002B1F5C"/>
    <w:rsid w:val="002E718E"/>
    <w:rsid w:val="00315360"/>
    <w:rsid w:val="00345399"/>
    <w:rsid w:val="0035777E"/>
    <w:rsid w:val="0039093F"/>
    <w:rsid w:val="003A36B6"/>
    <w:rsid w:val="003A6B5B"/>
    <w:rsid w:val="003B6118"/>
    <w:rsid w:val="003B7808"/>
    <w:rsid w:val="003D3852"/>
    <w:rsid w:val="00407D4D"/>
    <w:rsid w:val="0042251E"/>
    <w:rsid w:val="00472A12"/>
    <w:rsid w:val="00484505"/>
    <w:rsid w:val="0049091F"/>
    <w:rsid w:val="00497170"/>
    <w:rsid w:val="004972A4"/>
    <w:rsid w:val="004B0CC5"/>
    <w:rsid w:val="004C1F75"/>
    <w:rsid w:val="004E146F"/>
    <w:rsid w:val="004F0745"/>
    <w:rsid w:val="004F3AA8"/>
    <w:rsid w:val="00503303"/>
    <w:rsid w:val="005332F5"/>
    <w:rsid w:val="005363FB"/>
    <w:rsid w:val="005376D0"/>
    <w:rsid w:val="005602A1"/>
    <w:rsid w:val="0056437E"/>
    <w:rsid w:val="0057303C"/>
    <w:rsid w:val="00581007"/>
    <w:rsid w:val="0058124A"/>
    <w:rsid w:val="00586EA2"/>
    <w:rsid w:val="00590AD1"/>
    <w:rsid w:val="00590CA7"/>
    <w:rsid w:val="005A2B66"/>
    <w:rsid w:val="005A6A88"/>
    <w:rsid w:val="005C0B95"/>
    <w:rsid w:val="005C6556"/>
    <w:rsid w:val="00600BD4"/>
    <w:rsid w:val="00611A44"/>
    <w:rsid w:val="00614790"/>
    <w:rsid w:val="00626248"/>
    <w:rsid w:val="006454DF"/>
    <w:rsid w:val="00645B28"/>
    <w:rsid w:val="00666CB3"/>
    <w:rsid w:val="00687509"/>
    <w:rsid w:val="00697A23"/>
    <w:rsid w:val="006A0EC2"/>
    <w:rsid w:val="006B63CC"/>
    <w:rsid w:val="006C1CD4"/>
    <w:rsid w:val="006C6ABA"/>
    <w:rsid w:val="006C6C60"/>
    <w:rsid w:val="006D2F95"/>
    <w:rsid w:val="006D5BF4"/>
    <w:rsid w:val="006E7C5B"/>
    <w:rsid w:val="006F6036"/>
    <w:rsid w:val="00710CBB"/>
    <w:rsid w:val="00713237"/>
    <w:rsid w:val="00726616"/>
    <w:rsid w:val="007341EA"/>
    <w:rsid w:val="0075166D"/>
    <w:rsid w:val="00756549"/>
    <w:rsid w:val="00760379"/>
    <w:rsid w:val="00761FA3"/>
    <w:rsid w:val="00785CCF"/>
    <w:rsid w:val="007936DC"/>
    <w:rsid w:val="007A56AD"/>
    <w:rsid w:val="007D2B4B"/>
    <w:rsid w:val="007E52E2"/>
    <w:rsid w:val="007E6599"/>
    <w:rsid w:val="00811D1A"/>
    <w:rsid w:val="00844A27"/>
    <w:rsid w:val="008A2A7F"/>
    <w:rsid w:val="008C33AB"/>
    <w:rsid w:val="008D1B9A"/>
    <w:rsid w:val="00931F3E"/>
    <w:rsid w:val="00942283"/>
    <w:rsid w:val="00961195"/>
    <w:rsid w:val="009A38BB"/>
    <w:rsid w:val="009A6F59"/>
    <w:rsid w:val="009B5A07"/>
    <w:rsid w:val="009C752F"/>
    <w:rsid w:val="00A0796E"/>
    <w:rsid w:val="00A37756"/>
    <w:rsid w:val="00A42E7E"/>
    <w:rsid w:val="00A52FED"/>
    <w:rsid w:val="00A604FA"/>
    <w:rsid w:val="00A67E89"/>
    <w:rsid w:val="00A730AB"/>
    <w:rsid w:val="00A819CF"/>
    <w:rsid w:val="00A85CB6"/>
    <w:rsid w:val="00AB6120"/>
    <w:rsid w:val="00AE242F"/>
    <w:rsid w:val="00B06CE5"/>
    <w:rsid w:val="00B11475"/>
    <w:rsid w:val="00B2005B"/>
    <w:rsid w:val="00B22C4A"/>
    <w:rsid w:val="00B46D36"/>
    <w:rsid w:val="00B46E85"/>
    <w:rsid w:val="00B55E27"/>
    <w:rsid w:val="00B6231C"/>
    <w:rsid w:val="00B77606"/>
    <w:rsid w:val="00B80D2C"/>
    <w:rsid w:val="00BB70BA"/>
    <w:rsid w:val="00BC3343"/>
    <w:rsid w:val="00BC6940"/>
    <w:rsid w:val="00BD4E69"/>
    <w:rsid w:val="00BF0649"/>
    <w:rsid w:val="00C074DB"/>
    <w:rsid w:val="00C27D09"/>
    <w:rsid w:val="00C43C8C"/>
    <w:rsid w:val="00C46840"/>
    <w:rsid w:val="00C649F2"/>
    <w:rsid w:val="00C73910"/>
    <w:rsid w:val="00C7410F"/>
    <w:rsid w:val="00C74360"/>
    <w:rsid w:val="00C7496F"/>
    <w:rsid w:val="00C805AE"/>
    <w:rsid w:val="00CA3BFE"/>
    <w:rsid w:val="00CD26AE"/>
    <w:rsid w:val="00D07357"/>
    <w:rsid w:val="00D31733"/>
    <w:rsid w:val="00D3757A"/>
    <w:rsid w:val="00D5540B"/>
    <w:rsid w:val="00D63E4D"/>
    <w:rsid w:val="00D7385D"/>
    <w:rsid w:val="00D96533"/>
    <w:rsid w:val="00DA2C11"/>
    <w:rsid w:val="00DB5DAA"/>
    <w:rsid w:val="00DC793C"/>
    <w:rsid w:val="00DE3F9A"/>
    <w:rsid w:val="00DF1CC2"/>
    <w:rsid w:val="00E0732F"/>
    <w:rsid w:val="00E1242B"/>
    <w:rsid w:val="00E22C14"/>
    <w:rsid w:val="00E32C7C"/>
    <w:rsid w:val="00E338B7"/>
    <w:rsid w:val="00E43881"/>
    <w:rsid w:val="00E46E58"/>
    <w:rsid w:val="00E845CF"/>
    <w:rsid w:val="00EB4F75"/>
    <w:rsid w:val="00EC7A6C"/>
    <w:rsid w:val="00ED29E5"/>
    <w:rsid w:val="00EE2E56"/>
    <w:rsid w:val="00EE6816"/>
    <w:rsid w:val="00F00714"/>
    <w:rsid w:val="00F03165"/>
    <w:rsid w:val="00F04895"/>
    <w:rsid w:val="00F05739"/>
    <w:rsid w:val="00F06067"/>
    <w:rsid w:val="00F123D2"/>
    <w:rsid w:val="00F13865"/>
    <w:rsid w:val="00F3690D"/>
    <w:rsid w:val="00F415DE"/>
    <w:rsid w:val="00F655A3"/>
    <w:rsid w:val="00F73105"/>
    <w:rsid w:val="00FA3507"/>
    <w:rsid w:val="00FA44CC"/>
    <w:rsid w:val="00FB42A8"/>
    <w:rsid w:val="00FF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04F41"/>
  <w15:chartTrackingRefBased/>
  <w15:docId w15:val="{A7BA48C8-CD7F-4EDC-9C24-C05FDE2AC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B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B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B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B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B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B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B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B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B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B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B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B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B5B"/>
    <w:rPr>
      <w:rFonts w:eastAsiaTheme="majorEastAsia" w:cstheme="majorBidi"/>
      <w:color w:val="272727" w:themeColor="text1" w:themeTint="D8"/>
    </w:rPr>
  </w:style>
  <w:style w:type="paragraph" w:styleId="Title">
    <w:name w:val="Title"/>
    <w:basedOn w:val="Normal"/>
    <w:next w:val="Normal"/>
    <w:link w:val="TitleChar"/>
    <w:uiPriority w:val="10"/>
    <w:qFormat/>
    <w:rsid w:val="003A6B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B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B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B5B"/>
    <w:pPr>
      <w:spacing w:before="160"/>
      <w:jc w:val="center"/>
    </w:pPr>
    <w:rPr>
      <w:i/>
      <w:iCs/>
      <w:color w:val="404040" w:themeColor="text1" w:themeTint="BF"/>
    </w:rPr>
  </w:style>
  <w:style w:type="character" w:customStyle="1" w:styleId="QuoteChar">
    <w:name w:val="Quote Char"/>
    <w:basedOn w:val="DefaultParagraphFont"/>
    <w:link w:val="Quote"/>
    <w:uiPriority w:val="29"/>
    <w:rsid w:val="003A6B5B"/>
    <w:rPr>
      <w:i/>
      <w:iCs/>
      <w:color w:val="404040" w:themeColor="text1" w:themeTint="BF"/>
    </w:rPr>
  </w:style>
  <w:style w:type="paragraph" w:styleId="ListParagraph">
    <w:name w:val="List Paragraph"/>
    <w:basedOn w:val="Normal"/>
    <w:uiPriority w:val="34"/>
    <w:qFormat/>
    <w:rsid w:val="003A6B5B"/>
    <w:pPr>
      <w:ind w:left="720"/>
      <w:contextualSpacing/>
    </w:pPr>
  </w:style>
  <w:style w:type="character" w:styleId="IntenseEmphasis">
    <w:name w:val="Intense Emphasis"/>
    <w:basedOn w:val="DefaultParagraphFont"/>
    <w:uiPriority w:val="21"/>
    <w:qFormat/>
    <w:rsid w:val="003A6B5B"/>
    <w:rPr>
      <w:i/>
      <w:iCs/>
      <w:color w:val="0F4761" w:themeColor="accent1" w:themeShade="BF"/>
    </w:rPr>
  </w:style>
  <w:style w:type="paragraph" w:styleId="IntenseQuote">
    <w:name w:val="Intense Quote"/>
    <w:basedOn w:val="Normal"/>
    <w:next w:val="Normal"/>
    <w:link w:val="IntenseQuoteChar"/>
    <w:uiPriority w:val="30"/>
    <w:qFormat/>
    <w:rsid w:val="003A6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B5B"/>
    <w:rPr>
      <w:i/>
      <w:iCs/>
      <w:color w:val="0F4761" w:themeColor="accent1" w:themeShade="BF"/>
    </w:rPr>
  </w:style>
  <w:style w:type="character" w:styleId="IntenseReference">
    <w:name w:val="Intense Reference"/>
    <w:basedOn w:val="DefaultParagraphFont"/>
    <w:uiPriority w:val="32"/>
    <w:qFormat/>
    <w:rsid w:val="003A6B5B"/>
    <w:rPr>
      <w:b/>
      <w:bCs/>
      <w:smallCaps/>
      <w:color w:val="0F4761" w:themeColor="accent1" w:themeShade="BF"/>
      <w:spacing w:val="5"/>
    </w:rPr>
  </w:style>
  <w:style w:type="paragraph" w:styleId="Header">
    <w:name w:val="header"/>
    <w:basedOn w:val="Normal"/>
    <w:link w:val="HeaderChar"/>
    <w:uiPriority w:val="99"/>
    <w:unhideWhenUsed/>
    <w:rsid w:val="00BC6940"/>
    <w:pPr>
      <w:tabs>
        <w:tab w:val="center" w:pos="4680"/>
        <w:tab w:val="right" w:pos="9360"/>
      </w:tabs>
    </w:pPr>
  </w:style>
  <w:style w:type="character" w:customStyle="1" w:styleId="HeaderChar">
    <w:name w:val="Header Char"/>
    <w:basedOn w:val="DefaultParagraphFont"/>
    <w:link w:val="Header"/>
    <w:uiPriority w:val="99"/>
    <w:rsid w:val="00BC6940"/>
  </w:style>
  <w:style w:type="paragraph" w:styleId="Footer">
    <w:name w:val="footer"/>
    <w:basedOn w:val="Normal"/>
    <w:link w:val="FooterChar"/>
    <w:uiPriority w:val="99"/>
    <w:unhideWhenUsed/>
    <w:rsid w:val="00BC6940"/>
    <w:pPr>
      <w:tabs>
        <w:tab w:val="center" w:pos="4680"/>
        <w:tab w:val="right" w:pos="9360"/>
      </w:tabs>
    </w:pPr>
  </w:style>
  <w:style w:type="character" w:customStyle="1" w:styleId="FooterChar">
    <w:name w:val="Footer Char"/>
    <w:basedOn w:val="DefaultParagraphFont"/>
    <w:link w:val="Footer"/>
    <w:uiPriority w:val="99"/>
    <w:rsid w:val="00BC6940"/>
  </w:style>
  <w:style w:type="paragraph" w:styleId="FootnoteText">
    <w:name w:val="footnote text"/>
    <w:basedOn w:val="Normal"/>
    <w:link w:val="FootnoteTextChar"/>
    <w:uiPriority w:val="99"/>
    <w:semiHidden/>
    <w:unhideWhenUsed/>
    <w:rsid w:val="00A42E7E"/>
    <w:rPr>
      <w:sz w:val="20"/>
      <w:szCs w:val="20"/>
    </w:rPr>
  </w:style>
  <w:style w:type="character" w:customStyle="1" w:styleId="FootnoteTextChar">
    <w:name w:val="Footnote Text Char"/>
    <w:basedOn w:val="DefaultParagraphFont"/>
    <w:link w:val="FootnoteText"/>
    <w:uiPriority w:val="99"/>
    <w:semiHidden/>
    <w:rsid w:val="00A42E7E"/>
    <w:rPr>
      <w:sz w:val="20"/>
      <w:szCs w:val="20"/>
    </w:rPr>
  </w:style>
  <w:style w:type="character" w:styleId="FootnoteReference">
    <w:name w:val="footnote reference"/>
    <w:basedOn w:val="DefaultParagraphFont"/>
    <w:uiPriority w:val="99"/>
    <w:semiHidden/>
    <w:unhideWhenUsed/>
    <w:rsid w:val="00A42E7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7</Pages>
  <Words>1583</Words>
  <Characters>8675</Characters>
  <Application>Microsoft Office Word</Application>
  <DocSecurity>0</DocSecurity>
  <Lines>255</Lines>
  <Paragraphs>197</Paragraphs>
  <ScaleCrop>false</ScaleCrop>
  <Company>The Wonderful Company</Company>
  <LinksUpToDate>false</LinksUpToDate>
  <CharactersWithSpaces>10061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Eric</dc:creator>
  <cp:keywords/>
  <dc:description/>
  <cp:lastModifiedBy>Carmichael, Eric</cp:lastModifiedBy>
  <cp:revision>186</cp:revision>
  <dcterms:created xsi:type="dcterms:W3CDTF">2026-10-05T22:25:00Z</dcterms:created>
  <dcterms:modified xsi:type="dcterms:W3CDTF">2026-10-06T04:53:00Z</dcterms:modified>
</cp:coreProperties>
</file>