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jc w:val="center"/>
      </w:pPr>
      <w:r>
        <w:rPr>
          <w:b/>
          <w:bCs/>
          <w:color w:val="1F3A5F"/>
          <w:sz w:val="56"/>
          <w:szCs w:val="56"/>
        </w:rPr>
        <w:t xml:space="preserve">SDG Hackathon</w:t>
      </w:r>
    </w:p>
    <w:p>
      <w:pPr>
        <w:spacing w:after="200"/>
        <w:jc w:val="center"/>
      </w:pPr>
      <w:r>
        <w:rPr>
          <w:b/>
          <w:bCs/>
          <w:color w:val="2E6F5E"/>
          <w:sz w:val="32"/>
          <w:szCs w:val="32"/>
        </w:rPr>
        <w:t xml:space="preserve">Idea Guide &amp; Judging Notes</w:t>
      </w:r>
    </w:p>
    <w:p>
      <w:pPr>
        <w:spacing w:after="40"/>
        <w:jc w:val="center"/>
      </w:pPr>
      <w:r>
        <w:rPr>
          <w:i/>
          <w:iCs/>
          <w:color w:val="44546A"/>
          <w:sz w:val="21"/>
          <w:szCs w:val="21"/>
        </w:rPr>
        <w:t xml:space="preserve">Ten candidate builds, judging criteria, and pitch structure — Waikato region</w:t>
      </w:r>
    </w:p>
    <w:p>
      <w:pPr>
        <w:spacing w:after="600"/>
      </w:pPr>
    </w:p>
    <w:p>
      <w:pPr>
        <w:pStyle w:val="Heading1"/>
        <w:pBdr>
          <w:bottom w:val="single" w:color="1F3A5F" w:sz="8" w:space="4"/>
        </w:pBdr>
        <w:spacing w:after="200" w:before="480"/>
      </w:pPr>
      <w:r>
        <w:rPr>
          <w:b/>
          <w:bCs/>
          <w:color w:val="1F3A5F"/>
          <w:sz w:val="32"/>
          <w:szCs w:val="32"/>
        </w:rPr>
        <w:t xml:space="preserve">Judging</w:t>
      </w:r>
    </w:p>
    <w:tbl>
      <w:tblPr>
        <w:tblW w:type="dxa" w:w="9350"/>
        <w:tblBorders>
          <w:top w:val="single" w:color="C9D2DB" w:sz="4"/>
          <w:left w:val="single" w:color="C9D2DB" w:sz="4"/>
          <w:bottom w:val="single" w:color="C9D2DB" w:sz="4"/>
          <w:right w:val="single" w:color="C9D2DB" w:sz="4"/>
          <w:insideH w:val="single" w:color="C9D2DB" w:sz="4"/>
          <w:insideV w:val="single" w:color="C9D2DB" w:sz="4"/>
        </w:tblBorders>
      </w:tblPr>
      <w:tblGrid>
        <w:gridCol w:w="2400"/>
        <w:gridCol w:w="6950"/>
      </w:tblGrid>
      <w:tr>
        <w:trPr>
          <w:tblHeader/>
        </w:trPr>
        <w:tc>
          <w:tcPr>
            <w:tcW w:type="dxa" w:w="2400"/>
            <w:shd w:fill="1F3A5F" w:color="auto" w:val="clear"/>
            <w:tcMar>
              <w:top w:type="dxa" w:w="100"/>
              <w:left w:type="dxa" w:w="120"/>
              <w:bottom w:type="dxa" w:w="100"/>
              <w:right w:type="dxa" w:w="120"/>
            </w:tcMar>
          </w:tcPr>
          <w:p>
            <w:r>
              <w:rPr>
                <w:b/>
                <w:bCs/>
                <w:color w:val="FFFFFF"/>
                <w:sz w:val="19"/>
                <w:szCs w:val="19"/>
              </w:rPr>
              <w:t xml:space="preserve">Criterion</w:t>
            </w:r>
          </w:p>
        </w:tc>
        <w:tc>
          <w:tcPr>
            <w:tcW w:type="dxa" w:w="6950"/>
            <w:shd w:fill="1F3A5F" w:color="auto" w:val="clear"/>
            <w:tcMar>
              <w:top w:type="dxa" w:w="100"/>
              <w:left w:type="dxa" w:w="120"/>
              <w:bottom w:type="dxa" w:w="100"/>
              <w:right w:type="dxa" w:w="120"/>
            </w:tcMar>
          </w:tcPr>
          <w:p>
            <w:r>
              <w:rPr>
                <w:b/>
                <w:bCs/>
                <w:color w:val="FFFFFF"/>
                <w:sz w:val="19"/>
                <w:szCs w:val="19"/>
              </w:rPr>
              <w:t xml:space="preserve">What it covers</w:t>
            </w:r>
          </w:p>
        </w:tc>
      </w:tr>
      <w:tr>
        <w:tc>
          <w:tcPr>
            <w:tcW w:type="dxa" w:w="2400"/>
            <w:shd w:fill="FFFFFF" w:color="auto" w:val="clear"/>
            <w:tcMar>
              <w:top w:type="dxa" w:w="90"/>
              <w:left w:type="dxa" w:w="120"/>
              <w:bottom w:type="dxa" w:w="90"/>
              <w:right w:type="dxa" w:w="120"/>
            </w:tcMar>
          </w:tcPr>
          <w:p>
            <w:pPr>
              <w:spacing w:after="40"/>
            </w:pPr>
            <w:r>
              <w:rPr>
                <w:color w:val="222222"/>
                <w:sz w:val="19"/>
                <w:szCs w:val="19"/>
              </w:rPr>
              <w:t xml:space="preserve">Inspiration</w:t>
            </w:r>
          </w:p>
        </w:tc>
        <w:tc>
          <w:tcPr>
            <w:tcW w:type="dxa" w:w="6950"/>
            <w:shd w:fill="FFFFFF" w:color="auto" w:val="clear"/>
            <w:tcMar>
              <w:top w:type="dxa" w:w="90"/>
              <w:left w:type="dxa" w:w="120"/>
              <w:bottom w:type="dxa" w:w="90"/>
              <w:right w:type="dxa" w:w="120"/>
            </w:tcMar>
          </w:tcPr>
          <w:p>
            <w:pPr>
              <w:spacing w:after="40"/>
            </w:pPr>
            <w:r>
              <w:rPr>
                <w:color w:val="222222"/>
                <w:sz w:val="19"/>
                <w:szCs w:val="19"/>
              </w:rPr>
              <w:t xml:space="preserve">A clear problem with real impact</w:t>
            </w:r>
          </w:p>
        </w:tc>
      </w:tr>
      <w:tr>
        <w:tc>
          <w:tcPr>
            <w:tcW w:type="dxa" w:w="2400"/>
            <w:shd w:fill="EEF2F5" w:color="auto" w:val="clear"/>
            <w:tcMar>
              <w:top w:type="dxa" w:w="90"/>
              <w:left w:type="dxa" w:w="120"/>
              <w:bottom w:type="dxa" w:w="90"/>
              <w:right w:type="dxa" w:w="120"/>
            </w:tcMar>
          </w:tcPr>
          <w:p>
            <w:pPr>
              <w:spacing w:after="40"/>
            </w:pPr>
            <w:r>
              <w:rPr>
                <w:color w:val="222222"/>
                <w:sz w:val="19"/>
                <w:szCs w:val="19"/>
              </w:rPr>
              <w:t xml:space="preserve">Technology</w:t>
            </w:r>
          </w:p>
        </w:tc>
        <w:tc>
          <w:tcPr>
            <w:tcW w:type="dxa" w:w="6950"/>
            <w:shd w:fill="EEF2F5" w:color="auto" w:val="clear"/>
            <w:tcMar>
              <w:top w:type="dxa" w:w="90"/>
              <w:left w:type="dxa" w:w="120"/>
              <w:bottom w:type="dxa" w:w="90"/>
              <w:right w:type="dxa" w:w="120"/>
            </w:tcMar>
          </w:tcPr>
          <w:p>
            <w:pPr>
              <w:spacing w:after="40"/>
            </w:pPr>
            <w:r>
              <w:rPr>
                <w:color w:val="222222"/>
                <w:sz w:val="19"/>
                <w:szCs w:val="19"/>
              </w:rPr>
              <w:t xml:space="preserve">Feasibility, quality, how you use AI</w:t>
            </w:r>
          </w:p>
        </w:tc>
      </w:tr>
      <w:tr>
        <w:tc>
          <w:tcPr>
            <w:tcW w:type="dxa" w:w="2400"/>
            <w:shd w:fill="FFFFFF" w:color="auto" w:val="clear"/>
            <w:tcMar>
              <w:top w:type="dxa" w:w="90"/>
              <w:left w:type="dxa" w:w="120"/>
              <w:bottom w:type="dxa" w:w="90"/>
              <w:right w:type="dxa" w:w="120"/>
            </w:tcMar>
          </w:tcPr>
          <w:p>
            <w:pPr>
              <w:spacing w:after="40"/>
            </w:pPr>
            <w:r>
              <w:rPr>
                <w:color w:val="222222"/>
                <w:sz w:val="19"/>
                <w:szCs w:val="19"/>
              </w:rPr>
              <w:t xml:space="preserve">Design</w:t>
            </w:r>
          </w:p>
        </w:tc>
        <w:tc>
          <w:tcPr>
            <w:tcW w:type="dxa" w:w="6950"/>
            <w:shd w:fill="FFFFFF" w:color="auto" w:val="clear"/>
            <w:tcMar>
              <w:top w:type="dxa" w:w="90"/>
              <w:left w:type="dxa" w:w="120"/>
              <w:bottom w:type="dxa" w:w="90"/>
              <w:right w:type="dxa" w:w="120"/>
            </w:tcMar>
          </w:tcPr>
          <w:p>
            <w:pPr>
              <w:spacing w:after="40"/>
            </w:pPr>
            <w:r>
              <w:rPr>
                <w:color w:val="222222"/>
                <w:sz w:val="19"/>
                <w:szCs w:val="19"/>
              </w:rPr>
              <w:t xml:space="preserve">Usability and originality</w:t>
            </w:r>
          </w:p>
        </w:tc>
      </w:tr>
      <w:tr>
        <w:tc>
          <w:tcPr>
            <w:tcW w:type="dxa" w:w="2400"/>
            <w:shd w:fill="EEF2F5" w:color="auto" w:val="clear"/>
            <w:tcMar>
              <w:top w:type="dxa" w:w="90"/>
              <w:left w:type="dxa" w:w="120"/>
              <w:bottom w:type="dxa" w:w="90"/>
              <w:right w:type="dxa" w:w="120"/>
            </w:tcMar>
          </w:tcPr>
          <w:p>
            <w:pPr>
              <w:spacing w:after="40"/>
            </w:pPr>
            <w:r>
              <w:rPr>
                <w:color w:val="222222"/>
                <w:sz w:val="19"/>
                <w:szCs w:val="19"/>
              </w:rPr>
              <w:t xml:space="preserve">Presentation</w:t>
            </w:r>
          </w:p>
        </w:tc>
        <w:tc>
          <w:tcPr>
            <w:tcW w:type="dxa" w:w="6950"/>
            <w:shd w:fill="EEF2F5" w:color="auto" w:val="clear"/>
            <w:tcMar>
              <w:top w:type="dxa" w:w="90"/>
              <w:left w:type="dxa" w:w="120"/>
              <w:bottom w:type="dxa" w:w="90"/>
              <w:right w:type="dxa" w:w="120"/>
            </w:tcMar>
          </w:tcPr>
          <w:p>
            <w:pPr>
              <w:spacing w:after="40"/>
            </w:pPr>
            <w:r>
              <w:rPr>
                <w:color w:val="222222"/>
                <w:sz w:val="19"/>
                <w:szCs w:val="19"/>
              </w:rPr>
              <w:t xml:space="preserve">Clear, structured, within 5 minutes</w:t>
            </w:r>
          </w:p>
        </w:tc>
      </w:tr>
    </w:tbl>
    <w:p>
      <w:pPr>
        <w:spacing w:after="160"/>
      </w:pPr>
    </w:p>
    <w:p>
      <w:pPr>
        <w:spacing w:after="160" w:line="276"/>
      </w:pPr>
      <w:r>
        <w:rPr>
          <w:b w:val="false"/>
          <w:bCs w:val="false"/>
          <w:i/>
          <w:iCs/>
          <w:color w:val="222222"/>
          <w:sz w:val="21"/>
          <w:szCs w:val="21"/>
        </w:rPr>
        <w:t xml:space="preserve">Local winners go through to national judging.</w:t>
      </w:r>
    </w:p>
    <w:p>
      <w:pPr>
        <w:pStyle w:val="Heading2"/>
        <w:spacing w:after="140" w:before="360"/>
      </w:pPr>
      <w:r>
        <w:rPr>
          <w:b/>
          <w:bCs/>
          <w:color w:val="1F3A5F"/>
          <w:sz w:val="26"/>
          <w:szCs w:val="26"/>
        </w:rPr>
        <w:t xml:space="preserve">What scores well</w:t>
      </w:r>
    </w:p>
    <w:p>
      <w:pPr>
        <w:spacing w:after="160" w:line="276"/>
      </w:pPr>
      <w:r>
        <w:rPr>
          <w:b w:val="false"/>
          <w:bCs w:val="false"/>
          <w:i w:val="false"/>
          <w:iCs w:val="false"/>
          <w:color w:val="222222"/>
          <w:sz w:val="21"/>
          <w:szCs w:val="21"/>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pPr>
        <w:spacing w:after="160" w:line="276"/>
      </w:pPr>
      <w:r>
        <w:rPr>
          <w:b w:val="false"/>
          <w:bCs w:val="false"/>
          <w:i w:val="false"/>
          <w:iCs w:val="false"/>
          <w:color w:val="222222"/>
          <w:sz w:val="21"/>
          <w:szCs w:val="21"/>
        </w:rPr>
        <w:t xml:space="preserve">One thing separates entries reliably: producing a number that maps to an official UN indicator. It gives judges something concrete to check.</w:t>
      </w:r>
    </w:p>
    <w:p>
      <w:pPr>
        <w:pStyle w:val="Heading2"/>
        <w:spacing w:after="140" w:before="360"/>
      </w:pPr>
      <w:r>
        <w:rPr>
          <w:b/>
          <w:bCs/>
          <w:color w:val="1F3A5F"/>
          <w:sz w:val="26"/>
          <w:szCs w:val="26"/>
        </w:rPr>
        <w:t xml:space="preserve">Context</w:t>
      </w:r>
    </w:p>
    <w:p>
      <w:pPr>
        <w:spacing w:after="160" w:line="276"/>
      </w:pPr>
      <w:r>
        <w:rPr>
          <w:b w:val="false"/>
          <w:bCs w:val="false"/>
          <w:i w:val="false"/>
          <w:iCs w:val="false"/>
          <w:color w:val="222222"/>
          <w:sz w:val="21"/>
          <w:szCs w:val="21"/>
        </w:rPr>
        <w:t xml:space="preserve">Only 16% of SDG targets are projected to be met by 2030. The UN's own count puts 36% of 139 targets on track or progressing moderately. Four years left.</w:t>
      </w:r>
    </w:p>
    <w:p>
      <w:pPr>
        <w:spacing w:after="160" w:line="276"/>
      </w:pPr>
      <w:r>
        <w:rPr>
          <w:b w:val="false"/>
          <w:bCs w:val="false"/>
          <w:i w:val="false"/>
          <w:iCs w:val="false"/>
          <w:color w:val="222222"/>
          <w:sz w:val="21"/>
          <w:szCs w:val="21"/>
        </w:rPr>
        <w:t xml:space="preserve">Two of the three problems suggested in the event PDF — Facilities Helpdesk and Peer Support — are chatbot-shaped. Choosing one means competing mostly on presentation.</w:t>
      </w:r>
    </w:p>
    <w:p>
      <w:pPr>
        <w:pStyle w:val="Heading1"/>
        <w:pBdr>
          <w:bottom w:val="single" w:color="1F3A5F" w:sz="8" w:space="4"/>
        </w:pBdr>
        <w:spacing w:after="200" w:before="480"/>
      </w:pPr>
      <w:r>
        <w:rPr>
          <w:b/>
          <w:bCs/>
          <w:color w:val="1F3A5F"/>
          <w:sz w:val="32"/>
          <w:szCs w:val="32"/>
        </w:rPr>
        <w:t xml:space="preserve">Idea 1 — Cold-Chain Monitor for Last-Mile Clinics</w:t>
      </w:r>
    </w:p>
    <w:p>
      <w:pPr>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01_cold_chain_monitor.png"/>
                    <pic:cNvPicPr/>
                  </pic:nvPicPr>
                  <pic:blipFill>
                    <a:blip r:embed="rId9"/>
                    <a:stretch>
                      <a:fillRect/>
                    </a:stretch>
                  </pic:blipFill>
                  <pic:spPr>
                    <a:xfrm>
                      <a:off x="0" y="0"/>
                      <a:ext cx="5303520" cy="2960104"/>
                    </a:xfrm>
                    <a:prstGeom prst="rect"/>
                  </pic:spPr>
                </pic:pic>
              </a:graphicData>
            </a:graphic>
          </wp:inline>
        </w:drawing>
      </w: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Vaccines and insulin spoil quietly when a fridge fails or a transport box warms above 8 °C. Rural clinics often find out only when the stock is already unusable.</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3 (Good Health). Protects the potency of health supplies reaching underserved patients. Indicator 3.b.1, vaccine coverage.</w:t>
      </w:r>
    </w:p>
    <w:p>
      <w:pPr>
        <w:pStyle w:val="Heading3"/>
        <w:spacing w:after="100" w:before="240"/>
      </w:pPr>
      <w:r>
        <w:rPr>
          <w:b/>
          <w:bCs/>
          <w:color w:val="2E6F5E"/>
          <w:sz w:val="22"/>
          <w:szCs w:val="22"/>
        </w:rPr>
        <w:t xml:space="preserve">Worth knowing first</w:t>
      </w:r>
    </w:p>
    <w:p>
      <w:pPr>
        <w:spacing w:after="160" w:line="276"/>
      </w:pPr>
      <w:r>
        <w:rPr>
          <w:b w:val="false"/>
          <w:bCs w:val="false"/>
          <w:i w:val="false"/>
          <w:iCs w:val="false"/>
          <w:color w:val="222222"/>
          <w:sz w:val="21"/>
          <w:szCs w:val="21"/>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pPr>
        <w:spacing w:after="160" w:line="276"/>
      </w:pPr>
      <w:r>
        <w:rPr>
          <w:b w:val="false"/>
          <w:bCs w:val="false"/>
          <w:i w:val="false"/>
          <w:iCs w:val="false"/>
          <w:color w:val="222222"/>
          <w:sz w:val="21"/>
          <w:szCs w:val="21"/>
        </w:rPr>
        <w:t xml:space="preserve">But research on why cold chains fail points somewhere else. In one field study, 91.7% of facilities had no cold chain policy and none had an equipment contingency plan. The alert fires and nobody knows who is meant to act. That gap is open.</w:t>
      </w:r>
    </w:p>
    <w:p>
      <w:pPr>
        <w:pStyle w:val="Heading3"/>
        <w:spacing w:after="100" w:before="240"/>
      </w:pPr>
      <w:r>
        <w:rPr>
          <w:b/>
          <w:bCs/>
          <w:color w:val="2E6F5E"/>
          <w:sz w:val="22"/>
          <w:szCs w:val="22"/>
        </w:rPr>
        <w:t xml:space="preserve">Approach</w:t>
      </w:r>
    </w:p>
    <w:p>
      <w:pPr>
        <w:spacing w:after="160" w:line="276"/>
      </w:pPr>
      <w:r>
        <w:rPr>
          <w:b w:val="false"/>
          <w:bCs w:val="false"/>
          <w:i w:val="false"/>
          <w:iCs w:val="false"/>
          <w:color w:val="222222"/>
          <w:sz w:val="21"/>
          <w:szCs w:val="21"/>
        </w:rPr>
        <w:t xml:space="preserve">Keep the ESP32 and temperature sensor, but treat it as the input, not the product. The product is what happens after an excursion is detected.</w:t>
      </w:r>
    </w:p>
    <w:p>
      <w:pPr>
        <w:pStyle w:val="ListParagraph"/>
        <w:numPr>
          <w:ilvl w:val="0"/>
          <w:numId w:val="2"/>
        </w:numPr>
        <w:spacing w:after="100" w:line="276"/>
      </w:pPr>
      <w:r>
        <w:rPr>
          <w:b/>
          <w:bCs/>
          <w:color w:val="222222"/>
          <w:sz w:val="21"/>
          <w:szCs w:val="21"/>
        </w:rPr>
        <w:t xml:space="preserve">Dose disposition. </w:t>
      </w:r>
      <w:r>
        <w:rPr>
          <w:color w:val="222222"/>
          <w:sz w:val="21"/>
          <w:szCs w:val="21"/>
        </w:rPr>
        <w:t xml:space="preserve">The system reads the excursion — how long, how hot or cold, which fridge — and checks it against vaccine stability rules to recommend use, quarantine, or discard for each product, showing its reasoning. Today this decision is made manually.</w:t>
      </w:r>
    </w:p>
    <w:p>
      <w:pPr>
        <w:pStyle w:val="ListParagraph"/>
        <w:numPr>
          <w:ilvl w:val="0"/>
          <w:numId w:val="2"/>
        </w:numPr>
        <w:spacing w:after="100" w:line="276"/>
      </w:pPr>
      <w:r>
        <w:rPr>
          <w:b/>
          <w:bCs/>
          <w:color w:val="222222"/>
          <w:sz w:val="21"/>
          <w:szCs w:val="21"/>
        </w:rPr>
        <w:t xml:space="preserve">Escalation. </w:t>
      </w:r>
      <w:r>
        <w:rPr>
          <w:color w:val="222222"/>
          <w:sz w:val="21"/>
          <w:szCs w:val="21"/>
        </w:rPr>
        <w:t xml:space="preserve">Identifies who is on call, whether the immunisation coordinator has been contacted, and drafts the incident record.</w:t>
      </w:r>
    </w:p>
    <w:p>
      <w:pPr>
        <w:pStyle w:val="ListParagraph"/>
        <w:numPr>
          <w:ilvl w:val="0"/>
          <w:numId w:val="2"/>
        </w:numPr>
        <w:spacing w:after="100" w:line="276"/>
      </w:pPr>
      <w:r>
        <w:rPr>
          <w:b/>
          <w:bCs/>
          <w:color w:val="222222"/>
          <w:sz w:val="21"/>
          <w:szCs w:val="21"/>
        </w:rPr>
        <w:t xml:space="preserve">Tamper-evident log. </w:t>
      </w:r>
      <w:r>
        <w:rPr>
          <w:color w:val="222222"/>
          <w:sz w:val="21"/>
          <w:szCs w:val="21"/>
        </w:rPr>
        <w:t xml:space="preserve">Events are hash-stamped so a flagged batch cannot be quietly un-flagged.</w:t>
      </w:r>
    </w:p>
    <w:p>
      <w:pPr>
        <w:pStyle w:val="Heading3"/>
        <w:spacing w:after="100" w:before="240"/>
      </w:pPr>
      <w:r>
        <w:rPr>
          <w:b/>
          <w:bCs/>
          <w:color w:val="2E6F5E"/>
          <w:sz w:val="22"/>
          <w:szCs w:val="22"/>
        </w:rPr>
        <w:t xml:space="preserve">New Zealand angle</w:t>
      </w:r>
    </w:p>
    <w:p>
      <w:pPr>
        <w:pStyle w:val="ListParagraph"/>
        <w:numPr>
          <w:ilvl w:val="0"/>
          <w:numId w:val="3"/>
        </w:numPr>
        <w:spacing w:after="100" w:line="276"/>
      </w:pPr>
      <w:r>
        <w:rPr>
          <w:color w:val="222222"/>
          <w:sz w:val="21"/>
          <w:szCs w:val="21"/>
        </w:rPr>
        <w:t xml:space="preserve">The local process is CCA (Cold Chain Accreditation), run by the Ministry of Health and valid up to three years. Pharmacies are audited separately by Medicines Control.</w:t>
      </w:r>
    </w:p>
    <w:p>
      <w:pPr>
        <w:pStyle w:val="ListParagraph"/>
        <w:numPr>
          <w:ilvl w:val="0"/>
          <w:numId w:val="3"/>
        </w:numPr>
        <w:spacing w:after="100" w:line="276"/>
      </w:pPr>
      <w:r>
        <w:rPr>
          <w:color w:val="222222"/>
          <w:sz w:val="21"/>
          <w:szCs w:val="21"/>
        </w:rPr>
        <w:t xml:space="preserve">The 2017 National Standards are under review by Health NZ right now.</w:t>
      </w:r>
    </w:p>
    <w:p>
      <w:pPr>
        <w:pStyle w:val="ListParagraph"/>
        <w:numPr>
          <w:ilvl w:val="0"/>
          <w:numId w:val="3"/>
        </w:numPr>
        <w:spacing w:after="100" w:line="276"/>
      </w:pPr>
      <w:r>
        <w:rPr>
          <w:color w:val="222222"/>
          <w:sz w:val="21"/>
          <w:szCs w:val="21"/>
        </w:rPr>
        <w:t xml:space="preserve">Current interim rule: fridges over ten years old are allowed only with continuous real-time monitoring and out-of-hours alarming. That is existing demand for this, today.</w:t>
      </w:r>
    </w:p>
    <w:p>
      <w:pPr>
        <w:pStyle w:val="ListParagraph"/>
        <w:numPr>
          <w:ilvl w:val="0"/>
          <w:numId w:val="3"/>
        </w:numPr>
        <w:spacing w:after="100" w:line="276"/>
      </w:pPr>
      <w:r>
        <w:rPr>
          <w:color w:val="222222"/>
          <w:sz w:val="21"/>
          <w:szCs w:val="21"/>
        </w:rPr>
        <w:t xml:space="preserve">Freezing, not overheating, causes most vaccine damage in NZ.</w:t>
      </w:r>
    </w:p>
    <w:p>
      <w:pPr>
        <w:pStyle w:val="ListParagraph"/>
        <w:numPr>
          <w:ilvl w:val="0"/>
          <w:numId w:val="3"/>
        </w:numPr>
        <w:spacing w:after="100" w:line="276"/>
      </w:pPr>
      <w:r>
        <w:rPr>
          <w:color w:val="222222"/>
          <w:sz w:val="21"/>
          <w:szCs w:val="21"/>
        </w:rPr>
        <w:t xml:space="preserve">New Zealand's cold chain programme cut vaccine wastage from 17% to 2% between 2002 and 2008, saving an estimated $4M a year.</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Offline-first — </w:t>
      </w:r>
      <w:r>
        <w:rPr>
          <w:color w:val="222222"/>
          <w:sz w:val="21"/>
          <w:szCs w:val="21"/>
        </w:rPr>
        <w:t xml:space="preserve">buffers locally, syncs on reconnect.</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the firmware is a read-sensor, append-log loop. The web layer is standard CRUD with a time-series chart. The decision layer is a prompt over a rules table, not a model you have to train.</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put the probe in a cup of ice and pull it out mid-pitch. The dashboard flags the excursion, then the system produces a disposition recommendation and a drafted incident report on screen.</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color w:val="222222"/>
          <w:sz w:val="21"/>
          <w:szCs w:val="21"/>
        </w:rPr>
        <w:t xml:space="preserve">Venue WiFi is unreliable. Use BLE-to-phone or a local access point as the main sync path.</w:t>
      </w:r>
    </w:p>
    <w:p>
      <w:pPr>
        <w:pStyle w:val="ListParagraph"/>
        <w:numPr>
          <w:ilvl w:val="0"/>
          <w:numId w:val="3"/>
        </w:numPr>
        <w:spacing w:after="100" w:line="276"/>
      </w:pPr>
      <w:r>
        <w:rPr>
          <w:color w:val="222222"/>
          <w:sz w:val="21"/>
          <w:szCs w:val="21"/>
        </w:rPr>
        <w:t xml:space="preserve">Frame output as decision support pending coordinator sign-off, not as a clinical ruling.</w:t>
      </w:r>
    </w:p>
    <w:p>
      <w:pPr>
        <w:pStyle w:val="ListParagraph"/>
        <w:numPr>
          <w:ilvl w:val="0"/>
          <w:numId w:val="3"/>
        </w:numPr>
        <w:spacing w:after="100" w:line="276"/>
      </w:pPr>
      <w:r>
        <w:rPr>
          <w:color w:val="222222"/>
          <w:sz w:val="21"/>
          <w:szCs w:val="21"/>
        </w:rPr>
        <w:t xml:space="preserve">Record a video of the excursion firing as a fallback.</w:t>
      </w:r>
    </w:p>
    <w:tbl>
      <w:tblPr>
        <w:tblW w:type="pct" w:w="100%"/>
        <w:tblBorders>
          <w:top w:val="single" w:color="C9D2DB" w:sz="4"/>
          <w:left w:val="single" w:color="C9D2DB" w:sz="4"/>
          <w:bottom w:val="single" w:color="C9D2DB" w:sz="4"/>
          <w:right w:val="single" w:color="C9D2DB" w:sz="4"/>
          <w:insideH w:val="none" w:color="FFFFFF" w:sz="0"/>
          <w:insideV w:val="none" w:color="FFFFFF" w:sz="0"/>
        </w:tblBorders>
      </w:tblPr>
      <w:tblGrid>
        <w:gridCol w:w="9350"/>
      </w:tblGrid>
      <w:tr>
        <w:tc>
          <w:tcPr>
            <w:tcW w:type="dxa" w:w="9350"/>
            <w:shd w:fill="EEF2F5" w:color="auto" w:val="clear"/>
            <w:tcMar>
              <w:top w:type="dxa" w:w="160"/>
              <w:left w:type="dxa" w:w="200"/>
              <w:bottom w:type="dxa" w:w="160"/>
              <w:right w:type="dxa" w:w="200"/>
            </w:tcMar>
          </w:tcPr>
          <w:p>
            <w:pPr>
              <w:spacing w:after="80" w:line="260"/>
            </w:pPr>
            <w:r>
              <w:rPr>
                <w:b/>
                <w:bCs/>
                <w:i/>
                <w:iCs/>
                <w:color w:val="44546A"/>
                <w:sz w:val="20"/>
                <w:szCs w:val="20"/>
              </w:rPr>
              <w:t xml:space="preserve">Solid if you pitch the decision layer. Weak if you pitch the logger.</w:t>
            </w:r>
          </w:p>
        </w:tc>
      </w:tr>
    </w:tbl>
    <w:p>
      <w:pPr>
        <w:spacing w:after="200"/>
      </w:pPr>
    </w:p>
    <w:p>
      <w:pPr>
        <w:pStyle w:val="Heading1"/>
        <w:pBdr>
          <w:bottom w:val="single" w:color="1F3A5F" w:sz="8" w:space="4"/>
        </w:pBdr>
        <w:spacing w:after="200" w:before="480"/>
      </w:pPr>
      <w:r>
        <w:rPr>
          <w:b/>
          <w:bCs/>
          <w:color w:val="1F3A5F"/>
          <w:sz w:val="32"/>
          <w:szCs w:val="32"/>
        </w:rPr>
        <w:t xml:space="preserve">Idea 2 — Surplus Matching for Growers</w:t>
      </w:r>
    </w:p>
    <w:p>
      <w:pPr>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02_surplus_matching_growers.png"/>
                    <pic:cNvPicPr/>
                  </pic:nvPicPr>
                  <pic:blipFill>
                    <a:blip r:embed="rId10"/>
                    <a:stretch>
                      <a:fillRect/>
                    </a:stretch>
                  </pic:blipFill>
                  <pic:spPr>
                    <a:xfrm>
                      <a:off x="0" y="0"/>
                      <a:ext cx="5303520" cy="2960104"/>
                    </a:xfrm>
                    <a:prstGeom prst="rect"/>
                  </pic:spPr>
                </pic:pic>
              </a:graphicData>
            </a:graphic>
          </wp:inline>
        </w:drawing>
      </w: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12.3 (halve food waste) and SDG 2.1 (end hunger). Two indicators, one build.</w:t>
      </w:r>
    </w:p>
    <w:p>
      <w:pPr>
        <w:pStyle w:val="Heading3"/>
        <w:spacing w:after="100" w:before="240"/>
      </w:pPr>
      <w:r>
        <w:rPr>
          <w:b/>
          <w:bCs/>
          <w:color w:val="2E6F5E"/>
          <w:sz w:val="22"/>
          <w:szCs w:val="22"/>
        </w:rPr>
        <w:t xml:space="preserve">The numbers</w:t>
      </w:r>
    </w:p>
    <w:p>
      <w:pPr>
        <w:pStyle w:val="ListParagraph"/>
        <w:numPr>
          <w:ilvl w:val="0"/>
          <w:numId w:val="3"/>
        </w:numPr>
        <w:spacing w:after="100" w:line="276"/>
      </w:pPr>
      <w:r>
        <w:rPr>
          <w:color w:val="222222"/>
          <w:sz w:val="21"/>
          <w:szCs w:val="21"/>
        </w:rPr>
        <w:t xml:space="preserve">NZ Food Network and Lineage redirected over 1,000 pallets — about 635,000 kg — of frozen vegetables rejected only for cosmetic irregularities.</w:t>
      </w:r>
    </w:p>
    <w:p>
      <w:pPr>
        <w:pStyle w:val="ListParagraph"/>
        <w:numPr>
          <w:ilvl w:val="0"/>
          <w:numId w:val="3"/>
        </w:numPr>
        <w:spacing w:after="100" w:line="276"/>
      </w:pPr>
      <w:r>
        <w:rPr>
          <w:color w:val="222222"/>
          <w:sz w:val="21"/>
          <w:szCs w:val="21"/>
        </w:rPr>
        <w:t xml:space="preserve">One in three NZ households faced food insecurity in the past year (Hunger Monitor 2025, published March 2026).</w:t>
      </w:r>
    </w:p>
    <w:p>
      <w:pPr>
        <w:pStyle w:val="ListParagraph"/>
        <w:numPr>
          <w:ilvl w:val="0"/>
          <w:numId w:val="3"/>
        </w:numPr>
        <w:spacing w:after="100" w:line="276"/>
      </w:pPr>
      <w:r>
        <w:rPr>
          <w:color w:val="222222"/>
          <w:sz w:val="21"/>
          <w:szCs w:val="21"/>
        </w:rPr>
        <w:t xml:space="preserve">The burden is uneven: Pacific peoples 64%, Māori 51%, ages 18–24 50%.</w:t>
      </w:r>
    </w:p>
    <w:p>
      <w:pPr>
        <w:pStyle w:val="ListParagraph"/>
        <w:numPr>
          <w:ilvl w:val="0"/>
          <w:numId w:val="3"/>
        </w:numPr>
        <w:spacing w:after="100" w:line="276"/>
      </w:pPr>
      <w:r>
        <w:rPr>
          <w:color w:val="222222"/>
          <w:sz w:val="21"/>
          <w:szCs w:val="21"/>
        </w:rPr>
        <w:t xml:space="preserve">Only 44% of food-insecure households have ever accessed food relief.</w:t>
      </w:r>
    </w:p>
    <w:p>
      <w:pPr>
        <w:pStyle w:val="Heading3"/>
        <w:spacing w:after="100" w:before="240"/>
      </w:pPr>
      <w:r>
        <w:rPr>
          <w:b/>
          <w:bCs/>
          <w:color w:val="2E6F5E"/>
          <w:sz w:val="22"/>
          <w:szCs w:val="22"/>
        </w:rPr>
        <w:t xml:space="preserve">Why this is open</w:t>
      </w:r>
    </w:p>
    <w:p>
      <w:pPr>
        <w:spacing w:after="160" w:line="276"/>
      </w:pPr>
      <w:r>
        <w:rPr>
          <w:b w:val="false"/>
          <w:bCs w:val="false"/>
          <w:i w:val="false"/>
          <w:iCs w:val="false"/>
          <w:color w:val="222222"/>
          <w:sz w:val="21"/>
          <w:szCs w:val="21"/>
        </w:rPr>
        <w:t xml:space="preserve">NZ food rescue matching is route-based and manual. NZFN's stated approach for bulk surplus is to act as a single point of contact — a human broker. Regular donors sit on fixed recurring routes.</w:t>
      </w:r>
    </w:p>
    <w:p>
      <w:pPr>
        <w:spacing w:after="160" w:line="276"/>
      </w:pPr>
      <w:r>
        <w:rPr>
          <w:b w:val="false"/>
          <w:bCs w:val="false"/>
          <w:i w:val="false"/>
          <w:iCs w:val="false"/>
          <w:color w:val="222222"/>
          <w:sz w:val="21"/>
          <w:szCs w:val="21"/>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pPr>
        <w:pStyle w:val="Heading3"/>
        <w:spacing w:after="100" w:before="240"/>
      </w:pPr>
      <w:r>
        <w:rPr>
          <w:b/>
          <w:bCs/>
          <w:color w:val="2E6F5E"/>
          <w:sz w:val="22"/>
          <w:szCs w:val="22"/>
        </w:rPr>
        <w:t xml:space="preserve">Approach</w:t>
      </w:r>
    </w:p>
    <w:p>
      <w:pPr>
        <w:pStyle w:val="ListParagraph"/>
        <w:numPr>
          <w:ilvl w:val="0"/>
          <w:numId w:val="4"/>
        </w:numPr>
        <w:spacing w:after="100" w:line="276"/>
      </w:pPr>
      <w:r>
        <w:rPr>
          <w:b/>
          <w:bCs/>
          <w:color w:val="222222"/>
          <w:sz w:val="21"/>
          <w:szCs w:val="21"/>
        </w:rPr>
        <w:t xml:space="preserve">Grader. </w:t>
      </w:r>
      <w:r>
        <w:rPr>
          <w:color w:val="222222"/>
          <w:sz w:val="21"/>
          <w:szCs w:val="21"/>
        </w:rPr>
        <w:t xml:space="preserve">A grower photographs a bin. A vision model grades the reject class and estimates volume. Manual data entry is what stops growers participating, so removing it matters more than it sounds.</w:t>
      </w:r>
    </w:p>
    <w:p>
      <w:pPr>
        <w:pStyle w:val="ListParagraph"/>
        <w:numPr>
          <w:ilvl w:val="0"/>
          <w:numId w:val="4"/>
        </w:numPr>
        <w:spacing w:after="100" w:line="276"/>
      </w:pPr>
      <w:r>
        <w:rPr>
          <w:b/>
          <w:bCs/>
          <w:color w:val="222222"/>
          <w:sz w:val="21"/>
          <w:szCs w:val="21"/>
        </w:rPr>
        <w:t xml:space="preserve">Matcher. </w:t>
      </w:r>
      <w:r>
        <w:rPr>
          <w:color w:val="222222"/>
          <w:sz w:val="21"/>
          <w:szCs w:val="21"/>
        </w:rPr>
        <w:t xml:space="preserve">Scores allocations against shelf life, cold storage availability, hub capacity, travel time, and need severity. This is a scoring function, not a chatbot.</w:t>
      </w:r>
    </w:p>
    <w:p>
      <w:pPr>
        <w:pStyle w:val="ListParagraph"/>
        <w:numPr>
          <w:ilvl w:val="0"/>
          <w:numId w:val="4"/>
        </w:numPr>
        <w:spacing w:after="100" w:line="276"/>
      </w:pPr>
      <w:r>
        <w:rPr>
          <w:b/>
          <w:bCs/>
          <w:color w:val="222222"/>
          <w:sz w:val="21"/>
          <w:szCs w:val="21"/>
        </w:rPr>
        <w:t xml:space="preserve">Impact ledger. </w:t>
      </w:r>
      <w:r>
        <w:rPr>
          <w:color w:val="222222"/>
          <w:sz w:val="21"/>
          <w:szCs w:val="21"/>
        </w:rPr>
        <w:t xml:space="preserve">Tracks kg diverted, meal equivalents, and CO₂e avoided, mapped to SDG 12.3.</w:t>
      </w:r>
    </w:p>
    <w:p>
      <w:pPr>
        <w:pStyle w:val="Heading3"/>
        <w:spacing w:after="100" w:before="240"/>
      </w:pPr>
      <w:r>
        <w:rPr>
          <w:b/>
          <w:bCs/>
          <w:color w:val="2E6F5E"/>
          <w:sz w:val="22"/>
          <w:szCs w:val="22"/>
        </w:rPr>
        <w:t xml:space="preserve">Domain detail and scale</w:t>
      </w:r>
    </w:p>
    <w:p>
      <w:pPr>
        <w:pStyle w:val="ListParagraph"/>
        <w:numPr>
          <w:ilvl w:val="0"/>
          <w:numId w:val="3"/>
        </w:numPr>
        <w:spacing w:after="100" w:line="276"/>
      </w:pPr>
      <w:r>
        <w:rPr>
          <w:color w:val="222222"/>
          <w:sz w:val="21"/>
          <w:szCs w:val="21"/>
        </w:rPr>
        <w:t xml:space="preserve">The Food Act 2014 excludes food with compromised sanitary seals unless it is heated. Naming a real constraint like this shows you looked at the sector.</w:t>
      </w:r>
    </w:p>
    <w:p>
      <w:pPr>
        <w:pStyle w:val="ListParagraph"/>
        <w:numPr>
          <w:ilvl w:val="0"/>
          <w:numId w:val="3"/>
        </w:numPr>
        <w:spacing w:after="100" w:line="276"/>
      </w:pPr>
      <w:r>
        <w:rPr>
          <w:color w:val="222222"/>
          <w:sz w:val="21"/>
          <w:szCs w:val="21"/>
        </w:rPr>
        <w:t xml:space="preserve">64 food hubs, 2,000+ frontline groups, and roughly 28 million meal equivalents a year are already moving. You would be adding a layer to an existing network rather than building one.</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vision grading is one API call with a rubric. A greedy allocator demos the same as an optimal one at this scale. The dashboard is CRUD, a map, and a chart.</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photograph a crate of misshapen carrots. It gets graded, the matcher allocates across three mock hubs, and the ledger updates. Then mark a hub's chiller offline and let it reallocate.</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color w:val="222222"/>
          <w:sz w:val="21"/>
          <w:szCs w:val="21"/>
        </w:rPr>
        <w:t xml:space="preserve">A two-sided marketplace with thin supply fails. Pitch it as a tool for one broker who already has both sides, not as a marketplace.</w:t>
      </w:r>
    </w:p>
    <w:p>
      <w:pPr>
        <w:pStyle w:val="ListParagraph"/>
        <w:numPr>
          <w:ilvl w:val="0"/>
          <w:numId w:val="3"/>
        </w:numPr>
        <w:spacing w:after="100" w:line="276"/>
      </w:pPr>
      <w:r>
        <w:rPr>
          <w:color w:val="222222"/>
          <w:sz w:val="21"/>
          <w:szCs w:val="21"/>
        </w:rPr>
        <w:t xml:space="preserve">Position it as complementary to NZFN rather than competing.</w:t>
      </w:r>
    </w:p>
    <w:tbl>
      <w:tblPr>
        <w:tblW w:type="pct" w:w="100%"/>
        <w:tblBorders>
          <w:top w:val="single" w:color="C9D2DB" w:sz="4"/>
          <w:left w:val="single" w:color="C9D2DB" w:sz="4"/>
          <w:bottom w:val="single" w:color="C9D2DB" w:sz="4"/>
          <w:right w:val="single" w:color="C9D2DB" w:sz="4"/>
          <w:insideH w:val="none" w:color="FFFFFF" w:sz="0"/>
          <w:insideV w:val="none" w:color="FFFFFF" w:sz="0"/>
        </w:tblBorders>
      </w:tblPr>
      <w:tblGrid>
        <w:gridCol w:w="9350"/>
      </w:tblGrid>
      <w:tr>
        <w:tc>
          <w:tcPr>
            <w:tcW w:type="dxa" w:w="9350"/>
            <w:shd w:fill="EEF2F5" w:color="auto" w:val="clear"/>
            <w:tcMar>
              <w:top w:type="dxa" w:w="160"/>
              <w:left w:type="dxa" w:w="200"/>
              <w:bottom w:type="dxa" w:w="160"/>
              <w:right w:type="dxa" w:w="200"/>
            </w:tcMar>
          </w:tcPr>
          <w:p>
            <w:pPr>
              <w:spacing w:after="80" w:line="260"/>
            </w:pPr>
            <w:r>
              <w:rPr>
                <w:b/>
                <w:bCs/>
                <w:i/>
                <w:iCs/>
                <w:color w:val="44546A"/>
                <w:sz w:val="20"/>
                <w:szCs w:val="20"/>
              </w:rPr>
              <w:t xml:space="preserve">The best-balanced option: local data, a real gap, AI that is not a chatbot, two indicators, and a mechanism that works beyond NZ.</w:t>
            </w:r>
          </w:p>
        </w:tc>
      </w:tr>
    </w:tbl>
    <w:p>
      <w:pPr>
        <w:spacing w:after="200"/>
      </w:pPr>
    </w:p>
    <w:p>
      <w:pPr>
        <w:pStyle w:val="Heading1"/>
        <w:pBdr>
          <w:bottom w:val="single" w:color="1F3A5F" w:sz="8" w:space="4"/>
        </w:pBdr>
        <w:spacing w:after="200" w:before="480"/>
      </w:pPr>
      <w:r>
        <w:rPr>
          <w:b/>
          <w:bCs/>
          <w:color w:val="1F3A5F"/>
          <w:sz w:val="32"/>
          <w:szCs w:val="32"/>
        </w:rPr>
        <w:t xml:space="preserve">Idea 3 — Disability Funding Reassessment Tool</w:t>
      </w:r>
    </w:p>
    <w:p>
      <w:pPr>
        <w:jc w:val="center"/>
      </w:pPr>
      <w:r>
        <w:drawing>
          <wp:inline xmlns:a="http://schemas.openxmlformats.org/drawingml/2006/main" xmlns:pic="http://schemas.openxmlformats.org/drawingml/2006/picture">
            <wp:extent cx="5303520" cy="2960104"/>
            <wp:docPr id="3" name="Picture 3"/>
            <wp:cNvGraphicFramePr>
              <a:graphicFrameLocks noChangeAspect="1"/>
            </wp:cNvGraphicFramePr>
            <a:graphic>
              <a:graphicData uri="http://schemas.openxmlformats.org/drawingml/2006/picture">
                <pic:pic>
                  <pic:nvPicPr>
                    <pic:cNvPr id="0" name="03_disability_funding_reassessment.png"/>
                    <pic:cNvPicPr/>
                  </pic:nvPicPr>
                  <pic:blipFill>
                    <a:blip r:embed="rId11"/>
                    <a:stretch>
                      <a:fillRect/>
                    </a:stretch>
                  </pic:blipFill>
                  <pic:spPr>
                    <a:xfrm>
                      <a:off x="0" y="0"/>
                      <a:ext cx="5303520" cy="2960104"/>
                    </a:xfrm>
                    <a:prstGeom prst="rect"/>
                  </pic:spPr>
                </pic:pic>
              </a:graphicData>
            </a:graphic>
          </wp:inline>
        </w:drawing>
      </w: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10.2 (social and economic inclusion regardless of disability).</w:t>
      </w:r>
    </w:p>
    <w:p>
      <w:pPr>
        <w:pStyle w:val="Heading3"/>
        <w:spacing w:after="100" w:before="240"/>
      </w:pPr>
      <w:r>
        <w:rPr>
          <w:b/>
          <w:bCs/>
          <w:color w:val="2E6F5E"/>
          <w:sz w:val="22"/>
          <w:szCs w:val="22"/>
        </w:rPr>
        <w:t xml:space="preserve">Why the timing matters</w:t>
      </w:r>
    </w:p>
    <w:p>
      <w:pPr>
        <w:pStyle w:val="ListParagraph"/>
        <w:numPr>
          <w:ilvl w:val="0"/>
          <w:numId w:val="3"/>
        </w:numPr>
        <w:spacing w:after="100" w:line="276"/>
      </w:pPr>
      <w:r>
        <w:rPr>
          <w:color w:val="222222"/>
          <w:sz w:val="21"/>
          <w:szCs w:val="21"/>
        </w:rPr>
        <w:t xml:space="preserve">Waikato is an EGL site. EGL Waikato and Mana Whaikaha whānau keep direct funding. The event is inside the affected region and the judges are local.</w:t>
      </w:r>
    </w:p>
    <w:p>
      <w:pPr>
        <w:pStyle w:val="ListParagraph"/>
        <w:numPr>
          <w:ilvl w:val="0"/>
          <w:numId w:val="3"/>
        </w:numPr>
        <w:spacing w:after="100" w:line="276"/>
      </w:pPr>
      <w:r>
        <w:rPr>
          <w:color w:val="222222"/>
          <w:sz w:val="21"/>
          <w:szCs w:val="21"/>
        </w:rPr>
        <w:t xml:space="preserve">Reassessments start two months after the hackathon.</w:t>
      </w:r>
    </w:p>
    <w:p>
      <w:pPr>
        <w:pStyle w:val="ListParagraph"/>
        <w:numPr>
          <w:ilvl w:val="0"/>
          <w:numId w:val="3"/>
        </w:numPr>
        <w:spacing w:after="100" w:line="276"/>
      </w:pPr>
      <w:r>
        <w:rPr>
          <w:color w:val="222222"/>
          <w:sz w:val="21"/>
          <w:szCs w:val="21"/>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pPr>
        <w:pStyle w:val="ListParagraph"/>
        <w:numPr>
          <w:ilvl w:val="0"/>
          <w:numId w:val="3"/>
        </w:numPr>
        <w:spacing w:after="100" w:line="276"/>
      </w:pPr>
      <w:r>
        <w:rPr>
          <w:color w:val="222222"/>
          <w:sz w:val="21"/>
          <w:szCs w:val="21"/>
        </w:rPr>
        <w:t xml:space="preserve">CCS Disability Action says Budget 2026 squeezes community-based support while protecting residential care.</w:t>
      </w:r>
    </w:p>
    <w:p>
      <w:pPr>
        <w:pStyle w:val="Heading3"/>
        <w:spacing w:after="100" w:before="240"/>
      </w:pPr>
      <w:r>
        <w:rPr>
          <w:b/>
          <w:bCs/>
          <w:color w:val="2E6F5E"/>
          <w:sz w:val="22"/>
          <w:szCs w:val="22"/>
        </w:rPr>
        <w:t xml:space="preserve">Approach</w:t>
      </w:r>
    </w:p>
    <w:p>
      <w:pPr>
        <w:pStyle w:val="ListParagraph"/>
        <w:numPr>
          <w:ilvl w:val="0"/>
          <w:numId w:val="5"/>
        </w:numPr>
        <w:spacing w:after="100" w:line="276"/>
      </w:pPr>
      <w:r>
        <w:rPr>
          <w:b/>
          <w:bCs/>
          <w:color w:val="222222"/>
          <w:sz w:val="21"/>
          <w:szCs w:val="21"/>
        </w:rPr>
        <w:t xml:space="preserve">Budget simulator. </w:t>
      </w:r>
      <w:r>
        <w:rPr>
          <w:color w:val="222222"/>
          <w:sz w:val="21"/>
          <w:szCs w:val="21"/>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pPr>
        <w:pStyle w:val="ListParagraph"/>
        <w:numPr>
          <w:ilvl w:val="0"/>
          <w:numId w:val="5"/>
        </w:numPr>
        <w:spacing w:after="100" w:line="276"/>
      </w:pPr>
      <w:r>
        <w:rPr>
          <w:b/>
          <w:bCs/>
          <w:color w:val="222222"/>
          <w:sz w:val="21"/>
          <w:szCs w:val="21"/>
        </w:rPr>
        <w:t xml:space="preserve">Evidence pack generator. </w:t>
      </w:r>
      <w:r>
        <w:rPr>
          <w:color w:val="222222"/>
          <w:sz w:val="21"/>
          <w:szCs w:val="21"/>
        </w:rPr>
        <w:t xml:space="preserve">Retrieval over the National Standards, the February 2026 fact sheet, and EGL principles, producing a reassessment submission with citations.</w:t>
      </w:r>
    </w:p>
    <w:p>
      <w:pPr>
        <w:pStyle w:val="ListParagraph"/>
        <w:numPr>
          <w:ilvl w:val="0"/>
          <w:numId w:val="5"/>
        </w:numPr>
        <w:spacing w:after="100" w:line="276"/>
      </w:pPr>
      <w:r>
        <w:rPr>
          <w:b/>
          <w:bCs/>
          <w:color w:val="222222"/>
          <w:sz w:val="21"/>
          <w:szCs w:val="21"/>
        </w:rPr>
        <w:t xml:space="preserve">Plain-language layer. </w:t>
      </w:r>
      <w:r>
        <w:rPr>
          <w:color w:val="222222"/>
          <w:sz w:val="21"/>
          <w:szCs w:val="21"/>
        </w:rPr>
        <w:t xml:space="preserve">Turns clause text into readable summaries, and works the other way too — putting a whānau's account into the assessor's terms.</w:t>
      </w:r>
    </w:p>
    <w:p>
      <w:pPr>
        <w:pStyle w:val="Heading3"/>
        <w:spacing w:after="100" w:before="240"/>
      </w:pPr>
      <w:r>
        <w:rPr>
          <w:b/>
          <w:bCs/>
          <w:color w:val="2E6F5E"/>
          <w:sz w:val="22"/>
          <w:szCs w:val="22"/>
        </w:rPr>
        <w:t xml:space="preserve">Accessibility</w:t>
      </w:r>
    </w:p>
    <w:p>
      <w:pPr>
        <w:spacing w:after="160" w:line="276"/>
      </w:pPr>
      <w:r>
        <w:rPr>
          <w:b w:val="false"/>
          <w:bCs w:val="false"/>
          <w:i w:val="false"/>
          <w:iCs w:val="false"/>
          <w:color w:val="222222"/>
          <w:sz w:val="21"/>
          <w:szCs w:val="21"/>
        </w:rPr>
        <w:t xml:space="preserve">This is the one idea where accessibility is the product rather than a requirement to satisfy. WCAG 2.2 AA, screen-reader first, fully keyboard navigable. You have an accessibility skill installed with reference material.</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the simulator is arithmetic over a rules table. The evidence pack is retrieval over roughly 40 pages of public PDFs. No training, scraping, or authentication.</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two personas side by side — one whose budget holds, one whose baseline was suppressed by the 2024 rules. Same tool, different outcomes, both explained. Then generate the second persona's evidence pack.</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color w:val="222222"/>
          <w:sz w:val="21"/>
          <w:szCs w:val="21"/>
        </w:rPr>
        <w:t xml:space="preserve">You are modelling contested policy. Label outputs as indicative, not determinations, and cite every rule to its source.</w:t>
      </w:r>
    </w:p>
    <w:p>
      <w:pPr>
        <w:pStyle w:val="ListParagraph"/>
        <w:numPr>
          <w:ilvl w:val="0"/>
          <w:numId w:val="3"/>
        </w:numPr>
        <w:spacing w:after="100" w:line="276"/>
      </w:pPr>
      <w:r>
        <w:rPr>
          <w:color w:val="222222"/>
          <w:sz w:val="21"/>
          <w:szCs w:val="21"/>
        </w:rPr>
        <w:t xml:space="preserve">Use synthetic personas only.</w:t>
      </w:r>
    </w:p>
    <w:p>
      <w:pPr>
        <w:pStyle w:val="ListParagraph"/>
        <w:numPr>
          <w:ilvl w:val="0"/>
          <w:numId w:val="3"/>
        </w:numPr>
        <w:spacing w:after="100" w:line="276"/>
      </w:pPr>
      <w:r>
        <w:rPr>
          <w:color w:val="222222"/>
          <w:sz w:val="21"/>
          <w:szCs w:val="21"/>
        </w:rPr>
        <w:t xml:space="preserve">Get the rules right or do not ship. A wrong number here affects real people, and saying so in the pitch is worth more than hiding it.</w:t>
      </w:r>
    </w:p>
    <w:tbl>
      <w:tblPr>
        <w:tblW w:type="pct" w:w="100%"/>
        <w:tblBorders>
          <w:top w:val="single" w:color="C9D2DB" w:sz="4"/>
          <w:left w:val="single" w:color="C9D2DB" w:sz="4"/>
          <w:bottom w:val="single" w:color="C9D2DB" w:sz="4"/>
          <w:right w:val="single" w:color="C9D2DB" w:sz="4"/>
          <w:insideH w:val="none" w:color="FFFFFF" w:sz="0"/>
          <w:insideV w:val="none" w:color="FFFFFF" w:sz="0"/>
        </w:tblBorders>
      </w:tblPr>
      <w:tblGrid>
        <w:gridCol w:w="9350"/>
      </w:tblGrid>
      <w:tr>
        <w:tc>
          <w:tcPr>
            <w:tcW w:type="dxa" w:w="9350"/>
            <w:shd w:fill="EEF2F5" w:color="auto" w:val="clear"/>
            <w:tcMar>
              <w:top w:type="dxa" w:w="160"/>
              <w:left w:type="dxa" w:w="200"/>
              <w:bottom w:type="dxa" w:w="160"/>
              <w:right w:type="dxa" w:w="200"/>
            </w:tcMar>
          </w:tcPr>
          <w:p>
            <w:pPr>
              <w:spacing w:after="80" w:line="260"/>
            </w:pPr>
            <w:r>
              <w:rPr>
                <w:b/>
                <w:bCs/>
                <w:i/>
                <w:iCs/>
                <w:color w:val="44546A"/>
                <w:sz w:val="20"/>
                <w:szCs w:val="20"/>
              </w:rPr>
              <w:t xml:space="preserve">Strongest local resonance, and the only idea where the accessibility brief and the technical work are the same thing.</w:t>
            </w:r>
          </w:p>
        </w:tc>
      </w:tr>
    </w:tbl>
    <w:p>
      <w:pPr>
        <w:spacing w:after="200"/>
      </w:pPr>
    </w:p>
    <w:p>
      <w:pPr>
        <w:pStyle w:val="Heading1"/>
        <w:pBdr>
          <w:bottom w:val="single" w:color="1F3A5F" w:sz="8" w:space="4"/>
        </w:pBdr>
        <w:spacing w:after="200" w:before="480"/>
      </w:pPr>
      <w:r>
        <w:rPr>
          <w:b/>
          <w:bCs/>
          <w:color w:val="1F3A5F"/>
          <w:sz w:val="32"/>
          <w:szCs w:val="32"/>
        </w:rPr>
        <w:t xml:space="preserve">Idea 4 — E-Waste Routing</w:t>
      </w:r>
    </w:p>
    <w:p>
      <w:pPr>
        <w:jc w:val="center"/>
      </w:pPr>
      <w:r>
        <w:drawing>
          <wp:inline xmlns:a="http://schemas.openxmlformats.org/drawingml/2006/main" xmlns:pic="http://schemas.openxmlformats.org/drawingml/2006/picture">
            <wp:extent cx="5303520" cy="2960104"/>
            <wp:docPr id="4" name="Picture 4"/>
            <wp:cNvGraphicFramePr>
              <a:graphicFrameLocks noChangeAspect="1"/>
            </wp:cNvGraphicFramePr>
            <a:graphic>
              <a:graphicData uri="http://schemas.openxmlformats.org/drawingml/2006/picture">
                <pic:pic>
                  <pic:nvPicPr>
                    <pic:cNvPr id="0" name="04_ewaste_routing.png"/>
                    <pic:cNvPicPr/>
                  </pic:nvPicPr>
                  <pic:blipFill>
                    <a:blip r:embed="rId12"/>
                    <a:stretch>
                      <a:fillRect/>
                    </a:stretch>
                  </pic:blipFill>
                  <pic:spPr>
                    <a:xfrm>
                      <a:off x="0" y="0"/>
                      <a:ext cx="5303520" cy="2960104"/>
                    </a:xfrm>
                    <a:prstGeom prst="rect"/>
                  </pic:spPr>
                </pic:pic>
              </a:graphicData>
            </a:graphic>
          </wp:inline>
        </w:drawing>
      </w: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12.5 (reduce waste generation). Indicator 12.5.1 is the national recycling rate, which NZ largely cannot report — and that is part of the story.</w:t>
      </w:r>
    </w:p>
    <w:p>
      <w:pPr>
        <w:pStyle w:val="Heading3"/>
        <w:spacing w:after="100" w:before="240"/>
      </w:pPr>
      <w:r>
        <w:rPr>
          <w:b/>
          <w:bCs/>
          <w:color w:val="2E6F5E"/>
          <w:sz w:val="22"/>
          <w:szCs w:val="22"/>
        </w:rPr>
        <w:t xml:space="preserve">The gap</w:t>
      </w:r>
    </w:p>
    <w:p>
      <w:pPr>
        <w:spacing w:after="160" w:line="276"/>
      </w:pPr>
      <w:r>
        <w:rPr>
          <w:b w:val="false"/>
          <w:bCs w:val="false"/>
          <w:i w:val="false"/>
          <w:iCs w:val="false"/>
          <w:color w:val="222222"/>
          <w:sz w:val="21"/>
          <w:szCs w:val="21"/>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pPr>
        <w:pStyle w:val="Heading3"/>
        <w:spacing w:after="100" w:before="240"/>
      </w:pPr>
      <w:r>
        <w:rPr>
          <w:b/>
          <w:bCs/>
          <w:color w:val="2E6F5E"/>
          <w:sz w:val="22"/>
          <w:szCs w:val="22"/>
        </w:rPr>
        <w:t xml:space="preserve">Approach</w:t>
      </w:r>
    </w:p>
    <w:p>
      <w:pPr>
        <w:pStyle w:val="ListParagraph"/>
        <w:numPr>
          <w:ilvl w:val="0"/>
          <w:numId w:val="6"/>
        </w:numPr>
        <w:spacing w:after="100" w:line="276"/>
      </w:pPr>
      <w:r>
        <w:rPr>
          <w:b/>
          <w:bCs/>
          <w:color w:val="222222"/>
          <w:sz w:val="21"/>
          <w:szCs w:val="21"/>
        </w:rPr>
        <w:t xml:space="preserve">Drop-off guidance. </w:t>
      </w:r>
      <w:r>
        <w:rPr>
          <w:color w:val="222222"/>
          <w:sz w:val="21"/>
          <w:szCs w:val="21"/>
        </w:rPr>
        <w:t xml:space="preserve">Photograph a device; a vision model identifies the type and hazardous components, then finds the nearest point that actually accepts it. Right now this is confusing enough that people give up and landfill it.</w:t>
      </w:r>
    </w:p>
    <w:p>
      <w:pPr>
        <w:pStyle w:val="ListParagraph"/>
        <w:numPr>
          <w:ilvl w:val="0"/>
          <w:numId w:val="6"/>
        </w:numPr>
        <w:spacing w:after="100" w:line="276"/>
      </w:pPr>
      <w:r>
        <w:rPr>
          <w:b/>
          <w:bCs/>
          <w:color w:val="222222"/>
          <w:sz w:val="21"/>
          <w:szCs w:val="21"/>
        </w:rPr>
        <w:t xml:space="preserve">Repair before recycle. </w:t>
      </w:r>
      <w:r>
        <w:rPr>
          <w:color w:val="222222"/>
          <w:sz w:val="21"/>
          <w:szCs w:val="21"/>
        </w:rPr>
        <w:t xml:space="preserve">Route repairable devices to repair cafés and refurbishers first. Recycling is the last step in the waste hierarchy, but most tools skip straight to it.</w:t>
      </w:r>
    </w:p>
    <w:p>
      <w:pPr>
        <w:pStyle w:val="ListParagraph"/>
        <w:numPr>
          <w:ilvl w:val="0"/>
          <w:numId w:val="6"/>
        </w:numPr>
        <w:spacing w:after="100" w:line="276"/>
      </w:pPr>
      <w:r>
        <w:rPr>
          <w:b/>
          <w:bCs/>
          <w:color w:val="222222"/>
          <w:sz w:val="21"/>
          <w:szCs w:val="21"/>
        </w:rPr>
        <w:t xml:space="preserve">Reporting ledger. </w:t>
      </w:r>
      <w:r>
        <w:rPr>
          <w:color w:val="222222"/>
          <w:sz w:val="21"/>
          <w:szCs w:val="21"/>
        </w:rPr>
        <w:t xml:space="preserve">Aggregate anonymised flows into the shape a regulated scheme will eventually require, so the data model exists when regulations land.</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Low bandwidth — </w:t>
      </w:r>
      <w:r>
        <w:rPr>
          <w:color w:val="222222"/>
          <w:sz w:val="21"/>
          <w:szCs w:val="21"/>
        </w:rPr>
        <w:t xml:space="preserve">an SMS path that assumes no smartphone makes it usable in places where informal collectors do this work, which is where 12.5 is weakest globally.</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vision identification is one API call. The list of accepting points is small enough to assemble by hand. The ledger is a schema and a chart.</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photograph an old phone and a dead microwave. One routes to repair, one to a named recycler, and one is refused by the voluntary scheme entirely — that refusal gets logged as evidence of the policy gap.</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color w:val="222222"/>
          <w:sz w:val="21"/>
          <w:szCs w:val="21"/>
        </w:rPr>
        <w:t xml:space="preserve">Frame the regulatory angle as a scheme-ready data model, not a claim to influence policy.</w:t>
      </w:r>
    </w:p>
    <w:p>
      <w:pPr>
        <w:pStyle w:val="ListParagraph"/>
        <w:numPr>
          <w:ilvl w:val="0"/>
          <w:numId w:val="3"/>
        </w:numPr>
        <w:spacing w:after="100" w:line="276"/>
      </w:pPr>
      <w:r>
        <w:rPr>
          <w:color w:val="222222"/>
          <w:sz w:val="21"/>
          <w:szCs w:val="21"/>
        </w:rPr>
        <w:t xml:space="preserve">Curate the accepting-points list manually rather than building a scraper.</w:t>
      </w:r>
    </w:p>
    <w:tbl>
      <w:tblPr>
        <w:tblW w:type="pct" w:w="100%"/>
        <w:tblBorders>
          <w:top w:val="single" w:color="C9D2DB" w:sz="4"/>
          <w:left w:val="single" w:color="C9D2DB" w:sz="4"/>
          <w:bottom w:val="single" w:color="C9D2DB" w:sz="4"/>
          <w:right w:val="single" w:color="C9D2DB" w:sz="4"/>
          <w:insideH w:val="none" w:color="FFFFFF" w:sz="0"/>
          <w:insideV w:val="none" w:color="FFFFFF" w:sz="0"/>
        </w:tblBorders>
      </w:tblPr>
      <w:tblGrid>
        <w:gridCol w:w="9350"/>
      </w:tblGrid>
      <w:tr>
        <w:tc>
          <w:tcPr>
            <w:tcW w:type="dxa" w:w="9350"/>
            <w:shd w:fill="EEF2F5" w:color="auto" w:val="clear"/>
            <w:tcMar>
              <w:top w:type="dxa" w:w="160"/>
              <w:left w:type="dxa" w:w="200"/>
              <w:bottom w:type="dxa" w:w="160"/>
              <w:right w:type="dxa" w:w="200"/>
            </w:tcMar>
          </w:tcPr>
          <w:p>
            <w:pPr>
              <w:spacing w:after="80" w:line="260"/>
            </w:pPr>
            <w:r>
              <w:rPr>
                <w:b/>
                <w:bCs/>
                <w:i/>
                <w:iCs/>
                <w:color w:val="44546A"/>
                <w:sz w:val="20"/>
                <w:szCs w:val="20"/>
              </w:rPr>
              <w:t xml:space="preserve">Best reporting story of the five. Weakest emotional hook, so the pitch has to carry it.</w:t>
            </w:r>
          </w:p>
        </w:tc>
      </w:tr>
    </w:tbl>
    <w:p>
      <w:pPr>
        <w:spacing w:after="200"/>
      </w:pPr>
    </w:p>
    <w:p>
      <w:pPr>
        <w:pStyle w:val="Heading1"/>
        <w:pBdr>
          <w:bottom w:val="single" w:color="1F3A5F" w:sz="8" w:space="4"/>
        </w:pBdr>
        <w:spacing w:after="200" w:before="480"/>
      </w:pPr>
      <w:r>
        <w:rPr>
          <w:b/>
          <w:bCs/>
          <w:color w:val="1F3A5F"/>
          <w:sz w:val="32"/>
          <w:szCs w:val="32"/>
        </w:rPr>
        <w:t xml:space="preserve">Idea 5 — Neighbourhood SDG Indicator Generator</w:t>
      </w:r>
    </w:p>
    <w:p>
      <w:pPr>
        <w:jc w:val="center"/>
      </w:pPr>
      <w:r>
        <w:drawing>
          <wp:inline xmlns:a="http://schemas.openxmlformats.org/drawingml/2006/main" xmlns:pic="http://schemas.openxmlformats.org/drawingml/2006/picture">
            <wp:extent cx="5303520" cy="2960104"/>
            <wp:docPr id="5" name="Picture 5"/>
            <wp:cNvGraphicFramePr>
              <a:graphicFrameLocks noChangeAspect="1"/>
            </wp:cNvGraphicFramePr>
            <a:graphic>
              <a:graphicData uri="http://schemas.openxmlformats.org/drawingml/2006/picture">
                <pic:pic>
                  <pic:nvPicPr>
                    <pic:cNvPr id="0" name="05_neighbourhood_sdg_indicator.png"/>
                    <pic:cNvPicPr/>
                  </pic:nvPicPr>
                  <pic:blipFill>
                    <a:blip r:embed="rId13"/>
                    <a:stretch>
                      <a:fillRect/>
                    </a:stretch>
                  </pic:blipFill>
                  <pic:spPr>
                    <a:xfrm>
                      <a:off x="0" y="0"/>
                      <a:ext cx="5303520" cy="2960104"/>
                    </a:xfrm>
                    <a:prstGeom prst="rect"/>
                  </pic:spPr>
                </pic:pic>
              </a:graphicData>
            </a:graphic>
          </wp:inline>
        </w:drawing>
      </w: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The main gap in SDG 11 is measurement. Fewer than a third of sustainable-cities indicators have data at all, and coverage is worst at neighbourhood level and for vulnerable groups. HLPF 2026 called for urban data systems as a public good.</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11.7, access to safe and inclusive public space. Indicator 11.7.1 is the average share of built-up area that is open public space.</w:t>
      </w:r>
    </w:p>
    <w:p>
      <w:pPr>
        <w:pStyle w:val="Heading3"/>
        <w:spacing w:after="100" w:before="240"/>
      </w:pPr>
      <w:r>
        <w:rPr>
          <w:b/>
          <w:bCs/>
          <w:color w:val="2E6F5E"/>
          <w:sz w:val="22"/>
          <w:szCs w:val="22"/>
        </w:rPr>
        <w:t xml:space="preserve">The numbers</w:t>
      </w:r>
    </w:p>
    <w:p>
      <w:pPr>
        <w:pStyle w:val="ListParagraph"/>
        <w:numPr>
          <w:ilvl w:val="0"/>
          <w:numId w:val="3"/>
        </w:numPr>
        <w:spacing w:after="100" w:line="276"/>
      </w:pPr>
      <w:r>
        <w:rPr>
          <w:color w:val="222222"/>
          <w:sz w:val="21"/>
          <w:szCs w:val="21"/>
        </w:rPr>
        <w:t xml:space="preserve">Access to open public space fell from 48.0% to 45.9% between 2020 and 2025 across 414 cities in 126 countries. It is going backwards.</w:t>
      </w:r>
    </w:p>
    <w:p>
      <w:pPr>
        <w:pStyle w:val="ListParagraph"/>
        <w:numPr>
          <w:ilvl w:val="0"/>
          <w:numId w:val="3"/>
        </w:numPr>
        <w:spacing w:after="100" w:line="276"/>
      </w:pPr>
      <w:r>
        <w:rPr>
          <w:color w:val="222222"/>
          <w:sz w:val="21"/>
          <w:szCs w:val="21"/>
        </w:rPr>
        <w:t xml:space="preserve">About 1.1 billion people live in slums or slum-like conditions, with another 2 billion projected over 30 years.</w:t>
      </w:r>
    </w:p>
    <w:p>
      <w:pPr>
        <w:pStyle w:val="Heading3"/>
        <w:spacing w:after="100" w:before="240"/>
      </w:pPr>
      <w:r>
        <w:rPr>
          <w:b/>
          <w:bCs/>
          <w:color w:val="2E6F5E"/>
          <w:sz w:val="22"/>
          <w:szCs w:val="22"/>
        </w:rPr>
        <w:t xml:space="preserve">Approach</w:t>
      </w:r>
    </w:p>
    <w:p>
      <w:pPr>
        <w:pStyle w:val="ListParagraph"/>
        <w:numPr>
          <w:ilvl w:val="0"/>
          <w:numId w:val="7"/>
        </w:numPr>
        <w:spacing w:after="100" w:line="276"/>
      </w:pPr>
      <w:r>
        <w:rPr>
          <w:b/>
          <w:bCs/>
          <w:color w:val="222222"/>
          <w:sz w:val="21"/>
          <w:szCs w:val="21"/>
        </w:rPr>
        <w:t xml:space="preserve">Compute rather than survey. </w:t>
      </w:r>
      <w:r>
        <w:rPr>
          <w:color w:val="222222"/>
          <w:sz w:val="21"/>
          <w:szCs w:val="21"/>
        </w:rPr>
        <w:t xml:space="preserve">Free satellite imagery, OpenStreetMap, and a segmentation model estimate open public space share for a neighbourhood, output in the form UN-Habitat's methodology expects.</w:t>
      </w:r>
    </w:p>
    <w:p>
      <w:pPr>
        <w:pStyle w:val="ListParagraph"/>
        <w:numPr>
          <w:ilvl w:val="0"/>
          <w:numId w:val="7"/>
        </w:numPr>
        <w:spacing w:after="100" w:line="276"/>
      </w:pPr>
      <w:r>
        <w:rPr>
          <w:b/>
          <w:bCs/>
          <w:color w:val="222222"/>
          <w:sz w:val="21"/>
          <w:szCs w:val="21"/>
        </w:rPr>
        <w:t xml:space="preserve">Ground-truth layer. </w:t>
      </w:r>
      <w:r>
        <w:rPr>
          <w:color w:val="222222"/>
          <w:sz w:val="21"/>
          <w:szCs w:val="21"/>
        </w:rPr>
        <w:t xml:space="preserve">Residents contribute phone photos and a vision model checks whether mapped public space is actually accessible — fenced, locked, paved over, or usable. Satellites cannot see this.</w:t>
      </w:r>
    </w:p>
    <w:p>
      <w:pPr>
        <w:pStyle w:val="ListParagraph"/>
        <w:numPr>
          <w:ilvl w:val="0"/>
          <w:numId w:val="7"/>
        </w:numPr>
        <w:spacing w:after="100" w:line="276"/>
      </w:pPr>
      <w:r>
        <w:rPr>
          <w:b/>
          <w:bCs/>
          <w:color w:val="222222"/>
          <w:sz w:val="21"/>
          <w:szCs w:val="21"/>
        </w:rPr>
        <w:t xml:space="preserve">Validate publicly. </w:t>
      </w:r>
      <w:r>
        <w:rPr>
          <w:color w:val="222222"/>
          <w:sz w:val="21"/>
          <w:szCs w:val="21"/>
        </w:rPr>
        <w:t xml:space="preserve">Run it on a city UN-Habitat has already measured and show your estimate next to theirs. Judges can check you on the spot, which few teams offer.</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a pre-trained segmentation model, OpenStreetMap via the Overpass API, one city, one indicator. The discipline is keeping it to exactly that.</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run it on a Hamilton suburb and show the computed figure. Then show the resident photo layer downgrading a park that turns out to be fenced off, and explain why the satellite reading was wrong.</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color w:val="222222"/>
          <w:sz w:val="21"/>
          <w:szCs w:val="21"/>
        </w:rPr>
        <w:t xml:space="preserve">Highest technical risk here. Segmentation quality is unpredictable and hard to debug late on day two.</w:t>
      </w:r>
    </w:p>
    <w:p>
      <w:pPr>
        <w:pStyle w:val="ListParagraph"/>
        <w:numPr>
          <w:ilvl w:val="0"/>
          <w:numId w:val="3"/>
        </w:numPr>
        <w:spacing w:after="100" w:line="276"/>
      </w:pPr>
      <w:r>
        <w:rPr>
          <w:color w:val="222222"/>
          <w:sz w:val="21"/>
          <w:szCs w:val="21"/>
        </w:rPr>
        <w:t xml:space="preserve">Pre-compute the demo results and keep a cached fallback.</w:t>
      </w:r>
    </w:p>
    <w:p>
      <w:pPr>
        <w:pStyle w:val="ListParagraph"/>
        <w:numPr>
          <w:ilvl w:val="0"/>
          <w:numId w:val="3"/>
        </w:numPr>
        <w:spacing w:after="100" w:line="276"/>
      </w:pPr>
      <w:r>
        <w:rPr>
          <w:color w:val="222222"/>
          <w:sz w:val="21"/>
          <w:szCs w:val="21"/>
        </w:rPr>
        <w:t xml:space="preserve">Skip this unless someone on the team has done geospatial or computer vision work before.</w:t>
      </w:r>
    </w:p>
    <w:tbl>
      <w:tblPr>
        <w:tblW w:type="pct" w:w="100%"/>
        <w:tblBorders>
          <w:top w:val="single" w:color="C9D2DB" w:sz="4"/>
          <w:left w:val="single" w:color="C9D2DB" w:sz="4"/>
          <w:bottom w:val="single" w:color="C9D2DB" w:sz="4"/>
          <w:right w:val="single" w:color="C9D2DB" w:sz="4"/>
          <w:insideH w:val="none" w:color="FFFFFF" w:sz="0"/>
          <w:insideV w:val="none" w:color="FFFFFF" w:sz="0"/>
        </w:tblBorders>
      </w:tblPr>
      <w:tblGrid>
        <w:gridCol w:w="9350"/>
      </w:tblGrid>
      <w:tr>
        <w:tc>
          <w:tcPr>
            <w:tcW w:type="dxa" w:w="9350"/>
            <w:shd w:fill="EEF2F5" w:color="auto" w:val="clear"/>
            <w:tcMar>
              <w:top w:type="dxa" w:w="160"/>
              <w:left w:type="dxa" w:w="200"/>
              <w:bottom w:type="dxa" w:w="160"/>
              <w:right w:type="dxa" w:w="200"/>
            </w:tcMar>
          </w:tcPr>
          <w:p>
            <w:pPr>
              <w:spacing w:after="80" w:line="260"/>
            </w:pPr>
            <w:r>
              <w:rPr>
                <w:b/>
                <w:bCs/>
                <w:i/>
                <w:iCs/>
                <w:color w:val="44546A"/>
                <w:sz w:val="20"/>
                <w:szCs w:val="20"/>
              </w:rPr>
              <w:t xml:space="preserve">Highest technical ceiling, highest chance of a broken demo.</w:t>
            </w:r>
          </w:p>
        </w:tc>
      </w:tr>
    </w:tbl>
    <w:p>
      <w:pPr>
        <w:spacing w:after="200"/>
      </w:pPr>
    </w:p>
    <w:p>
      <w:pPr>
        <w:pStyle w:val="Heading1"/>
        <w:pBdr>
          <w:bottom w:val="single" w:color="1F3A5F" w:sz="8" w:space="4"/>
        </w:pBdr>
        <w:spacing w:after="200" w:before="480"/>
      </w:pPr>
      <w:r>
        <w:rPr>
          <w:b/>
          <w:bCs/>
          <w:color w:val="1F3A5F"/>
          <w:sz w:val="32"/>
          <w:szCs w:val="32"/>
        </w:rPr>
        <w:t xml:space="preserve">Idea 6 — Patient Health Literacy and Informed Consent</w:t>
      </w:r>
    </w:p>
    <w:p>
      <w:pPr>
        <w:jc w:val="center"/>
      </w:pPr>
      <w:r>
        <w:drawing>
          <wp:inline xmlns:a="http://schemas.openxmlformats.org/drawingml/2006/main" xmlns:pic="http://schemas.openxmlformats.org/drawingml/2006/picture">
            <wp:extent cx="5303520" cy="2960104"/>
            <wp:docPr id="6" name="Picture 6"/>
            <wp:cNvGraphicFramePr>
              <a:graphicFrameLocks noChangeAspect="1"/>
            </wp:cNvGraphicFramePr>
            <a:graphic>
              <a:graphicData uri="http://schemas.openxmlformats.org/drawingml/2006/picture">
                <pic:pic>
                  <pic:nvPicPr>
                    <pic:cNvPr id="0" name="06_patient_health_literacy.png"/>
                    <pic:cNvPicPr/>
                  </pic:nvPicPr>
                  <pic:blipFill>
                    <a:blip r:embed="rId14"/>
                    <a:stretch>
                      <a:fillRect/>
                    </a:stretch>
                  </pic:blipFill>
                  <pic:spPr>
                    <a:xfrm>
                      <a:off x="0" y="0"/>
                      <a:ext cx="5303520" cy="2960104"/>
                    </a:xfrm>
                    <a:prstGeom prst="rect"/>
                  </pic:spPr>
                </pic:pic>
              </a:graphicData>
            </a:graphic>
          </wp:inline>
        </w:drawing>
      </w: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Discharge notes, surgical consent forms, and diagnostic reports are written in clinical language. Patients sign and leave without understanding what was decided, what to watch for, or what happens next.</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3 (Good Health), and SDG 10.2 where low literacy tracks with ethnicity and deprivation. Indicator 3.8.1, coverage of essential health services — care a patient cannot act on is not effective coverage.</w:t>
      </w:r>
    </w:p>
    <w:p>
      <w:pPr>
        <w:pStyle w:val="Heading3"/>
        <w:spacing w:after="100" w:before="240"/>
      </w:pPr>
      <w:r>
        <w:rPr>
          <w:b/>
          <w:bCs/>
          <w:color w:val="2E6F5E"/>
          <w:sz w:val="22"/>
          <w:szCs w:val="22"/>
        </w:rPr>
        <w:t xml:space="preserve">The numbers</w:t>
      </w:r>
    </w:p>
    <w:p>
      <w:pPr>
        <w:pStyle w:val="ListParagraph"/>
        <w:numPr>
          <w:ilvl w:val="0"/>
          <w:numId w:val="3"/>
        </w:numPr>
        <w:spacing w:after="100" w:line="276"/>
      </w:pPr>
      <w:r>
        <w:rPr>
          <w:color w:val="222222"/>
          <w:sz w:val="21"/>
          <w:szCs w:val="21"/>
        </w:rPr>
        <w:t xml:space="preserve">More than 56% of New Zealand adults — over 1.6 million people — cannot obtain and understand basic health information well enough to make informed decisions.</w:t>
      </w:r>
    </w:p>
    <w:p>
      <w:pPr>
        <w:pStyle w:val="ListParagraph"/>
        <w:numPr>
          <w:ilvl w:val="0"/>
          <w:numId w:val="3"/>
        </w:numPr>
        <w:spacing w:after="100" w:line="276"/>
      </w:pPr>
      <w:r>
        <w:rPr>
          <w:color w:val="222222"/>
          <w:sz w:val="21"/>
          <w:szCs w:val="21"/>
        </w:rPr>
        <w:t xml:space="preserve">Around 90% of Pacific people aged 15 and over have low health literacy. Māori and Pacific rates are lower than non-Māori, though the largest group by headcount is Pākehā.</w:t>
      </w:r>
    </w:p>
    <w:p>
      <w:pPr>
        <w:pStyle w:val="ListParagraph"/>
        <w:numPr>
          <w:ilvl w:val="0"/>
          <w:numId w:val="3"/>
        </w:numPr>
        <w:spacing w:after="100" w:line="276"/>
      </w:pPr>
      <w:r>
        <w:rPr>
          <w:color w:val="222222"/>
          <w:sz w:val="21"/>
          <w:szCs w:val="21"/>
        </w:rPr>
        <w:t xml:space="preserve">16.1% of acute medical admissions among over-65s are readmitted within 30 days, with higher risk for Māori, Pacific people, and those in deprived areas.</w:t>
      </w:r>
    </w:p>
    <w:p>
      <w:pPr>
        <w:pStyle w:val="Heading3"/>
        <w:spacing w:after="100" w:before="240"/>
      </w:pPr>
      <w:r>
        <w:rPr>
          <w:b/>
          <w:bCs/>
          <w:color w:val="2E6F5E"/>
          <w:sz w:val="22"/>
          <w:szCs w:val="22"/>
        </w:rPr>
        <w:t xml:space="preserve">Two corrections to the framing</w:t>
      </w:r>
    </w:p>
    <w:p>
      <w:pPr>
        <w:spacing w:after="160" w:line="276"/>
      </w:pPr>
      <w:r>
        <w:rPr>
          <w:b w:val="false"/>
          <w:bCs w:val="false"/>
          <w:i w:val="false"/>
          <w:iCs w:val="false"/>
          <w:color w:val="222222"/>
          <w:sz w:val="21"/>
          <w:szCs w:val="21"/>
        </w:rPr>
        <w:t xml:space="preserve">Both of these make the pitch stronger, not weaker.</w:t>
      </w:r>
    </w:p>
    <w:p>
      <w:pPr>
        <w:pStyle w:val="ListParagraph"/>
        <w:numPr>
          <w:ilvl w:val="0"/>
          <w:numId w:val="3"/>
        </w:numPr>
        <w:spacing w:after="100" w:line="276"/>
      </w:pPr>
      <w:r>
        <w:rPr>
          <w:b/>
          <w:bCs/>
          <w:color w:val="222222"/>
          <w:sz w:val="21"/>
          <w:szCs w:val="21"/>
        </w:rPr>
        <w:t xml:space="preserve">It is a legal right, not a service improvement. </w:t>
      </w:r>
      <w:r>
        <w:rPr>
          <w:color w:val="222222"/>
          <w:sz w:val="21"/>
          <w:szCs w:val="21"/>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pPr>
        <w:pStyle w:val="ListParagraph"/>
        <w:numPr>
          <w:ilvl w:val="0"/>
          <w:numId w:val="3"/>
        </w:numPr>
        <w:spacing w:after="100" w:line="276"/>
      </w:pPr>
      <w:r>
        <w:rPr>
          <w:b/>
          <w:bCs/>
          <w:color w:val="222222"/>
          <w:sz w:val="21"/>
          <w:szCs w:val="21"/>
        </w:rPr>
        <w:t xml:space="preserve">Avoid the word compliance. </w:t>
      </w:r>
      <w:r>
        <w:rPr>
          <w:color w:val="222222"/>
          <w:sz w:val="21"/>
          <w:szCs w:val="21"/>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pPr>
        <w:pStyle w:val="Heading3"/>
        <w:spacing w:after="100" w:before="240"/>
      </w:pPr>
      <w:r>
        <w:rPr>
          <w:b/>
          <w:bCs/>
          <w:color w:val="2E6F5E"/>
          <w:sz w:val="22"/>
          <w:szCs w:val="22"/>
        </w:rPr>
        <w:t xml:space="preserve">What already exists</w:t>
      </w:r>
    </w:p>
    <w:p>
      <w:pPr>
        <w:spacing w:after="160" w:line="276"/>
      </w:pPr>
      <w:r>
        <w:rPr>
          <w:b w:val="false"/>
          <w:bCs w:val="false"/>
          <w:i w:val="false"/>
          <w:iCs w:val="false"/>
          <w:color w:val="222222"/>
          <w:sz w:val="21"/>
          <w:szCs w:val="21"/>
        </w:rPr>
        <w:t xml:space="preserve">Epic's patient-facing assistant, Emmie, already answers patient questions inside MyChart and produces plain-language summaries of lab and procedure results. Do not pitch a generic medical-jargon translator as though nothing exists.</w:t>
      </w:r>
    </w:p>
    <w:p>
      <w:pPr>
        <w:spacing w:after="160" w:line="276"/>
      </w:pPr>
      <w:r>
        <w:rPr>
          <w:b w:val="false"/>
          <w:bCs w:val="false"/>
          <w:i w:val="false"/>
          <w:iCs w:val="false"/>
          <w:color w:val="222222"/>
          <w:sz w:val="21"/>
          <w:szCs w:val="21"/>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pPr>
        <w:pStyle w:val="Heading3"/>
        <w:spacing w:after="100" w:before="240"/>
      </w:pPr>
      <w:r>
        <w:rPr>
          <w:b/>
          <w:bCs/>
          <w:color w:val="2E6F5E"/>
          <w:sz w:val="22"/>
          <w:szCs w:val="22"/>
        </w:rPr>
        <w:t xml:space="preserve">Approach</w:t>
      </w:r>
    </w:p>
    <w:p>
      <w:pPr>
        <w:pStyle w:val="ListParagraph"/>
        <w:numPr>
          <w:ilvl w:val="0"/>
          <w:numId w:val="8"/>
        </w:numPr>
        <w:spacing w:after="100" w:line="276"/>
      </w:pPr>
      <w:r>
        <w:rPr>
          <w:b/>
          <w:bCs/>
          <w:color w:val="222222"/>
          <w:sz w:val="21"/>
          <w:szCs w:val="21"/>
        </w:rPr>
        <w:t xml:space="preserve">Ingest and structure. </w:t>
      </w:r>
      <w:r>
        <w:rPr>
          <w:color w:val="222222"/>
          <w:sz w:val="21"/>
          <w:szCs w:val="21"/>
        </w:rPr>
        <w:t xml:space="preserve">Take a PDF discharge summary or consent form and pull out the parts a patient actually acts on: medicines and changes, warning signs, follow-up appointments, activity limits, and who to call.</w:t>
      </w:r>
    </w:p>
    <w:p>
      <w:pPr>
        <w:pStyle w:val="ListParagraph"/>
        <w:numPr>
          <w:ilvl w:val="0"/>
          <w:numId w:val="8"/>
        </w:numPr>
        <w:spacing w:after="100" w:line="276"/>
      </w:pPr>
      <w:r>
        <w:rPr>
          <w:b/>
          <w:bCs/>
          <w:color w:val="222222"/>
          <w:sz w:val="21"/>
          <w:szCs w:val="21"/>
        </w:rPr>
        <w:t xml:space="preserve">Rewrite with a clinician gate. </w:t>
      </w:r>
      <w:r>
        <w:rPr>
          <w:color w:val="222222"/>
          <w:sz w:val="21"/>
          <w:szCs w:val="21"/>
        </w:rPr>
        <w:t xml:space="preserve">Generate a plain-language version at a target reading level, then show it beside the original for a nurse or clinician to approve or edit before release. The gate is the safety design, and it is worth saying out loud in the pitch.</w:t>
      </w:r>
    </w:p>
    <w:p>
      <w:pPr>
        <w:pStyle w:val="ListParagraph"/>
        <w:numPr>
          <w:ilvl w:val="0"/>
          <w:numId w:val="8"/>
        </w:numPr>
        <w:spacing w:after="100" w:line="276"/>
      </w:pPr>
      <w:r>
        <w:rPr>
          <w:b/>
          <w:bCs/>
          <w:color w:val="222222"/>
          <w:sz w:val="21"/>
          <w:szCs w:val="21"/>
        </w:rPr>
        <w:t xml:space="preserve">Visual breakdown. </w:t>
      </w:r>
      <w:r>
        <w:rPr>
          <w:color w:val="222222"/>
          <w:sz w:val="21"/>
          <w:szCs w:val="21"/>
        </w:rPr>
        <w:t xml:space="preserve">A medication timeline, a red-flag card of symptoms that mean call someone now, and a follow-up calendar. Most of the comprehension gain comes from structure, not from prose.</w:t>
      </w:r>
    </w:p>
    <w:p>
      <w:pPr>
        <w:pStyle w:val="ListParagraph"/>
        <w:numPr>
          <w:ilvl w:val="0"/>
          <w:numId w:val="8"/>
        </w:numPr>
        <w:spacing w:after="100" w:line="276"/>
      </w:pPr>
      <w:r>
        <w:rPr>
          <w:b/>
          <w:bCs/>
          <w:color w:val="222222"/>
          <w:sz w:val="21"/>
          <w:szCs w:val="21"/>
        </w:rPr>
        <w:t xml:space="preserve">Questions on the document. </w:t>
      </w:r>
      <w:r>
        <w:rPr>
          <w:color w:val="222222"/>
          <w:sz w:val="21"/>
          <w:szCs w:val="21"/>
        </w:rPr>
        <w:t xml:space="preserve">A question box scoped strictly to the patient's own record, answering only from the approved text and saying so when the answer is not there. This is the smallest part of the build and should be the smallest part of the pitch.</w:t>
      </w:r>
    </w:p>
    <w:p>
      <w:pPr>
        <w:pStyle w:val="ListParagraph"/>
        <w:numPr>
          <w:ilvl w:val="0"/>
          <w:numId w:val="8"/>
        </w:numPr>
        <w:spacing w:after="100" w:line="276"/>
      </w:pPr>
      <w:r>
        <w:rPr>
          <w:b/>
          <w:bCs/>
          <w:color w:val="222222"/>
          <w:sz w:val="21"/>
          <w:szCs w:val="21"/>
        </w:rPr>
        <w:t xml:space="preserve">Language and format options. </w:t>
      </w:r>
      <w:r>
        <w:rPr>
          <w:color w:val="222222"/>
          <w:sz w:val="21"/>
          <w:szCs w:val="21"/>
        </w:rPr>
        <w:t xml:space="preserve">Te reo Māori, Pacific languages, large print, and audio. This is where Right 5 is actually met, and it is the part no overseas product covers for New Zealand.</w:t>
      </w:r>
    </w:p>
    <w:p>
      <w:pPr>
        <w:pStyle w:val="Heading3"/>
        <w:spacing w:after="100" w:before="240"/>
      </w:pPr>
      <w:r>
        <w:rPr>
          <w:b/>
          <w:bCs/>
          <w:color w:val="2E6F5E"/>
          <w:sz w:val="22"/>
          <w:szCs w:val="22"/>
        </w:rPr>
        <w:t xml:space="preserve">Positioning</w:t>
      </w:r>
    </w:p>
    <w:p>
      <w:pPr>
        <w:spacing w:after="160" w:line="276"/>
      </w:pPr>
      <w:r>
        <w:rPr>
          <w:b w:val="false"/>
          <w:bCs w:val="false"/>
          <w:i w:val="false"/>
          <w:iCs w:val="false"/>
          <w:color w:val="222222"/>
          <w:sz w:val="21"/>
          <w:szCs w:val="21"/>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PDF text extraction, one structured extraction call, one rewrite call against a reading-level target, and a review screen. No training and no integration with any hospital system. The review interface is ordinary CRUD.</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color w:val="222222"/>
          <w:sz w:val="21"/>
          <w:szCs w:val="21"/>
        </w:rPr>
        <w:t xml:space="preserve">Never use real patient records. Use synthetic or published sample documents only, and say so.</w:t>
      </w:r>
    </w:p>
    <w:p>
      <w:pPr>
        <w:pStyle w:val="ListParagraph"/>
        <w:numPr>
          <w:ilvl w:val="0"/>
          <w:numId w:val="3"/>
        </w:numPr>
        <w:spacing w:after="100" w:line="276"/>
      </w:pPr>
      <w:r>
        <w:rPr>
          <w:color w:val="222222"/>
          <w:sz w:val="21"/>
          <w:szCs w:val="21"/>
        </w:rPr>
        <w:t xml:space="preserve">The model will occasionally introduce errors. Do not claim otherwise — build the review step and make it part of the demo.</w:t>
      </w:r>
    </w:p>
    <w:p>
      <w:pPr>
        <w:pStyle w:val="ListParagraph"/>
        <w:numPr>
          <w:ilvl w:val="0"/>
          <w:numId w:val="3"/>
        </w:numPr>
        <w:spacing w:after="100" w:line="276"/>
      </w:pPr>
      <w:r>
        <w:rPr>
          <w:color w:val="222222"/>
          <w:sz w:val="21"/>
          <w:szCs w:val="21"/>
        </w:rPr>
        <w:t xml:space="preserve">Translation into te reo Māori and Pacific languages needs care. Show it as a designed pathway with human verification rather than claiming machine translation is sufficient.</w:t>
      </w:r>
    </w:p>
    <w:p>
      <w:pPr>
        <w:pStyle w:val="ListParagraph"/>
        <w:numPr>
          <w:ilvl w:val="0"/>
          <w:numId w:val="3"/>
        </w:numPr>
        <w:spacing w:after="100" w:line="276"/>
      </w:pPr>
      <w:r>
        <w:rPr>
          <w:color w:val="222222"/>
          <w:sz w:val="21"/>
          <w:szCs w:val="21"/>
        </w:rPr>
        <w:t xml:space="preserve">Position it as supporting the consent conversation, not replacing it.</w:t>
      </w:r>
    </w:p>
    <w:tbl>
      <w:tblPr>
        <w:tblW w:type="pct" w:w="100%"/>
        <w:tblBorders>
          <w:top w:val="single" w:color="C9D2DB" w:sz="4"/>
          <w:left w:val="single" w:color="C9D2DB" w:sz="4"/>
          <w:bottom w:val="single" w:color="C9D2DB" w:sz="4"/>
          <w:right w:val="single" w:color="C9D2DB" w:sz="4"/>
          <w:insideH w:val="none" w:color="FFFFFF" w:sz="0"/>
          <w:insideV w:val="none" w:color="FFFFFF" w:sz="0"/>
        </w:tblBorders>
      </w:tblPr>
      <w:tblGrid>
        <w:gridCol w:w="9350"/>
      </w:tblGrid>
      <w:tr>
        <w:tc>
          <w:tcPr>
            <w:tcW w:type="dxa" w:w="9350"/>
            <w:shd w:fill="EEF2F5" w:color="auto" w:val="clear"/>
            <w:tcMar>
              <w:top w:type="dxa" w:w="160"/>
              <w:left w:type="dxa" w:w="200"/>
              <w:bottom w:type="dxa" w:w="160"/>
              <w:right w:type="dxa" w:w="200"/>
            </w:tcMar>
          </w:tcPr>
          <w:p>
            <w:pPr>
              <w:spacing w:after="80" w:line="260"/>
            </w:pPr>
            <w:r>
              <w:rPr>
                <w:b/>
                <w:bCs/>
                <w:i/>
                <w:iCs/>
                <w:color w:val="44546A"/>
                <w:sz w:val="20"/>
                <w:szCs w:val="20"/>
              </w:rPr>
              <w:t xml:space="preserve">Strong legal hook and clear evidence behind it. The risk is presentation — pitched as a chatbot it blends in, pitched as a Right 5 tool it does not.</w:t>
            </w:r>
          </w:p>
        </w:tc>
      </w:tr>
    </w:tbl>
    <w:p>
      <w:pPr>
        <w:spacing w:after="200"/>
      </w:pPr>
    </w:p>
    <w:p>
      <w:pPr>
        <w:pStyle w:val="Heading1"/>
        <w:pBdr>
          <w:bottom w:val="single" w:color="1F3A5F" w:sz="8" w:space="4"/>
        </w:pBdr>
        <w:spacing w:after="200" w:before="480"/>
      </w:pPr>
      <w:r>
        <w:rPr>
          <w:b/>
          <w:bCs/>
          <w:color w:val="1F3A5F"/>
          <w:sz w:val="32"/>
          <w:szCs w:val="32"/>
        </w:rPr>
        <w:t xml:space="preserve">Idea 7 — Disaster Recovery &amp; Sudden Financial Shocks</w:t>
      </w:r>
    </w:p>
    <w:p>
      <w:pPr>
        <w:jc w:val="center"/>
      </w:pPr>
      <w:r>
        <w:drawing>
          <wp:inline xmlns:a="http://schemas.openxmlformats.org/drawingml/2006/main" xmlns:pic="http://schemas.openxmlformats.org/drawingml/2006/picture">
            <wp:extent cx="5303520" cy="2960104"/>
            <wp:docPr id="7" name="Picture 7"/>
            <wp:cNvGraphicFramePr>
              <a:graphicFrameLocks noChangeAspect="1"/>
            </wp:cNvGraphicFramePr>
            <a:graphic>
              <a:graphicData uri="http://schemas.openxmlformats.org/drawingml/2006/picture">
                <pic:pic>
                  <pic:nvPicPr>
                    <pic:cNvPr id="0" name="07_disaster_recovery_shocks.png"/>
                    <pic:cNvPicPr/>
                  </pic:nvPicPr>
                  <pic:blipFill>
                    <a:blip r:embed="rId15"/>
                    <a:stretch>
                      <a:fillRect/>
                    </a:stretch>
                  </pic:blipFill>
                  <pic:spPr>
                    <a:xfrm>
                      <a:off x="0" y="0"/>
                      <a:ext cx="5303520" cy="2960104"/>
                    </a:xfrm>
                    <a:prstGeom prst="rect"/>
                  </pic:spPr>
                </pic:pic>
              </a:graphicData>
            </a:graphic>
          </wp:inline>
        </w:drawing>
      </w: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11.5 (reduce disaster impacts on human lives and livelihoods) and SDG 1.5 (build resilience of the poor and vulnerable). Indicator 11.5.2, direct economic loss attributed to disasters relative to GDP.</w:t>
      </w:r>
    </w:p>
    <w:p>
      <w:pPr>
        <w:pStyle w:val="Heading3"/>
        <w:spacing w:after="100" w:before="240"/>
      </w:pPr>
      <w:r>
        <w:rPr>
          <w:b/>
          <w:bCs/>
          <w:color w:val="2E6F5E"/>
          <w:sz w:val="22"/>
          <w:szCs w:val="22"/>
        </w:rPr>
        <w:t xml:space="preserve">The numbers</w:t>
      </w:r>
    </w:p>
    <w:p>
      <w:pPr>
        <w:pStyle w:val="ListParagraph"/>
        <w:numPr>
          <w:ilvl w:val="0"/>
          <w:numId w:val="3"/>
        </w:numPr>
        <w:spacing w:after="100" w:line="276"/>
      </w:pPr>
      <w:r>
        <w:rPr>
          <w:color w:val="222222"/>
          <w:sz w:val="21"/>
          <w:szCs w:val="21"/>
        </w:rPr>
        <w:t xml:space="preserve">During the 2023 North Island Floods and Cyclone Gabrielle, the Ministry of Social Development (MSD) processed over 101,000 Civil Defence Payment applications worth $56.6M, facing phone volumes of up to 9,000 calls per day.</w:t>
      </w:r>
    </w:p>
    <w:p>
      <w:pPr>
        <w:pStyle w:val="ListParagraph"/>
        <w:numPr>
          <w:ilvl w:val="0"/>
          <w:numId w:val="3"/>
        </w:numPr>
        <w:spacing w:after="100" w:line="276"/>
      </w:pPr>
      <w:r>
        <w:rPr>
          <w:color w:val="222222"/>
          <w:sz w:val="21"/>
          <w:szCs w:val="21"/>
        </w:rPr>
        <w:t xml:space="preserve">Total insurance payouts for the two events exceeded $3.75 billion across 117,000+ claims, leaving thousands waiting months for final residential settlements.</w:t>
      </w:r>
    </w:p>
    <w:p>
      <w:pPr>
        <w:pStyle w:val="ListParagraph"/>
        <w:numPr>
          <w:ilvl w:val="0"/>
          <w:numId w:val="3"/>
        </w:numPr>
        <w:spacing w:after="100" w:line="276"/>
      </w:pPr>
      <w:r>
        <w:rPr>
          <w:color w:val="222222"/>
          <w:sz w:val="21"/>
          <w:szCs w:val="21"/>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pPr>
        <w:pStyle w:val="Heading3"/>
        <w:spacing w:after="100" w:before="240"/>
      </w:pPr>
      <w:r>
        <w:rPr>
          <w:b/>
          <w:bCs/>
          <w:color w:val="2E6F5E"/>
          <w:sz w:val="22"/>
          <w:szCs w:val="22"/>
        </w:rPr>
        <w:t xml:space="preserve">Why this is open</w:t>
      </w:r>
    </w:p>
    <w:p>
      <w:pPr>
        <w:spacing w:after="160" w:line="276"/>
      </w:pPr>
      <w:r>
        <w:rPr>
          <w:b w:val="false"/>
          <w:bCs w:val="false"/>
          <w:i w:val="false"/>
          <w:iCs w:val="false"/>
          <w:color w:val="222222"/>
          <w:sz w:val="21"/>
          <w:szCs w:val="21"/>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pPr>
        <w:pStyle w:val="Heading3"/>
        <w:spacing w:after="100" w:before="240"/>
      </w:pPr>
      <w:r>
        <w:rPr>
          <w:b/>
          <w:bCs/>
          <w:color w:val="2E6F5E"/>
          <w:sz w:val="22"/>
          <w:szCs w:val="22"/>
        </w:rPr>
        <w:t xml:space="preserve">Approach</w:t>
      </w:r>
    </w:p>
    <w:p>
      <w:pPr>
        <w:pStyle w:val="ListParagraph"/>
        <w:numPr>
          <w:ilvl w:val="0"/>
          <w:numId w:val="9"/>
        </w:numPr>
        <w:spacing w:after="100" w:line="276"/>
      </w:pPr>
      <w:r>
        <w:rPr>
          <w:b/>
          <w:bCs/>
          <w:color w:val="222222"/>
          <w:sz w:val="21"/>
          <w:szCs w:val="21"/>
        </w:rPr>
        <w:t xml:space="preserve">Multi-layer shock mapping. </w:t>
      </w:r>
      <w:r>
        <w:rPr>
          <w:color w:val="222222"/>
          <w:sz w:val="21"/>
          <w:szCs w:val="21"/>
        </w:rPr>
        <w:t xml:space="preserve">Ingest open spatial hazard boundaries (LINZ, NIWA, or regional council flood/power outage maps) and overlay them with census meshblock deprivation data (NZDep2018) to automatically highlight high-vulnerability, high-impact zones.</w:t>
      </w:r>
    </w:p>
    <w:p>
      <w:pPr>
        <w:pStyle w:val="ListParagraph"/>
        <w:numPr>
          <w:ilvl w:val="0"/>
          <w:numId w:val="9"/>
        </w:numPr>
        <w:spacing w:after="100" w:line="276"/>
      </w:pPr>
      <w:r>
        <w:rPr>
          <w:b/>
          <w:bCs/>
          <w:color w:val="222222"/>
          <w:sz w:val="21"/>
          <w:szCs w:val="21"/>
        </w:rPr>
        <w:t xml:space="preserve">Automated micro-grant eligibility engine. </w:t>
      </w:r>
      <w:r>
        <w:rPr>
          <w:color w:val="222222"/>
          <w:sz w:val="21"/>
          <w:szCs w:val="21"/>
        </w:rPr>
        <w:t xml:space="preserve">Run a transparent, rules-based priority scoring algorithm (household size, localized infrastructure damage duration, proximity to hazard center, income threshold) to auto-flag households for prioritized emergency micro-disbursements.</w:t>
      </w:r>
    </w:p>
    <w:p>
      <w:pPr>
        <w:pStyle w:val="ListParagraph"/>
        <w:numPr>
          <w:ilvl w:val="0"/>
          <w:numId w:val="9"/>
        </w:numPr>
        <w:spacing w:after="100" w:line="276"/>
      </w:pPr>
      <w:r>
        <w:rPr>
          <w:b/>
          <w:bCs/>
          <w:color w:val="222222"/>
          <w:sz w:val="21"/>
          <w:szCs w:val="21"/>
        </w:rPr>
        <w:t xml:space="preserve">Disbursement &amp; transparency ledger. </w:t>
      </w:r>
      <w:r>
        <w:rPr>
          <w:color w:val="222222"/>
          <w:sz w:val="21"/>
          <w:szCs w:val="21"/>
        </w:rPr>
        <w:t xml:space="preserve">Generate an auditable, aggregated payout manifest (exportable for bank batch processing like ABA/CSV) while tracking diverted funds, meal/shelter equivalents funded, and average time-to-disbursement.</w:t>
      </w:r>
    </w:p>
    <w:p>
      <w:pPr>
        <w:pStyle w:val="Heading3"/>
        <w:spacing w:after="100" w:before="240"/>
      </w:pPr>
      <w:r>
        <w:rPr>
          <w:b/>
          <w:bCs/>
          <w:color w:val="2E6F5E"/>
          <w:sz w:val="22"/>
          <w:szCs w:val="22"/>
        </w:rPr>
        <w:t xml:space="preserve">New Zealand angle</w:t>
      </w:r>
    </w:p>
    <w:p>
      <w:pPr>
        <w:pStyle w:val="ListParagraph"/>
        <w:numPr>
          <w:ilvl w:val="0"/>
          <w:numId w:val="3"/>
        </w:numPr>
        <w:spacing w:after="100" w:line="276"/>
      </w:pPr>
      <w:r>
        <w:rPr>
          <w:color w:val="222222"/>
          <w:sz w:val="21"/>
          <w:szCs w:val="21"/>
        </w:rPr>
        <w:t xml:space="preserve">Severe weather events across Aotearoa continuously highlight administrative bottlenecks in distributing Civil Defence Emergency Payments and Mayoral Relief Funds.</w:t>
      </w:r>
    </w:p>
    <w:p>
      <w:pPr>
        <w:pStyle w:val="ListParagraph"/>
        <w:numPr>
          <w:ilvl w:val="0"/>
          <w:numId w:val="3"/>
        </w:numPr>
        <w:spacing w:after="100" w:line="276"/>
      </w:pPr>
      <w:r>
        <w:rPr>
          <w:color w:val="222222"/>
          <w:sz w:val="21"/>
          <w:szCs w:val="21"/>
        </w:rPr>
        <w:t xml:space="preserve">Regional councils maintain open spatial flood-hazard mapping (e.g., Waikato Regional Council, Bay of Plenty Regional Council), but these GIS systems remain completely disconnected from social sector grant channels.</w:t>
      </w:r>
    </w:p>
    <w:p>
      <w:pPr>
        <w:pStyle w:val="ListParagraph"/>
        <w:numPr>
          <w:ilvl w:val="0"/>
          <w:numId w:val="3"/>
        </w:numPr>
        <w:spacing w:after="100" w:line="276"/>
      </w:pPr>
      <w:r>
        <w:rPr>
          <w:color w:val="222222"/>
          <w:sz w:val="21"/>
          <w:szCs w:val="21"/>
        </w:rPr>
        <w:t xml:space="preserve">Strong regional relevance: rural towns across Waikato and Tairāwhiti frequently suffer isolated road access and power loss, making physical intake centers inaccessible.</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b/>
          <w:bCs/>
          <w:color w:val="222222"/>
          <w:sz w:val="21"/>
          <w:szCs w:val="21"/>
        </w:rPr>
        <w:t xml:space="preserve">Data privacy: </w:t>
      </w:r>
      <w:r>
        <w:rPr>
          <w:color w:val="222222"/>
          <w:sz w:val="21"/>
          <w:szCs w:val="21"/>
        </w:rPr>
        <w:t xml:space="preserve">ingesting exact household financial data carries severe privacy risks. Mitigation: aggregate vulnerability scores to the census meshblock or suburb level and use synthetic demographic data for the live demo.</w:t>
      </w:r>
    </w:p>
    <w:p>
      <w:pPr>
        <w:pStyle w:val="ListParagraph"/>
        <w:numPr>
          <w:ilvl w:val="0"/>
          <w:numId w:val="3"/>
        </w:numPr>
        <w:spacing w:after="100" w:line="276"/>
      </w:pPr>
      <w:r>
        <w:rPr>
          <w:b/>
          <w:bCs/>
          <w:color w:val="222222"/>
          <w:sz w:val="21"/>
          <w:szCs w:val="21"/>
        </w:rPr>
        <w:t xml:space="preserve">Integration claims: </w:t>
      </w:r>
      <w:r>
        <w:rPr>
          <w:color w:val="222222"/>
          <w:sz w:val="21"/>
          <w:szCs w:val="21"/>
        </w:rPr>
        <w:t xml:space="preserve">pretending to integrate live with banking core APIs or MSD systems in 48 hours is unrealistic. Frame the output as an agency-facing decision and verification layer that pushes to standard bank file specs.</w:t>
      </w:r>
    </w:p>
    <w:p>
      <w:pPr>
        <w:spacing w:after="200"/>
      </w:pPr>
    </w:p>
    <w:p>
      <w:pPr>
        <w:pStyle w:val="Heading1"/>
        <w:pBdr>
          <w:bottom w:val="single" w:color="1F3A5F" w:sz="8" w:space="4"/>
        </w:pBdr>
        <w:spacing w:after="200" w:before="480"/>
      </w:pPr>
      <w:r>
        <w:rPr>
          <w:b/>
          <w:bCs/>
          <w:color w:val="1F3A5F"/>
          <w:sz w:val="32"/>
          <w:szCs w:val="32"/>
        </w:rPr>
        <w:t xml:space="preserve">Idea 8 — Surplus Allocation &amp; Safety-Triage Layer for Food Rescue</w:t>
      </w:r>
    </w:p>
    <w:p>
      <w:pPr>
        <w:jc w:val="center"/>
      </w:pPr>
      <w:r>
        <w:drawing>
          <wp:inline xmlns:a="http://schemas.openxmlformats.org/drawingml/2006/main" xmlns:pic="http://schemas.openxmlformats.org/drawingml/2006/picture">
            <wp:extent cx="5303520" cy="2960104"/>
            <wp:docPr id="8" name="Picture 8"/>
            <wp:cNvGraphicFramePr>
              <a:graphicFrameLocks noChangeAspect="1"/>
            </wp:cNvGraphicFramePr>
            <a:graphic>
              <a:graphicData uri="http://schemas.openxmlformats.org/drawingml/2006/picture">
                <pic:pic>
                  <pic:nvPicPr>
                    <pic:cNvPr id="0" name="08_surplus_allocation_food_rescue.png"/>
                    <pic:cNvPicPr/>
                  </pic:nvPicPr>
                  <pic:blipFill>
                    <a:blip r:embed="rId16"/>
                    <a:stretch>
                      <a:fillRect/>
                    </a:stretch>
                  </pic:blipFill>
                  <pic:spPr>
                    <a:xfrm>
                      <a:off x="0" y="0"/>
                      <a:ext cx="5303520" cy="2960104"/>
                    </a:xfrm>
                    <a:prstGeom prst="rect"/>
                  </pic:spPr>
                </pic:pic>
              </a:graphicData>
            </a:graphic>
          </wp:inline>
        </w:drawing>
      </w: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12 (Responsible Consumption, target 12.3 — halve food waste). Secondary SDG 2 (Zero Hunger). Indicator 12.3.1b (Food waste index) — diverted-from-landfill tonnage maps to it.</w:t>
      </w:r>
    </w:p>
    <w:p>
      <w:pPr>
        <w:pStyle w:val="Heading3"/>
        <w:spacing w:after="100" w:before="240"/>
      </w:pPr>
      <w:r>
        <w:rPr>
          <w:b/>
          <w:bCs/>
          <w:color w:val="2E6F5E"/>
          <w:sz w:val="22"/>
          <w:szCs w:val="22"/>
        </w:rPr>
        <w:t xml:space="preserve">Worth knowing first</w:t>
      </w:r>
    </w:p>
    <w:p>
      <w:pPr>
        <w:spacing w:after="160" w:line="276"/>
      </w:pPr>
      <w:r>
        <w:rPr>
          <w:b w:val="false"/>
          <w:bCs w:val="false"/>
          <w:i w:val="false"/>
          <w:iCs w:val="false"/>
          <w:color w:val="222222"/>
          <w:sz w:val="21"/>
          <w:szCs w:val="21"/>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pPr>
        <w:pStyle w:val="ListParagraph"/>
        <w:numPr>
          <w:ilvl w:val="0"/>
          <w:numId w:val="3"/>
        </w:numPr>
        <w:spacing w:after="100" w:line="276"/>
      </w:pPr>
      <w:r>
        <w:rPr>
          <w:b/>
          <w:bCs/>
          <w:color w:val="222222"/>
          <w:sz w:val="21"/>
          <w:szCs w:val="21"/>
        </w:rPr>
        <w:t xml:space="preserve">The Safety Go/No-Go Call: </w:t>
      </w:r>
      <w:r>
        <w:rPr>
          <w:color w:val="222222"/>
          <w:sz w:val="21"/>
          <w:szCs w:val="21"/>
        </w:rPr>
        <w:t xml:space="preserve">rescued surplus falls under the Food Act 2014. Damaged seals, broken cold chains, and ambiguous date labels require fast, defensible decisions per item.</w:t>
      </w:r>
    </w:p>
    <w:p>
      <w:pPr>
        <w:pStyle w:val="ListParagraph"/>
        <w:numPr>
          <w:ilvl w:val="0"/>
          <w:numId w:val="3"/>
        </w:numPr>
        <w:spacing w:after="100" w:line="276"/>
      </w:pPr>
      <w:r>
        <w:rPr>
          <w:b/>
          <w:bCs/>
          <w:color w:val="222222"/>
          <w:sz w:val="21"/>
          <w:szCs w:val="21"/>
        </w:rPr>
        <w:t xml:space="preserve">The Allocation Decision: </w:t>
      </w:r>
      <w:r>
        <w:rPr>
          <w:color w:val="222222"/>
          <w:sz w:val="21"/>
          <w:szCs w:val="21"/>
        </w:rPr>
        <w:t xml:space="preserve">matching specific surplus against client dietary/cultural needs (halal, allergen, texture-modified), capacity, hours, distance, and remaining safe window.</w:t>
      </w:r>
    </w:p>
    <w:p>
      <w:pPr>
        <w:pStyle w:val="Heading3"/>
        <w:spacing w:after="100" w:before="240"/>
      </w:pPr>
      <w:r>
        <w:rPr>
          <w:b/>
          <w:bCs/>
          <w:color w:val="2E6F5E"/>
          <w:sz w:val="22"/>
          <w:szCs w:val="22"/>
        </w:rPr>
        <w:t xml:space="preserve">Approach</w:t>
      </w:r>
    </w:p>
    <w:p>
      <w:pPr>
        <w:spacing w:after="160" w:line="276"/>
      </w:pPr>
      <w:r>
        <w:rPr>
          <w:b w:val="false"/>
          <w:bCs w:val="false"/>
          <w:i w:val="false"/>
          <w:iCs w:val="false"/>
          <w:color w:val="222222"/>
          <w:sz w:val="21"/>
          <w:szCs w:val="21"/>
        </w:rPr>
        <w:t xml:space="preserve">Reframe the product as the decision engine rather than the listing form (which acts as the demo prop):</w:t>
      </w:r>
    </w:p>
    <w:p>
      <w:pPr>
        <w:pStyle w:val="ListParagraph"/>
        <w:numPr>
          <w:ilvl w:val="0"/>
          <w:numId w:val="10"/>
        </w:numPr>
        <w:spacing w:after="100" w:line="276"/>
      </w:pPr>
      <w:r>
        <w:rPr>
          <w:b/>
          <w:bCs/>
          <w:color w:val="222222"/>
          <w:sz w:val="21"/>
          <w:szCs w:val="21"/>
        </w:rPr>
        <w:t xml:space="preserve">Messy intake to structured data. </w:t>
      </w:r>
      <w:r>
        <w:rPr>
          <w:color w:val="222222"/>
          <w:sz w:val="21"/>
          <w:szCs w:val="21"/>
        </w:rPr>
        <w:t xml:space="preserve">Free-text NLP turns “Half a tray of butter chicken, made ~1pm, in warmer since” into structured JSON ({dish, protein, allergens, cook_time, holding_temp, safe_until}).</w:t>
      </w:r>
    </w:p>
    <w:p>
      <w:pPr>
        <w:pStyle w:val="ListParagraph"/>
        <w:numPr>
          <w:ilvl w:val="0"/>
          <w:numId w:val="10"/>
        </w:numPr>
        <w:spacing w:after="100" w:line="276"/>
      </w:pPr>
      <w:r>
        <w:rPr>
          <w:b/>
          <w:bCs/>
          <w:color w:val="222222"/>
          <w:sz w:val="21"/>
          <w:szCs w:val="21"/>
        </w:rPr>
        <w:t xml:space="preserve">Safety triage. </w:t>
      </w:r>
      <w:r>
        <w:rPr>
          <w:color w:val="222222"/>
          <w:sz w:val="21"/>
          <w:szCs w:val="21"/>
        </w:rPr>
        <w:t xml:space="preserve">An LLM reads the item against a Food Act 2014 / food-safety rules table and returns a disposition (redistribute / reheat-first / hold / discard) with cited reasoning. Framed as decision support pending human sign-off.</w:t>
      </w:r>
    </w:p>
    <w:p>
      <w:pPr>
        <w:pStyle w:val="ListParagraph"/>
        <w:numPr>
          <w:ilvl w:val="0"/>
          <w:numId w:val="10"/>
        </w:numPr>
        <w:spacing w:after="100" w:line="276"/>
      </w:pPr>
      <w:r>
        <w:rPr>
          <w:b/>
          <w:bCs/>
          <w:color w:val="222222"/>
          <w:sz w:val="21"/>
          <w:szCs w:val="21"/>
        </w:rPr>
        <w:t xml:space="preserve">Smart allocation. </w:t>
      </w:r>
      <w:r>
        <w:rPr>
          <w:color w:val="222222"/>
          <w:sz w:val="21"/>
          <w:szCs w:val="21"/>
        </w:rPr>
        <w:t xml:space="preserve">Vector embeddings match surplus to charity client needs — e.g., matching “butter chicken” to a group serving hot halal meals, even with zero keyword overlap. Ranked by fit × capacity × distance × remaining safe window.</w:t>
      </w:r>
    </w:p>
    <w:p>
      <w:pPr>
        <w:pStyle w:val="ListParagraph"/>
        <w:numPr>
          <w:ilvl w:val="0"/>
          <w:numId w:val="10"/>
        </w:numPr>
        <w:spacing w:after="100" w:line="276"/>
      </w:pPr>
      <w:r>
        <w:rPr>
          <w:b/>
          <w:bCs/>
          <w:color w:val="222222"/>
          <w:sz w:val="21"/>
          <w:szCs w:val="21"/>
        </w:rPr>
        <w:t xml:space="preserve">Tamper-evident ledger. </w:t>
      </w:r>
      <w:r>
        <w:rPr>
          <w:color w:val="222222"/>
          <w:sz w:val="21"/>
          <w:szCs w:val="21"/>
        </w:rPr>
        <w:t xml:space="preserve">Hash-stamped hand-off records prevent a rejected/spoiled batch from being quietly un-flagged, providing audit integrity for corporate donor liability.</w:t>
      </w:r>
    </w:p>
    <w:p>
      <w:pPr>
        <w:pStyle w:val="Heading3"/>
        <w:spacing w:after="100" w:before="240"/>
      </w:pPr>
      <w:r>
        <w:rPr>
          <w:b/>
          <w:bCs/>
          <w:color w:val="2E6F5E"/>
          <w:sz w:val="22"/>
          <w:szCs w:val="22"/>
        </w:rPr>
        <w:t xml:space="preserve">New Zealand angle</w:t>
      </w:r>
    </w:p>
    <w:p>
      <w:pPr>
        <w:pStyle w:val="ListParagraph"/>
        <w:numPr>
          <w:ilvl w:val="0"/>
          <w:numId w:val="3"/>
        </w:numPr>
        <w:spacing w:after="100" w:line="276"/>
      </w:pPr>
      <w:r>
        <w:rPr>
          <w:b/>
          <w:bCs/>
          <w:color w:val="222222"/>
          <w:sz w:val="21"/>
          <w:szCs w:val="21"/>
        </w:rPr>
        <w:t xml:space="preserve">Legal spine: </w:t>
      </w:r>
      <w:r>
        <w:rPr>
          <w:color w:val="222222"/>
          <w:sz w:val="21"/>
          <w:szCs w:val="21"/>
        </w:rPr>
        <w:t xml:space="preserve">the Food Act 2014 gives donors good-faith protection when donating in good condition — the safety layer provides the audit trail to support this.</w:t>
      </w:r>
    </w:p>
    <w:p>
      <w:pPr>
        <w:pStyle w:val="ListParagraph"/>
        <w:numPr>
          <w:ilvl w:val="0"/>
          <w:numId w:val="3"/>
        </w:numPr>
        <w:spacing w:after="100" w:line="276"/>
      </w:pPr>
      <w:r>
        <w:rPr>
          <w:b/>
          <w:bCs/>
          <w:color w:val="222222"/>
          <w:sz w:val="21"/>
          <w:szCs w:val="21"/>
        </w:rPr>
        <w:t xml:space="preserve">National scale: </w:t>
      </w:r>
      <w:r>
        <w:rPr>
          <w:color w:val="222222"/>
          <w:sz w:val="21"/>
          <w:szCs w:val="21"/>
        </w:rPr>
        <w:t xml:space="preserve">Aotearoa generates 1.2 million tonnes of food waste annually (~237 kg/person; MfE 2025 report), with ~190,000 tonnes binned by households while still edible. Supermarkets generate ~60,500 tonnes/year.</w:t>
      </w:r>
    </w:p>
    <w:p>
      <w:pPr>
        <w:pStyle w:val="ListParagraph"/>
        <w:numPr>
          <w:ilvl w:val="0"/>
          <w:numId w:val="3"/>
        </w:numPr>
        <w:spacing w:after="100" w:line="276"/>
      </w:pPr>
      <w:r>
        <w:rPr>
          <w:b/>
          <w:bCs/>
          <w:color w:val="222222"/>
          <w:sz w:val="21"/>
          <w:szCs w:val="21"/>
        </w:rPr>
        <w:t xml:space="preserve">Methane impact: </w:t>
      </w:r>
      <w:r>
        <w:rPr>
          <w:color w:val="222222"/>
          <w:sz w:val="21"/>
          <w:szCs w:val="21"/>
        </w:rPr>
        <w:t xml:space="preserve">18% of wasted food ends up in landfill, generating methane (~28x CO₂ equivalent).</w:t>
      </w:r>
    </w:p>
    <w:p>
      <w:pPr>
        <w:pStyle w:val="ListParagraph"/>
        <w:numPr>
          <w:ilvl w:val="0"/>
          <w:numId w:val="3"/>
        </w:numPr>
        <w:spacing w:after="100" w:line="276"/>
      </w:pPr>
      <w:r>
        <w:rPr>
          <w:b/>
          <w:bCs/>
          <w:color w:val="222222"/>
          <w:sz w:val="21"/>
          <w:szCs w:val="21"/>
        </w:rPr>
        <w:t xml:space="preserve">Social gap: </w:t>
      </w:r>
      <w:r>
        <w:rPr>
          <w:color w:val="222222"/>
          <w:sz w:val="21"/>
          <w:szCs w:val="21"/>
        </w:rPr>
        <w:t xml:space="preserve">1 in 5 NZ children live in food-insecure households. The barrier is not supply, but the rapid allocation decision in the hours food stays good.</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Time-window-first — </w:t>
      </w:r>
      <w:r>
        <w:rPr>
          <w:color w:val="222222"/>
          <w:sz w:val="21"/>
          <w:szCs w:val="21"/>
        </w:rPr>
        <w:t xml:space="preserve">every item carries a live “safe-until” clock; allocation ranking decays as the window closes.</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intake is one LLM parse call. Safety triage is a prompt over a rules table. Allocation uses off-the-shelf embeddings and a weighted sort over static JSON charity profiles.</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color w:val="222222"/>
          <w:sz w:val="21"/>
          <w:szCs w:val="21"/>
        </w:rPr>
        <w:t xml:space="preserve">Do not pitch a two-sided marketplace/listing app — center the pitch on the safety triage and allocation decision layer.</w:t>
      </w:r>
    </w:p>
    <w:p>
      <w:pPr>
        <w:pStyle w:val="ListParagraph"/>
        <w:numPr>
          <w:ilvl w:val="0"/>
          <w:numId w:val="3"/>
        </w:numPr>
        <w:spacing w:after="100" w:line="276"/>
      </w:pPr>
      <w:r>
        <w:rPr>
          <w:color w:val="222222"/>
          <w:sz w:val="21"/>
          <w:szCs w:val="21"/>
        </w:rPr>
        <w:t xml:space="preserve">Output must be framed as “decision support pending coordinator sign-off,” not legal/clinical clearance.</w:t>
      </w:r>
    </w:p>
    <w:p>
      <w:pPr>
        <w:pStyle w:val="ListParagraph"/>
        <w:numPr>
          <w:ilvl w:val="0"/>
          <w:numId w:val="3"/>
        </w:numPr>
        <w:spacing w:after="100" w:line="276"/>
      </w:pPr>
      <w:r>
        <w:rPr>
          <w:color w:val="222222"/>
          <w:sz w:val="21"/>
          <w:szCs w:val="21"/>
        </w:rPr>
        <w:t xml:space="preserve">Use synthetic charity data to avoid handling real client dietary records.</w:t>
      </w:r>
    </w:p>
    <w:p>
      <w:pPr>
        <w:pStyle w:val="ListParagraph"/>
        <w:numPr>
          <w:ilvl w:val="0"/>
          <w:numId w:val="3"/>
        </w:numPr>
        <w:spacing w:after="100" w:line="276"/>
      </w:pPr>
      <w:r>
        <w:rPr>
          <w:color w:val="222222"/>
          <w:sz w:val="21"/>
          <w:szCs w:val="21"/>
        </w:rPr>
        <w:t xml:space="preserve">Flag any item with ambiguous allergen disclosures as “Hold” by default.</w:t>
      </w:r>
    </w:p>
    <w:p>
      <w:pPr>
        <w:spacing w:after="200"/>
      </w:pPr>
    </w:p>
    <w:p>
      <w:pPr>
        <w:pStyle w:val="Heading1"/>
        <w:pBdr>
          <w:bottom w:val="single" w:color="1F3A5F" w:sz="8" w:space="4"/>
        </w:pBdr>
        <w:spacing w:after="200" w:before="480"/>
      </w:pPr>
      <w:r>
        <w:rPr>
          <w:b/>
          <w:bCs/>
          <w:color w:val="1F3A5F"/>
          <w:sz w:val="32"/>
          <w:szCs w:val="32"/>
        </w:rPr>
        <w:t xml:space="preserve">Idea 9 — Crisis Response &amp; Emergency Resource Allocation Engine</w:t>
      </w:r>
    </w:p>
    <w:p>
      <w:pPr>
        <w:jc w:val="center"/>
      </w:pPr>
      <w:r>
        <w:drawing>
          <wp:inline xmlns:a="http://schemas.openxmlformats.org/drawingml/2006/main" xmlns:pic="http://schemas.openxmlformats.org/drawingml/2006/picture">
            <wp:extent cx="5303520" cy="2960104"/>
            <wp:docPr id="9" name="Picture 9"/>
            <wp:cNvGraphicFramePr>
              <a:graphicFrameLocks noChangeAspect="1"/>
            </wp:cNvGraphicFramePr>
            <a:graphic>
              <a:graphicData uri="http://schemas.openxmlformats.org/drawingml/2006/picture">
                <pic:pic>
                  <pic:nvPicPr>
                    <pic:cNvPr id="0" name="09_crisis_response_allocation_engine.png"/>
                    <pic:cNvPicPr/>
                  </pic:nvPicPr>
                  <pic:blipFill>
                    <a:blip r:embed="rId17"/>
                    <a:stretch>
                      <a:fillRect/>
                    </a:stretch>
                  </pic:blipFill>
                  <pic:spPr>
                    <a:xfrm>
                      <a:off x="0" y="0"/>
                      <a:ext cx="5303520" cy="2960104"/>
                    </a:xfrm>
                    <a:prstGeom prst="rect"/>
                  </pic:spPr>
                </pic:pic>
              </a:graphicData>
            </a:graphic>
          </wp:inline>
        </w:drawing>
      </w:r>
    </w:p>
    <w:tbl>
      <w:tblPr>
        <w:tblW w:type="pct" w:w="100%"/>
        <w:tblBorders>
          <w:top w:val="single" w:color="C9D2DB" w:sz="4"/>
          <w:left w:val="single" w:color="C9D2DB" w:sz="4"/>
          <w:bottom w:val="single" w:color="C9D2DB" w:sz="4"/>
          <w:right w:val="single" w:color="C9D2DB" w:sz="4"/>
          <w:insideH w:val="none" w:color="FFFFFF" w:sz="0"/>
          <w:insideV w:val="none" w:color="FFFFFF" w:sz="0"/>
        </w:tblBorders>
      </w:tblPr>
      <w:tblGrid>
        <w:gridCol w:w="9350"/>
      </w:tblGrid>
      <w:tr>
        <w:tc>
          <w:tcPr>
            <w:tcW w:type="dxa" w:w="9350"/>
            <w:shd w:fill="EEF2F5" w:color="auto" w:val="clear"/>
            <w:tcMar>
              <w:top w:type="dxa" w:w="160"/>
              <w:left w:type="dxa" w:w="200"/>
              <w:bottom w:type="dxa" w:w="160"/>
              <w:right w:type="dxa" w:w="200"/>
            </w:tcMar>
          </w:tcPr>
          <w:p>
            <w:pPr>
              <w:spacing w:after="80" w:line="260"/>
            </w:pPr>
            <w:r>
              <w:rPr>
                <w:b w:val="false"/>
                <w:bCs w:val="false"/>
                <w:i/>
                <w:iCs/>
                <w:color w:val="44546A"/>
                <w:sz w:val="20"/>
                <w:szCs w:val="20"/>
              </w:rPr>
              <w:t xml:space="preserve">This idea combines the shock-mapping engine of Idea 7 with the safety-triage and allocation logic of Idea 8 into a single integrated platform. It is not included in the comparison table below, which scores Ideas 1–8 individually.</w:t>
            </w:r>
          </w:p>
        </w:tc>
      </w:tr>
    </w:tbl>
    <w:p>
      <w:pPr>
        <w:spacing w:after="160"/>
      </w:pP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11.5 (reduce disaster impacts) and SDG 12.3 (halve food waste / divert emergency surplus). Secondary SDG 1.5 (resilience of vulnerable groups) and SDG 2.1 (end hunger). Indicators 11.5.2 (direct economic loss relative to GDP) and 12.3.1b (food waste index).</w:t>
      </w:r>
    </w:p>
    <w:p>
      <w:pPr>
        <w:pStyle w:val="Heading3"/>
        <w:spacing w:after="100" w:before="240"/>
      </w:pPr>
      <w:r>
        <w:rPr>
          <w:b/>
          <w:bCs/>
          <w:color w:val="2E6F5E"/>
          <w:sz w:val="22"/>
          <w:szCs w:val="22"/>
        </w:rPr>
        <w:t xml:space="preserve">Worth knowing first</w:t>
      </w:r>
    </w:p>
    <w:p>
      <w:pPr>
        <w:spacing w:after="160" w:line="276"/>
      </w:pPr>
      <w:r>
        <w:rPr>
          <w:b w:val="false"/>
          <w:bCs w:val="false"/>
          <w:i w:val="false"/>
          <w:iCs w:val="false"/>
          <w:color w:val="222222"/>
          <w:sz w:val="21"/>
          <w:szCs w:val="21"/>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pPr>
        <w:pStyle w:val="Heading3"/>
        <w:spacing w:after="100" w:before="240"/>
      </w:pPr>
      <w:r>
        <w:rPr>
          <w:b/>
          <w:bCs/>
          <w:color w:val="2E6F5E"/>
          <w:sz w:val="22"/>
          <w:szCs w:val="22"/>
        </w:rPr>
        <w:t xml:space="preserve">Approach</w:t>
      </w:r>
    </w:p>
    <w:p>
      <w:pPr>
        <w:spacing w:after="160" w:line="276"/>
      </w:pPr>
      <w:r>
        <w:rPr>
          <w:b w:val="false"/>
          <w:bCs w:val="false"/>
          <w:i w:val="false"/>
          <w:iCs w:val="false"/>
          <w:color w:val="222222"/>
          <w:sz w:val="21"/>
          <w:szCs w:val="21"/>
        </w:rPr>
        <w:t xml:space="preserve">Combines predictive spatial shock mapping with automated safety triage and semantic resource allocation:</w:t>
      </w:r>
    </w:p>
    <w:p>
      <w:pPr>
        <w:pStyle w:val="ListParagraph"/>
        <w:numPr>
          <w:ilvl w:val="0"/>
          <w:numId w:val="11"/>
        </w:numPr>
        <w:spacing w:after="100" w:line="276"/>
      </w:pPr>
      <w:r>
        <w:rPr>
          <w:b/>
          <w:bCs/>
          <w:color w:val="222222"/>
          <w:sz w:val="21"/>
          <w:szCs w:val="21"/>
        </w:rPr>
        <w:t xml:space="preserve">Spatial threat &amp; vulnerability mapping. </w:t>
      </w:r>
      <w:r>
        <w:rPr>
          <w:color w:val="222222"/>
          <w:sz w:val="21"/>
          <w:szCs w:val="21"/>
        </w:rPr>
        <w:t xml:space="preserve">Ingests open GIS hazard boundaries (LINZ flood zones, regional council inundation maps) overlaid with census meshblock deprivation data (NZDep2018) to identify isolated, high-risk communities automatically.</w:t>
      </w:r>
    </w:p>
    <w:p>
      <w:pPr>
        <w:pStyle w:val="ListParagraph"/>
        <w:numPr>
          <w:ilvl w:val="0"/>
          <w:numId w:val="11"/>
        </w:numPr>
        <w:spacing w:after="100" w:line="276"/>
      </w:pPr>
      <w:r>
        <w:rPr>
          <w:b/>
          <w:bCs/>
          <w:color w:val="222222"/>
          <w:sz w:val="21"/>
          <w:szCs w:val="21"/>
        </w:rPr>
        <w:t xml:space="preserve">Messy intake &amp; safety triage. </w:t>
      </w:r>
      <w:r>
        <w:rPr>
          <w:color w:val="222222"/>
          <w:sz w:val="21"/>
          <w:szCs w:val="21"/>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pPr>
        <w:pStyle w:val="ListParagraph"/>
        <w:numPr>
          <w:ilvl w:val="0"/>
          <w:numId w:val="11"/>
        </w:numPr>
        <w:spacing w:after="100" w:line="276"/>
      </w:pPr>
      <w:r>
        <w:rPr>
          <w:b/>
          <w:bCs/>
          <w:color w:val="222222"/>
          <w:sz w:val="21"/>
          <w:szCs w:val="21"/>
        </w:rPr>
        <w:t xml:space="preserve">Semantic matching engine. </w:t>
      </w:r>
      <w:r>
        <w:rPr>
          <w:color w:val="222222"/>
          <w:sz w:val="21"/>
          <w:szCs w:val="21"/>
        </w:rPr>
        <w:t xml:space="preserve">Vector embeddings match verified supplies directly to nearby evacuation centers or community hubs based on real-time client constraints (halal, allergens, infant care, storage capacity, distance, and remaining safe window).</w:t>
      </w:r>
    </w:p>
    <w:p>
      <w:pPr>
        <w:pStyle w:val="ListParagraph"/>
        <w:numPr>
          <w:ilvl w:val="0"/>
          <w:numId w:val="11"/>
        </w:numPr>
        <w:spacing w:after="100" w:line="276"/>
      </w:pPr>
      <w:r>
        <w:rPr>
          <w:b/>
          <w:bCs/>
          <w:color w:val="222222"/>
          <w:sz w:val="21"/>
          <w:szCs w:val="21"/>
        </w:rPr>
        <w:t xml:space="preserve">Direct grant manifest &amp; audit ledger. </w:t>
      </w:r>
      <w:r>
        <w:rPr>
          <w:color w:val="222222"/>
          <w:sz w:val="21"/>
          <w:szCs w:val="21"/>
        </w:rPr>
        <w:t xml:space="preserve">Priority-scores affected households for emergency micro-disbursements (ABA/CSV output) while maintaining a hash-stamped audit ledger of diverted resources to ensure complete transparency and prevent double-dipping.</w:t>
      </w:r>
    </w:p>
    <w:p>
      <w:pPr>
        <w:pStyle w:val="Heading3"/>
        <w:spacing w:after="100" w:before="240"/>
      </w:pPr>
      <w:r>
        <w:rPr>
          <w:b/>
          <w:bCs/>
          <w:color w:val="2E6F5E"/>
          <w:sz w:val="22"/>
          <w:szCs w:val="22"/>
        </w:rPr>
        <w:t xml:space="preserve">New Zealand angle</w:t>
      </w:r>
    </w:p>
    <w:p>
      <w:pPr>
        <w:pStyle w:val="ListParagraph"/>
        <w:numPr>
          <w:ilvl w:val="0"/>
          <w:numId w:val="3"/>
        </w:numPr>
        <w:spacing w:after="100" w:line="276"/>
      </w:pPr>
      <w:r>
        <w:rPr>
          <w:b/>
          <w:bCs/>
          <w:color w:val="222222"/>
          <w:sz w:val="21"/>
          <w:szCs w:val="21"/>
        </w:rPr>
        <w:t xml:space="preserve">Disaster bottlenecks: </w:t>
      </w:r>
      <w:r>
        <w:rPr>
          <w:color w:val="222222"/>
          <w:sz w:val="21"/>
          <w:szCs w:val="21"/>
        </w:rPr>
        <w:t xml:space="preserve">during Cyclone Gabrielle and the 2023 North Island Floods, MSD handled 101,000+ Civil Defence Payments ($56.6M) at peak call volumes of 9,000/day, while tons of perishable relief food spoiled due to fragmented local logistics.</w:t>
      </w:r>
    </w:p>
    <w:p>
      <w:pPr>
        <w:pStyle w:val="ListParagraph"/>
        <w:numPr>
          <w:ilvl w:val="0"/>
          <w:numId w:val="3"/>
        </w:numPr>
        <w:spacing w:after="100" w:line="276"/>
      </w:pPr>
      <w:r>
        <w:rPr>
          <w:b/>
          <w:bCs/>
          <w:color w:val="222222"/>
          <w:sz w:val="21"/>
          <w:szCs w:val="21"/>
        </w:rPr>
        <w:t xml:space="preserve">Deprivation exposure: </w:t>
      </w:r>
      <w:r>
        <w:rPr>
          <w:color w:val="222222"/>
          <w:sz w:val="21"/>
          <w:szCs w:val="21"/>
        </w:rPr>
        <w:t xml:space="preserve">DIA climate studies identify 44 NZ communities combining severe flood risk with top-tier socio-economic vulnerability (NZDep bottom 10%), concentrated across Waikato, Tairāwhiti, Northland, and Bay of Plenty.</w:t>
      </w:r>
    </w:p>
    <w:p>
      <w:pPr>
        <w:pStyle w:val="ListParagraph"/>
        <w:numPr>
          <w:ilvl w:val="0"/>
          <w:numId w:val="3"/>
        </w:numPr>
        <w:spacing w:after="100" w:line="276"/>
      </w:pPr>
      <w:r>
        <w:rPr>
          <w:b/>
          <w:bCs/>
          <w:color w:val="222222"/>
          <w:sz w:val="21"/>
          <w:szCs w:val="21"/>
        </w:rPr>
        <w:t xml:space="preserve">Legal spine: </w:t>
      </w:r>
      <w:r>
        <w:rPr>
          <w:color w:val="222222"/>
          <w:sz w:val="21"/>
          <w:szCs w:val="21"/>
        </w:rPr>
        <w:t xml:space="preserve">integrates the Food Act 2014 donor liability protections directly into the emergency dispatch pipeline, enabling corporate donors to supply crisis hubs defensibly.</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Time-window-first — </w:t>
      </w:r>
      <w:r>
        <w:rPr>
          <w:color w:val="222222"/>
          <w:sz w:val="21"/>
          <w:szCs w:val="21"/>
        </w:rPr>
        <w:t xml:space="preserve">emergency supplies carry a live decay clock; routing priority automatically re-ranks as physical access or shelf life closes.</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b/>
          <w:bCs/>
          <w:color w:val="222222"/>
          <w:sz w:val="21"/>
          <w:szCs w:val="21"/>
        </w:rPr>
        <w:t xml:space="preserve">Data privacy: </w:t>
      </w:r>
      <w:r>
        <w:rPr>
          <w:color w:val="222222"/>
          <w:sz w:val="21"/>
          <w:szCs w:val="21"/>
        </w:rPr>
        <w:t xml:space="preserve">avoid using live personal financial records — use synthetic population data and aggregate vulnerability scores to the meshblock/suburb level.</w:t>
      </w:r>
    </w:p>
    <w:p>
      <w:pPr>
        <w:pStyle w:val="ListParagraph"/>
        <w:numPr>
          <w:ilvl w:val="0"/>
          <w:numId w:val="3"/>
        </w:numPr>
        <w:spacing w:after="100" w:line="276"/>
      </w:pPr>
      <w:r>
        <w:rPr>
          <w:b/>
          <w:bCs/>
          <w:color w:val="222222"/>
          <w:sz w:val="21"/>
          <w:szCs w:val="21"/>
        </w:rPr>
        <w:t xml:space="preserve">Liability &amp; authority: </w:t>
      </w:r>
      <w:r>
        <w:rPr>
          <w:color w:val="222222"/>
          <w:sz w:val="21"/>
          <w:szCs w:val="21"/>
        </w:rPr>
        <w:t xml:space="preserve">frame output strictly as an “agency-facing decision support engine pending coordinator sign-off” rather than a legal or clinical ruling.</w:t>
      </w:r>
    </w:p>
    <w:p>
      <w:pPr>
        <w:pStyle w:val="ListParagraph"/>
        <w:numPr>
          <w:ilvl w:val="0"/>
          <w:numId w:val="3"/>
        </w:numPr>
        <w:spacing w:after="100" w:line="276"/>
      </w:pPr>
      <w:r>
        <w:rPr>
          <w:b/>
          <w:bCs/>
          <w:color w:val="222222"/>
          <w:sz w:val="21"/>
          <w:szCs w:val="21"/>
        </w:rPr>
        <w:t xml:space="preserve">API failures: </w:t>
      </w:r>
      <w:r>
        <w:rPr>
          <w:color w:val="222222"/>
          <w:sz w:val="21"/>
          <w:szCs w:val="21"/>
        </w:rPr>
        <w:t xml:space="preserve">use cached local GeoJSON maps and recorded video fallbacks for the intake-to-ledger routing flow.</w:t>
      </w:r>
    </w:p>
    <w:p>
      <w:pPr>
        <w:spacing w:after="200"/>
      </w:pPr>
    </w:p>
    <w:p>
      <w:pPr>
        <w:pStyle w:val="Heading1"/>
        <w:pBdr>
          <w:bottom w:val="single" w:color="1F3A5F" w:sz="8" w:space="4"/>
        </w:pBdr>
        <w:spacing w:after="200" w:before="480"/>
      </w:pPr>
      <w:r>
        <w:rPr>
          <w:b/>
          <w:bCs/>
          <w:color w:val="1F3A5F"/>
          <w:sz w:val="32"/>
          <w:szCs w:val="32"/>
        </w:rPr>
        <w:t xml:space="preserve">Idea 10 — Universal Jargon &amp; Handwriting Interpreter</w:t>
      </w:r>
    </w:p>
    <w:p>
      <w:pPr>
        <w:jc w:val="center"/>
      </w:pPr>
      <w:r>
        <w:drawing>
          <wp:inline xmlns:a="http://schemas.openxmlformats.org/drawingml/2006/main" xmlns:pic="http://schemas.openxmlformats.org/drawingml/2006/picture">
            <wp:extent cx="5303520" cy="2960104"/>
            <wp:docPr id="10" name="Picture 10"/>
            <wp:cNvGraphicFramePr>
              <a:graphicFrameLocks noChangeAspect="1"/>
            </wp:cNvGraphicFramePr>
            <a:graphic>
              <a:graphicData uri="http://schemas.openxmlformats.org/drawingml/2006/picture">
                <pic:pic>
                  <pic:nvPicPr>
                    <pic:cNvPr id="0" name="10_universal_jargon_interpreter.png"/>
                    <pic:cNvPicPr/>
                  </pic:nvPicPr>
                  <pic:blipFill>
                    <a:blip r:embed="rId18"/>
                    <a:stretch>
                      <a:fillRect/>
                    </a:stretch>
                  </pic:blipFill>
                  <pic:spPr>
                    <a:xfrm>
                      <a:off x="0" y="0"/>
                      <a:ext cx="5303520" cy="2960104"/>
                    </a:xfrm>
                    <a:prstGeom prst="rect"/>
                  </pic:spPr>
                </pic:pic>
              </a:graphicData>
            </a:graphic>
          </wp:inline>
        </w:drawing>
      </w:r>
    </w:p>
    <w:tbl>
      <w:tblPr>
        <w:tblW w:type="pct" w:w="100%"/>
        <w:tblBorders>
          <w:top w:val="single" w:color="C9D2DB" w:sz="4"/>
          <w:left w:val="single" w:color="C9D2DB" w:sz="4"/>
          <w:bottom w:val="single" w:color="C9D2DB" w:sz="4"/>
          <w:right w:val="single" w:color="C9D2DB" w:sz="4"/>
          <w:insideH w:val="none" w:color="FFFFFF" w:sz="0"/>
          <w:insideV w:val="none" w:color="FFFFFF" w:sz="0"/>
        </w:tblBorders>
      </w:tblPr>
      <w:tblGrid>
        <w:gridCol w:w="9350"/>
      </w:tblGrid>
      <w:tr>
        <w:tc>
          <w:tcPr>
            <w:tcW w:type="dxa" w:w="9350"/>
            <w:shd w:fill="EEF2F5" w:color="auto" w:val="clear"/>
            <w:tcMar>
              <w:top w:type="dxa" w:w="160"/>
              <w:left w:type="dxa" w:w="200"/>
              <w:bottom w:type="dxa" w:w="160"/>
              <w:right w:type="dxa" w:w="200"/>
            </w:tcMar>
          </w:tcPr>
          <w:p>
            <w:pPr>
              <w:spacing w:after="80" w:line="260"/>
            </w:pPr>
            <w:r>
              <w:rPr>
                <w:b w:val="false"/>
                <w:bCs w:val="false"/>
                <w:i/>
                <w:iCs/>
                <w:color w:val="44546A"/>
                <w:sz w:val="20"/>
                <w:szCs w:val="20"/>
              </w:rPr>
              <w:t xml:space="preserve">Extends Idea 6. Same rewrite-and-visualise engine, generalised past healthcare to any dense or handwritten document, plus a direct answer to “why not just use Google/ChatGPT?”</w:t>
            </w:r>
          </w:p>
        </w:tc>
      </w:tr>
    </w:tbl>
    <w:p>
      <w:pPr>
        <w:spacing w:after="160"/>
      </w:pPr>
    </w:p>
    <w:p>
      <w:pPr>
        <w:pStyle w:val="Heading3"/>
        <w:spacing w:after="100" w:before="240"/>
      </w:pPr>
      <w:r>
        <w:rPr>
          <w:b/>
          <w:bCs/>
          <w:color w:val="2E6F5E"/>
          <w:sz w:val="22"/>
          <w:szCs w:val="22"/>
        </w:rPr>
        <w:t xml:space="preserve">Problem</w:t>
      </w:r>
    </w:p>
    <w:p>
      <w:pPr>
        <w:spacing w:after="160" w:line="276"/>
      </w:pPr>
      <w:r>
        <w:rPr>
          <w:b w:val="false"/>
          <w:bCs w:val="false"/>
          <w:i w:val="false"/>
          <w:iCs w:val="false"/>
          <w:color w:val="222222"/>
          <w:sz w:val="21"/>
          <w:szCs w:val="21"/>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pPr>
        <w:pStyle w:val="Heading3"/>
        <w:spacing w:after="100" w:before="240"/>
      </w:pPr>
      <w:r>
        <w:rPr>
          <w:b/>
          <w:bCs/>
          <w:color w:val="2E6F5E"/>
          <w:sz w:val="22"/>
          <w:szCs w:val="22"/>
        </w:rPr>
        <w:t xml:space="preserve">SDG</w:t>
      </w:r>
    </w:p>
    <w:p>
      <w:pPr>
        <w:spacing w:after="160" w:line="276"/>
      </w:pPr>
      <w:r>
        <w:rPr>
          <w:b w:val="false"/>
          <w:bCs w:val="false"/>
          <w:i w:val="false"/>
          <w:iCs w:val="false"/>
          <w:color w:val="222222"/>
          <w:sz w:val="21"/>
          <w:szCs w:val="21"/>
        </w:rPr>
        <w:t xml:space="preserve">SDG 10.2 (inclusion) and SDG 4.6 (functional literacy for youth and adults), the same legal-access logic as Idea 6's Right 5 and 6 argument, extended to non-health documents via the right to access information in a usable form.</w:t>
      </w:r>
    </w:p>
    <w:p>
      <w:pPr>
        <w:pStyle w:val="Heading3"/>
        <w:spacing w:after="100" w:before="240"/>
      </w:pPr>
      <w:r>
        <w:rPr>
          <w:b/>
          <w:bCs/>
          <w:color w:val="2E6F5E"/>
          <w:sz w:val="22"/>
          <w:szCs w:val="22"/>
        </w:rPr>
        <w:t xml:space="preserve">Why “just use Google” isn't the answer</w:t>
      </w:r>
    </w:p>
    <w:p>
      <w:pPr>
        <w:pStyle w:val="ListParagraph"/>
        <w:numPr>
          <w:ilvl w:val="0"/>
          <w:numId w:val="3"/>
        </w:numPr>
        <w:spacing w:after="100" w:line="276"/>
      </w:pPr>
      <w:r>
        <w:rPr>
          <w:b/>
          <w:bCs/>
          <w:color w:val="222222"/>
          <w:sz w:val="21"/>
          <w:szCs w:val="21"/>
        </w:rPr>
        <w:t xml:space="preserve">Privacy. </w:t>
      </w:r>
      <w:r>
        <w:rPr>
          <w:color w:val="222222"/>
          <w:sz w:val="21"/>
          <w:szCs w:val="21"/>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pPr>
        <w:pStyle w:val="ListParagraph"/>
        <w:numPr>
          <w:ilvl w:val="0"/>
          <w:numId w:val="3"/>
        </w:numPr>
        <w:spacing w:after="100" w:line="276"/>
      </w:pPr>
      <w:r>
        <w:rPr>
          <w:b/>
          <w:bCs/>
          <w:color w:val="222222"/>
          <w:sz w:val="21"/>
          <w:szCs w:val="21"/>
        </w:rPr>
        <w:t xml:space="preserve">Accuracy on jargon. </w:t>
      </w:r>
      <w:r>
        <w:rPr>
          <w:color w:val="222222"/>
          <w:sz w:val="21"/>
          <w:szCs w:val="21"/>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pPr>
        <w:pStyle w:val="ListParagraph"/>
        <w:numPr>
          <w:ilvl w:val="0"/>
          <w:numId w:val="3"/>
        </w:numPr>
        <w:spacing w:after="100" w:line="276"/>
      </w:pPr>
      <w:r>
        <w:rPr>
          <w:b/>
          <w:bCs/>
          <w:color w:val="222222"/>
          <w:sz w:val="21"/>
          <w:szCs w:val="21"/>
        </w:rPr>
        <w:t xml:space="preserve">Handwriting. </w:t>
      </w:r>
      <w:r>
        <w:rPr>
          <w:color w:val="222222"/>
          <w:sz w:val="21"/>
          <w:szCs w:val="21"/>
        </w:rPr>
        <w:t xml:space="preserve">Prescriptions, clinical notes, and older government correspondence are often handwritten or scanned. This is a distinct and harder OCR problem from typed-text simplification, and it is the piece a copy-paste chatbot workflow cannot touch at all.</w:t>
      </w:r>
    </w:p>
    <w:p>
      <w:pPr>
        <w:pStyle w:val="ListParagraph"/>
        <w:numPr>
          <w:ilvl w:val="0"/>
          <w:numId w:val="3"/>
        </w:numPr>
        <w:spacing w:after="100" w:line="276"/>
      </w:pPr>
      <w:r>
        <w:rPr>
          <w:b/>
          <w:bCs/>
          <w:color w:val="222222"/>
          <w:sz w:val="21"/>
          <w:szCs w:val="21"/>
        </w:rPr>
        <w:t xml:space="preserve">Legitimate datasets. </w:t>
      </w:r>
      <w:r>
        <w:rPr>
          <w:color w:val="222222"/>
          <w:sz w:val="21"/>
          <w:szCs w:val="21"/>
        </w:rPr>
        <w:t xml:space="preserve">Rewrites are grounded against real, named sources — the Residential Tenancies Act, IRD guidance, insurance PDS documents, the same public-PDF retrieval pattern used for the National Standards in Idea 3 — rather than an ungrounded model guess.</w:t>
      </w:r>
    </w:p>
    <w:p>
      <w:pPr>
        <w:pStyle w:val="Heading3"/>
        <w:spacing w:after="100" w:before="240"/>
      </w:pPr>
      <w:r>
        <w:rPr>
          <w:b/>
          <w:bCs/>
          <w:color w:val="2E6F5E"/>
          <w:sz w:val="22"/>
          <w:szCs w:val="22"/>
        </w:rPr>
        <w:t xml:space="preserve">Approach</w:t>
      </w:r>
    </w:p>
    <w:p>
      <w:pPr>
        <w:pStyle w:val="ListParagraph"/>
        <w:numPr>
          <w:ilvl w:val="0"/>
          <w:numId w:val="12"/>
        </w:numPr>
        <w:spacing w:after="100" w:line="276"/>
      </w:pPr>
      <w:r>
        <w:rPr>
          <w:b/>
          <w:bCs/>
          <w:color w:val="222222"/>
          <w:sz w:val="21"/>
          <w:szCs w:val="21"/>
        </w:rPr>
        <w:t xml:space="preserve">Domain-routed intake. </w:t>
      </w:r>
      <w:r>
        <w:rPr>
          <w:color w:val="222222"/>
          <w:sz w:val="21"/>
          <w:szCs w:val="21"/>
        </w:rPr>
        <w:t xml:space="preserve">A document or photo is classified into a domain (health, legal, financial, government, technical) and matched to that domain's rules table and glossary, reusing Idea 6's ingest-and-structure pipeline.</w:t>
      </w:r>
    </w:p>
    <w:p>
      <w:pPr>
        <w:pStyle w:val="ListParagraph"/>
        <w:numPr>
          <w:ilvl w:val="0"/>
          <w:numId w:val="12"/>
        </w:numPr>
        <w:spacing w:after="100" w:line="276"/>
      </w:pPr>
      <w:r>
        <w:rPr>
          <w:b/>
          <w:bCs/>
          <w:color w:val="222222"/>
          <w:sz w:val="21"/>
          <w:szCs w:val="21"/>
        </w:rPr>
        <w:t xml:space="preserve">Handwriting and jargon interpreter. </w:t>
      </w:r>
      <w:r>
        <w:rPr>
          <w:color w:val="222222"/>
          <w:sz w:val="21"/>
          <w:szCs w:val="21"/>
        </w:rPr>
        <w:t xml:space="preserve">OCR handles handwritten and scanned text; a rewrite pass simplifies dense or archaic wording to a target reading level, with every simplified term traceable back to a cited definition rather than a free paraphrase.</w:t>
      </w:r>
    </w:p>
    <w:p>
      <w:pPr>
        <w:pStyle w:val="ListParagraph"/>
        <w:numPr>
          <w:ilvl w:val="0"/>
          <w:numId w:val="12"/>
        </w:numPr>
        <w:spacing w:after="100" w:line="276"/>
      </w:pPr>
      <w:r>
        <w:rPr>
          <w:b/>
          <w:bCs/>
          <w:color w:val="222222"/>
          <w:sz w:val="21"/>
          <w:szCs w:val="21"/>
        </w:rPr>
        <w:t xml:space="preserve">Visualising agent. </w:t>
      </w:r>
      <w:r>
        <w:rPr>
          <w:color w:val="222222"/>
          <w:sz w:val="21"/>
          <w:szCs w:val="21"/>
        </w:rPr>
        <w:t xml:space="preserve">The same structure-over-prose principle from Idea 6 — timelines, flowcharts for conditional clauses (“if you miss a payment, this happens”), and decision trees — generalised across domains instead of being medication-specific.</w:t>
      </w:r>
    </w:p>
    <w:p>
      <w:pPr>
        <w:pStyle w:val="ListParagraph"/>
        <w:numPr>
          <w:ilvl w:val="0"/>
          <w:numId w:val="12"/>
        </w:numPr>
        <w:spacing w:after="100" w:line="276"/>
      </w:pPr>
      <w:r>
        <w:rPr>
          <w:b/>
          <w:bCs/>
          <w:color w:val="222222"/>
          <w:sz w:val="21"/>
          <w:szCs w:val="21"/>
        </w:rPr>
        <w:t xml:space="preserve">Local-first privacy mode. </w:t>
      </w:r>
      <w:r>
        <w:rPr>
          <w:color w:val="222222"/>
          <w:sz w:val="21"/>
          <w:szCs w:val="21"/>
        </w:rPr>
        <w:t xml:space="preserve">A WebGPU-detected small model runs the simplification entirely in-browser for sensitive documents; the interface falls back to a cloud model only for longer or more complex documents, with the trade-off shown to the user rather than hidden.</w:t>
      </w:r>
    </w:p>
    <w:p>
      <w:pPr>
        <w:pStyle w:val="ListParagraph"/>
        <w:numPr>
          <w:ilvl w:val="0"/>
          <w:numId w:val="12"/>
        </w:numPr>
        <w:spacing w:after="100" w:line="276"/>
      </w:pPr>
      <w:r>
        <w:rPr>
          <w:b/>
          <w:bCs/>
          <w:color w:val="222222"/>
          <w:sz w:val="21"/>
          <w:szCs w:val="21"/>
        </w:rPr>
        <w:t xml:space="preserve">Confidence and review gate. </w:t>
      </w:r>
      <w:r>
        <w:rPr>
          <w:color w:val="222222"/>
          <w:sz w:val="21"/>
          <w:szCs w:val="21"/>
        </w:rPr>
        <w:t xml:space="preserve">Low-confidence handwriting reads or ambiguous clauses are flagged for human review rather than silently guessed, the same safety pattern as Idea 6's clinician gate.</w:t>
      </w:r>
    </w:p>
    <w:p>
      <w:pPr>
        <w:pStyle w:val="Heading3"/>
        <w:spacing w:after="100" w:before="240"/>
      </w:pPr>
      <w:r>
        <w:rPr>
          <w:b/>
          <w:bCs/>
          <w:color w:val="2E6F5E"/>
          <w:sz w:val="22"/>
          <w:szCs w:val="22"/>
        </w:rPr>
        <w:t xml:space="preserve">New Zealand angle</w:t>
      </w:r>
    </w:p>
    <w:p>
      <w:pPr>
        <w:pStyle w:val="ListParagraph"/>
        <w:numPr>
          <w:ilvl w:val="0"/>
          <w:numId w:val="3"/>
        </w:numPr>
        <w:spacing w:after="100" w:line="276"/>
      </w:pPr>
      <w:r>
        <w:rPr>
          <w:color w:val="222222"/>
          <w:sz w:val="21"/>
          <w:szCs w:val="21"/>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pPr>
        <w:pStyle w:val="ListParagraph"/>
        <w:numPr>
          <w:ilvl w:val="0"/>
          <w:numId w:val="3"/>
        </w:numPr>
        <w:spacing w:after="100" w:line="276"/>
      </w:pPr>
      <w:r>
        <w:rPr>
          <w:color w:val="222222"/>
          <w:sz w:val="21"/>
          <w:szCs w:val="21"/>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pPr>
        <w:pStyle w:val="ListParagraph"/>
        <w:numPr>
          <w:ilvl w:val="0"/>
          <w:numId w:val="3"/>
        </w:numPr>
        <w:spacing w:after="100" w:line="276"/>
      </w:pPr>
      <w:r>
        <w:rPr>
          <w:color w:val="222222"/>
          <w:sz w:val="21"/>
          <w:szCs w:val="21"/>
        </w:rPr>
        <w:t xml:space="preserve">The same glossary-and-citation grounding used for the National Standards PDFs in Idea 3 and the Code of Rights in Idea 6 extends naturally to Tenancy Services, IRD, and WINZ guidance.</w:t>
      </w:r>
    </w:p>
    <w:p>
      <w:pPr>
        <w:pStyle w:val="Heading3"/>
        <w:spacing w:after="100" w:before="240"/>
      </w:pPr>
      <w:r>
        <w:rPr>
          <w:b/>
          <w:bCs/>
          <w:color w:val="2E6F5E"/>
          <w:sz w:val="22"/>
          <w:szCs w:val="22"/>
        </w:rPr>
        <w:t xml:space="preserve">Build and demo</w:t>
      </w:r>
    </w:p>
    <w:p>
      <w:pPr>
        <w:pStyle w:val="ListParagraph"/>
        <w:numPr>
          <w:ilvl w:val="0"/>
          <w:numId w:val="3"/>
        </w:numPr>
        <w:spacing w:after="100" w:line="276"/>
      </w:pPr>
      <w:r>
        <w:rPr>
          <w:b/>
          <w:bCs/>
          <w:color w:val="222222"/>
          <w:sz w:val="21"/>
          <w:szCs w:val="21"/>
        </w:rPr>
        <w:t xml:space="preserve">Why 48 hours works — </w:t>
      </w:r>
      <w:r>
        <w:rPr>
          <w:color w:val="222222"/>
          <w:sz w:val="21"/>
          <w:szCs w:val="21"/>
        </w:rPr>
        <w:t xml:space="preserve">the rewrite-and-visualise engine already exists as Idea 6's build. The new work is a domain router, two or three additional glossary tables, and a WebGPU feature-detect that switches between a small in-browser model and the cloud API.</w:t>
      </w:r>
    </w:p>
    <w:p>
      <w:pPr>
        <w:pStyle w:val="ListParagraph"/>
        <w:numPr>
          <w:ilvl w:val="0"/>
          <w:numId w:val="3"/>
        </w:numPr>
        <w:spacing w:after="100" w:line="276"/>
      </w:pPr>
      <w:r>
        <w:rPr>
          <w:b/>
          <w:bCs/>
          <w:color w:val="222222"/>
          <w:sz w:val="21"/>
          <w:szCs w:val="21"/>
        </w:rPr>
        <w:t xml:space="preserve">Demo — </w:t>
      </w:r>
      <w:r>
        <w:rPr>
          <w:color w:val="222222"/>
          <w:sz w:val="21"/>
          <w:szCs w:val="21"/>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pPr>
        <w:pStyle w:val="Heading3"/>
        <w:spacing w:after="100" w:before="240"/>
      </w:pPr>
      <w:r>
        <w:rPr>
          <w:b/>
          <w:bCs/>
          <w:color w:val="2E6F5E"/>
          <w:sz w:val="22"/>
          <w:szCs w:val="22"/>
        </w:rPr>
        <w:t xml:space="preserve">Risks</w:t>
      </w:r>
    </w:p>
    <w:p>
      <w:pPr>
        <w:pStyle w:val="ListParagraph"/>
        <w:numPr>
          <w:ilvl w:val="0"/>
          <w:numId w:val="3"/>
        </w:numPr>
        <w:spacing w:after="100" w:line="276"/>
      </w:pPr>
      <w:r>
        <w:rPr>
          <w:color w:val="222222"/>
          <w:sz w:val="21"/>
          <w:szCs w:val="21"/>
        </w:rPr>
        <w:t xml:space="preserve">Handwriting OCR is still imperfect in 2026. Show the confidence flag and human-review gate as part of the demo rather than implying the reading is always correct.</w:t>
      </w:r>
    </w:p>
    <w:p>
      <w:pPr>
        <w:pStyle w:val="ListParagraph"/>
        <w:numPr>
          <w:ilvl w:val="0"/>
          <w:numId w:val="3"/>
        </w:numPr>
        <w:spacing w:after="100" w:line="276"/>
      </w:pPr>
      <w:r>
        <w:rPr>
          <w:color w:val="222222"/>
          <w:sz w:val="21"/>
          <w:szCs w:val="21"/>
        </w:rPr>
        <w:t xml:space="preserve">On-device models are smaller and weaker than the cloud model. Cap local mode to simplification and summarisation, not generation of legal or clinical advice.</w:t>
      </w:r>
    </w:p>
    <w:p>
      <w:pPr>
        <w:pStyle w:val="ListParagraph"/>
        <w:numPr>
          <w:ilvl w:val="0"/>
          <w:numId w:val="3"/>
        </w:numPr>
        <w:spacing w:after="100" w:line="276"/>
      </w:pPr>
      <w:r>
        <w:rPr>
          <w:color w:val="222222"/>
          <w:sz w:val="21"/>
          <w:szCs w:val="21"/>
        </w:rPr>
        <w:t xml:space="preserve">Frame it as a literacy aid pending professional sign-off, not a replacement for a lawyer, pharmacist, or WINZ case worker — the same positioning discipline as Idea 6.</w:t>
      </w:r>
    </w:p>
    <w:p>
      <w:pPr>
        <w:pStyle w:val="ListParagraph"/>
        <w:numPr>
          <w:ilvl w:val="0"/>
          <w:numId w:val="3"/>
        </w:numPr>
        <w:spacing w:after="100" w:line="276"/>
      </w:pPr>
      <w:r>
        <w:rPr>
          <w:color w:val="222222"/>
          <w:sz w:val="21"/>
          <w:szCs w:val="21"/>
        </w:rPr>
        <w:t xml:space="preserve">Don't overclaim Māori data sovereignty compliance from a 48-hour prototype; frame local-first as aligned with those principles, not certified against them.</w:t>
      </w:r>
    </w:p>
    <w:tbl>
      <w:tblPr>
        <w:tblW w:type="pct" w:w="100%"/>
        <w:tblBorders>
          <w:top w:val="single" w:color="C9D2DB" w:sz="4"/>
          <w:left w:val="single" w:color="C9D2DB" w:sz="4"/>
          <w:bottom w:val="single" w:color="C9D2DB" w:sz="4"/>
          <w:right w:val="single" w:color="C9D2DB" w:sz="4"/>
          <w:insideH w:val="none" w:color="FFFFFF" w:sz="0"/>
          <w:insideV w:val="none" w:color="FFFFFF" w:sz="0"/>
        </w:tblBorders>
      </w:tblPr>
      <w:tblGrid>
        <w:gridCol w:w="9350"/>
      </w:tblGrid>
      <w:tr>
        <w:tc>
          <w:tcPr>
            <w:tcW w:type="dxa" w:w="9350"/>
            <w:shd w:fill="EEF2F5" w:color="auto" w:val="clear"/>
            <w:tcMar>
              <w:top w:type="dxa" w:w="160"/>
              <w:left w:type="dxa" w:w="200"/>
              <w:bottom w:type="dxa" w:w="160"/>
              <w:right w:type="dxa" w:w="200"/>
            </w:tcMar>
          </w:tcPr>
          <w:p>
            <w:pPr>
              <w:spacing w:after="80" w:line="260"/>
            </w:pPr>
            <w:r>
              <w:rPr>
                <w:b/>
                <w:bCs/>
                <w:i/>
                <w:iCs/>
                <w:color w:val="44546A"/>
                <w:sz w:val="20"/>
                <w:szCs w:val="20"/>
              </w:rPr>
              <w:t xml:space="preserve">Directly answers the panel's likely “why not just Google it” question with a real architectural difference — on-device privacy plus cited, domain-grounded rewrites — while reusing almost the entire Idea 6 build.</w:t>
            </w:r>
          </w:p>
        </w:tc>
      </w:tr>
    </w:tbl>
    <w:p>
      <w:pPr>
        <w:spacing w:after="200"/>
      </w:pPr>
    </w:p>
    <w:p>
      <w:pPr>
        <w:pStyle w:val="Heading1"/>
        <w:pBdr>
          <w:bottom w:val="single" w:color="1F3A5F" w:sz="8" w:space="4"/>
        </w:pBdr>
        <w:spacing w:after="200" w:before="480"/>
      </w:pPr>
      <w:r>
        <w:rPr>
          <w:b/>
          <w:bCs/>
          <w:color w:val="1F3A5F"/>
          <w:sz w:val="32"/>
          <w:szCs w:val="32"/>
        </w:rPr>
        <w:t xml:space="preserve">Comparison</w:t>
      </w:r>
    </w:p>
    <w:tbl>
      <w:tblPr>
        <w:tblW w:type="dxa" w:w="9950"/>
        <w:tblBorders>
          <w:top w:val="single" w:color="C9D2DB" w:sz="4"/>
          <w:left w:val="single" w:color="C9D2DB" w:sz="4"/>
          <w:bottom w:val="single" w:color="C9D2DB" w:sz="4"/>
          <w:right w:val="single" w:color="C9D2DB" w:sz="4"/>
          <w:insideH w:val="single" w:color="C9D2DB" w:sz="4"/>
          <w:insideV w:val="single" w:color="C9D2DB" w:sz="4"/>
        </w:tblBorders>
      </w:tblPr>
      <w:tblGrid>
        <w:gridCol w:w="500"/>
        <w:gridCol w:w="3050"/>
        <w:gridCol w:w="1500"/>
        <w:gridCol w:w="1350"/>
        <w:gridCol w:w="1200"/>
        <w:gridCol w:w="1150"/>
        <w:gridCol w:w="1200"/>
      </w:tblGrid>
      <w:tr>
        <w:trPr>
          <w:tblHeader/>
        </w:trPr>
        <w:tc>
          <w:tcPr>
            <w:tcW w:type="dxa" w:w="500"/>
            <w:shd w:fill="1F3A5F" w:color="auto" w:val="clear"/>
            <w:tcMar>
              <w:top w:type="dxa" w:w="100"/>
              <w:left w:type="dxa" w:w="120"/>
              <w:bottom w:type="dxa" w:w="100"/>
              <w:right w:type="dxa" w:w="120"/>
            </w:tcMar>
          </w:tcPr>
          <w:p>
            <w:r>
              <w:rPr>
                <w:b/>
                <w:bCs/>
                <w:color w:val="FFFFFF"/>
                <w:sz w:val="19"/>
                <w:szCs w:val="19"/>
              </w:rPr>
              <w:t xml:space="preserve">#</w:t>
            </w:r>
          </w:p>
        </w:tc>
        <w:tc>
          <w:tcPr>
            <w:tcW w:type="dxa" w:w="3050"/>
            <w:shd w:fill="1F3A5F" w:color="auto" w:val="clear"/>
            <w:tcMar>
              <w:top w:type="dxa" w:w="100"/>
              <w:left w:type="dxa" w:w="120"/>
              <w:bottom w:type="dxa" w:w="100"/>
              <w:right w:type="dxa" w:w="120"/>
            </w:tcMar>
          </w:tcPr>
          <w:p>
            <w:r>
              <w:rPr>
                <w:b/>
                <w:bCs/>
                <w:color w:val="FFFFFF"/>
                <w:sz w:val="19"/>
                <w:szCs w:val="19"/>
              </w:rPr>
              <w:t xml:space="preserve">Idea</w:t>
            </w:r>
          </w:p>
        </w:tc>
        <w:tc>
          <w:tcPr>
            <w:tcW w:type="dxa" w:w="1500"/>
            <w:shd w:fill="1F3A5F" w:color="auto" w:val="clear"/>
            <w:tcMar>
              <w:top w:type="dxa" w:w="100"/>
              <w:left w:type="dxa" w:w="120"/>
              <w:bottom w:type="dxa" w:w="100"/>
              <w:right w:type="dxa" w:w="120"/>
            </w:tcMar>
          </w:tcPr>
          <w:p>
            <w:r>
              <w:rPr>
                <w:b/>
                <w:bCs/>
                <w:color w:val="FFFFFF"/>
                <w:sz w:val="19"/>
                <w:szCs w:val="19"/>
              </w:rPr>
              <w:t xml:space="preserve">SDG</w:t>
            </w:r>
          </w:p>
        </w:tc>
        <w:tc>
          <w:tcPr>
            <w:tcW w:type="dxa" w:w="1350"/>
            <w:shd w:fill="1F3A5F" w:color="auto" w:val="clear"/>
            <w:tcMar>
              <w:top w:type="dxa" w:w="100"/>
              <w:left w:type="dxa" w:w="120"/>
              <w:bottom w:type="dxa" w:w="100"/>
              <w:right w:type="dxa" w:w="120"/>
            </w:tcMar>
          </w:tcPr>
          <w:p>
            <w:r>
              <w:rPr>
                <w:b/>
                <w:bCs/>
                <w:color w:val="FFFFFF"/>
                <w:sz w:val="19"/>
                <w:szCs w:val="19"/>
              </w:rPr>
              <w:t xml:space="preserve">Novelty</w:t>
            </w:r>
          </w:p>
        </w:tc>
        <w:tc>
          <w:tcPr>
            <w:tcW w:type="dxa" w:w="1200"/>
            <w:shd w:fill="1F3A5F" w:color="auto" w:val="clear"/>
            <w:tcMar>
              <w:top w:type="dxa" w:w="100"/>
              <w:left w:type="dxa" w:w="120"/>
              <w:bottom w:type="dxa" w:w="100"/>
              <w:right w:type="dxa" w:w="120"/>
            </w:tcMar>
          </w:tcPr>
          <w:p>
            <w:r>
              <w:rPr>
                <w:b/>
                <w:bCs/>
                <w:color w:val="FFFFFF"/>
                <w:sz w:val="19"/>
                <w:szCs w:val="19"/>
              </w:rPr>
              <w:t xml:space="preserve">48h risk</w:t>
            </w:r>
          </w:p>
        </w:tc>
        <w:tc>
          <w:tcPr>
            <w:tcW w:type="dxa" w:w="1150"/>
            <w:shd w:fill="1F3A5F" w:color="auto" w:val="clear"/>
            <w:tcMar>
              <w:top w:type="dxa" w:w="100"/>
              <w:left w:type="dxa" w:w="120"/>
              <w:bottom w:type="dxa" w:w="100"/>
              <w:right w:type="dxa" w:w="120"/>
            </w:tcMar>
          </w:tcPr>
          <w:p>
            <w:r>
              <w:rPr>
                <w:b/>
                <w:bCs/>
                <w:color w:val="FFFFFF"/>
                <w:sz w:val="19"/>
                <w:szCs w:val="19"/>
              </w:rPr>
              <w:t xml:space="preserve">Emotion</w:t>
            </w:r>
          </w:p>
        </w:tc>
        <w:tc>
          <w:tcPr>
            <w:tcW w:type="dxa" w:w="1200"/>
            <w:shd w:fill="1F3A5F" w:color="auto" w:val="clear"/>
            <w:tcMar>
              <w:top w:type="dxa" w:w="100"/>
              <w:left w:type="dxa" w:w="120"/>
              <w:bottom w:type="dxa" w:w="100"/>
              <w:right w:type="dxa" w:w="120"/>
            </w:tcMar>
          </w:tcPr>
          <w:p>
            <w:r>
              <w:rPr>
                <w:b/>
                <w:bCs/>
                <w:color w:val="FFFFFF"/>
                <w:sz w:val="19"/>
                <w:szCs w:val="19"/>
              </w:rPr>
              <w:t xml:space="preserve">Tech</w:t>
            </w:r>
          </w:p>
        </w:tc>
      </w:tr>
      <w:tr>
        <w:tc>
          <w:tcPr>
            <w:tcW w:type="dxa" w:w="500"/>
            <w:shd w:fill="FFFFFF" w:color="auto" w:val="clear"/>
            <w:tcMar>
              <w:top w:type="dxa" w:w="90"/>
              <w:left w:type="dxa" w:w="120"/>
              <w:bottom w:type="dxa" w:w="90"/>
              <w:right w:type="dxa" w:w="120"/>
            </w:tcMar>
          </w:tcPr>
          <w:p>
            <w:pPr>
              <w:spacing w:after="40"/>
            </w:pPr>
            <w:r>
              <w:rPr>
                <w:color w:val="222222"/>
                <w:sz w:val="19"/>
                <w:szCs w:val="19"/>
              </w:rPr>
              <w:t xml:space="preserve">1</w:t>
            </w:r>
          </w:p>
        </w:tc>
        <w:tc>
          <w:tcPr>
            <w:tcW w:type="dxa" w:w="3050"/>
            <w:shd w:fill="FFFFFF" w:color="auto" w:val="clear"/>
            <w:tcMar>
              <w:top w:type="dxa" w:w="90"/>
              <w:left w:type="dxa" w:w="120"/>
              <w:bottom w:type="dxa" w:w="90"/>
              <w:right w:type="dxa" w:w="120"/>
            </w:tcMar>
          </w:tcPr>
          <w:p>
            <w:pPr>
              <w:spacing w:after="40"/>
            </w:pPr>
            <w:r>
              <w:rPr>
                <w:color w:val="222222"/>
                <w:sz w:val="19"/>
                <w:szCs w:val="19"/>
              </w:rPr>
              <w:t xml:space="preserve">Cold-chain decisions</w:t>
            </w:r>
          </w:p>
        </w:tc>
        <w:tc>
          <w:tcPr>
            <w:tcW w:type="dxa" w:w="1500"/>
            <w:shd w:fill="FFFFFF" w:color="auto" w:val="clear"/>
            <w:tcMar>
              <w:top w:type="dxa" w:w="90"/>
              <w:left w:type="dxa" w:w="120"/>
              <w:bottom w:type="dxa" w:w="90"/>
              <w:right w:type="dxa" w:w="120"/>
            </w:tcMar>
          </w:tcPr>
          <w:p>
            <w:pPr>
              <w:spacing w:after="40"/>
            </w:pPr>
            <w:r>
              <w:rPr>
                <w:color w:val="222222"/>
                <w:sz w:val="19"/>
                <w:szCs w:val="19"/>
              </w:rPr>
              <w:t xml:space="preserve">3.b.1</w:t>
            </w:r>
          </w:p>
        </w:tc>
        <w:tc>
          <w:tcPr>
            <w:tcW w:type="dxa" w:w="1350"/>
            <w:shd w:fill="FFFFFF" w:color="auto" w:val="clear"/>
            <w:tcMar>
              <w:top w:type="dxa" w:w="90"/>
              <w:left w:type="dxa" w:w="120"/>
              <w:bottom w:type="dxa" w:w="90"/>
              <w:right w:type="dxa" w:w="120"/>
            </w:tcMar>
          </w:tcPr>
          <w:p>
            <w:pPr>
              <w:spacing w:after="40"/>
            </w:pPr>
            <w:r>
              <w:rPr>
                <w:color w:val="222222"/>
                <w:sz w:val="19"/>
                <w:szCs w:val="19"/>
              </w:rPr>
              <w:t xml:space="preserve">Medium *</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Low</w:t>
            </w:r>
          </w:p>
        </w:tc>
        <w:tc>
          <w:tcPr>
            <w:tcW w:type="dxa" w:w="1150"/>
            <w:shd w:fill="FFFFFF" w:color="auto" w:val="clear"/>
            <w:tcMar>
              <w:top w:type="dxa" w:w="90"/>
              <w:left w:type="dxa" w:w="120"/>
              <w:bottom w:type="dxa" w:w="90"/>
              <w:right w:type="dxa" w:w="120"/>
            </w:tcMar>
          </w:tcPr>
          <w:p>
            <w:pPr>
              <w:spacing w:after="40"/>
            </w:pPr>
            <w:r>
              <w:rPr>
                <w:color w:val="222222"/>
                <w:sz w:val="19"/>
                <w:szCs w:val="19"/>
              </w:rPr>
              <w:t xml:space="preserve">High</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Med</w:t>
            </w:r>
          </w:p>
        </w:tc>
      </w:tr>
      <w:tr>
        <w:tc>
          <w:tcPr>
            <w:tcW w:type="dxa" w:w="500"/>
            <w:shd w:fill="EEF2F5" w:color="auto" w:val="clear"/>
            <w:tcMar>
              <w:top w:type="dxa" w:w="90"/>
              <w:left w:type="dxa" w:w="120"/>
              <w:bottom w:type="dxa" w:w="90"/>
              <w:right w:type="dxa" w:w="120"/>
            </w:tcMar>
          </w:tcPr>
          <w:p>
            <w:pPr>
              <w:spacing w:after="40"/>
            </w:pPr>
            <w:r>
              <w:rPr>
                <w:color w:val="222222"/>
                <w:sz w:val="19"/>
                <w:szCs w:val="19"/>
              </w:rPr>
              <w:t xml:space="preserve">2</w:t>
            </w:r>
          </w:p>
        </w:tc>
        <w:tc>
          <w:tcPr>
            <w:tcW w:type="dxa" w:w="3050"/>
            <w:shd w:fill="EEF2F5" w:color="auto" w:val="clear"/>
            <w:tcMar>
              <w:top w:type="dxa" w:w="90"/>
              <w:left w:type="dxa" w:w="120"/>
              <w:bottom w:type="dxa" w:w="90"/>
              <w:right w:type="dxa" w:w="120"/>
            </w:tcMar>
          </w:tcPr>
          <w:p>
            <w:pPr>
              <w:spacing w:after="40"/>
            </w:pPr>
            <w:r>
              <w:rPr>
                <w:color w:val="222222"/>
                <w:sz w:val="19"/>
                <w:szCs w:val="19"/>
              </w:rPr>
              <w:t xml:space="preserve">Grower surplus matching</w:t>
            </w:r>
          </w:p>
        </w:tc>
        <w:tc>
          <w:tcPr>
            <w:tcW w:type="dxa" w:w="1500"/>
            <w:shd w:fill="EEF2F5" w:color="auto" w:val="clear"/>
            <w:tcMar>
              <w:top w:type="dxa" w:w="90"/>
              <w:left w:type="dxa" w:w="120"/>
              <w:bottom w:type="dxa" w:w="90"/>
              <w:right w:type="dxa" w:w="120"/>
            </w:tcMar>
          </w:tcPr>
          <w:p>
            <w:pPr>
              <w:spacing w:after="40"/>
            </w:pPr>
            <w:r>
              <w:rPr>
                <w:color w:val="222222"/>
                <w:sz w:val="19"/>
                <w:szCs w:val="19"/>
              </w:rPr>
              <w:t xml:space="preserve">12.3 + 2.1</w:t>
            </w:r>
          </w:p>
        </w:tc>
        <w:tc>
          <w:tcPr>
            <w:tcW w:type="dxa" w:w="1350"/>
            <w:shd w:fill="EEF2F5" w:color="auto" w:val="clear"/>
            <w:tcMar>
              <w:top w:type="dxa" w:w="90"/>
              <w:left w:type="dxa" w:w="120"/>
              <w:bottom w:type="dxa" w:w="90"/>
              <w:right w:type="dxa" w:w="120"/>
            </w:tcMar>
          </w:tcPr>
          <w:p>
            <w:pPr>
              <w:spacing w:after="40"/>
            </w:pPr>
            <w:r>
              <w:rPr>
                <w:color w:val="222222"/>
                <w:sz w:val="19"/>
                <w:szCs w:val="19"/>
              </w:rPr>
              <w:t xml:space="preserve">High</w:t>
            </w:r>
          </w:p>
        </w:tc>
        <w:tc>
          <w:tcPr>
            <w:tcW w:type="dxa" w:w="1200"/>
            <w:shd w:fill="EEF2F5" w:color="auto" w:val="clear"/>
            <w:tcMar>
              <w:top w:type="dxa" w:w="90"/>
              <w:left w:type="dxa" w:w="120"/>
              <w:bottom w:type="dxa" w:w="90"/>
              <w:right w:type="dxa" w:w="120"/>
            </w:tcMar>
          </w:tcPr>
          <w:p>
            <w:pPr>
              <w:spacing w:after="40"/>
            </w:pPr>
            <w:r>
              <w:rPr>
                <w:color w:val="222222"/>
                <w:sz w:val="19"/>
                <w:szCs w:val="19"/>
              </w:rPr>
              <w:t xml:space="preserve">Low</w:t>
            </w:r>
          </w:p>
        </w:tc>
        <w:tc>
          <w:tcPr>
            <w:tcW w:type="dxa" w:w="1150"/>
            <w:shd w:fill="EEF2F5" w:color="auto" w:val="clear"/>
            <w:tcMar>
              <w:top w:type="dxa" w:w="90"/>
              <w:left w:type="dxa" w:w="120"/>
              <w:bottom w:type="dxa" w:w="90"/>
              <w:right w:type="dxa" w:w="120"/>
            </w:tcMar>
          </w:tcPr>
          <w:p>
            <w:pPr>
              <w:spacing w:after="40"/>
            </w:pPr>
            <w:r>
              <w:rPr>
                <w:color w:val="222222"/>
                <w:sz w:val="19"/>
                <w:szCs w:val="19"/>
              </w:rPr>
              <w:t xml:space="preserve">High</w:t>
            </w:r>
          </w:p>
        </w:tc>
        <w:tc>
          <w:tcPr>
            <w:tcW w:type="dxa" w:w="1200"/>
            <w:shd w:fill="EEF2F5" w:color="auto" w:val="clear"/>
            <w:tcMar>
              <w:top w:type="dxa" w:w="90"/>
              <w:left w:type="dxa" w:w="120"/>
              <w:bottom w:type="dxa" w:w="90"/>
              <w:right w:type="dxa" w:w="120"/>
            </w:tcMar>
          </w:tcPr>
          <w:p>
            <w:pPr>
              <w:spacing w:after="40"/>
            </w:pPr>
            <w:r>
              <w:rPr>
                <w:color w:val="222222"/>
                <w:sz w:val="19"/>
                <w:szCs w:val="19"/>
              </w:rPr>
              <w:t xml:space="preserve">Med</w:t>
            </w:r>
          </w:p>
        </w:tc>
      </w:tr>
      <w:tr>
        <w:tc>
          <w:tcPr>
            <w:tcW w:type="dxa" w:w="500"/>
            <w:shd w:fill="FFFFFF" w:color="auto" w:val="clear"/>
            <w:tcMar>
              <w:top w:type="dxa" w:w="90"/>
              <w:left w:type="dxa" w:w="120"/>
              <w:bottom w:type="dxa" w:w="90"/>
              <w:right w:type="dxa" w:w="120"/>
            </w:tcMar>
          </w:tcPr>
          <w:p>
            <w:pPr>
              <w:spacing w:after="40"/>
            </w:pPr>
            <w:r>
              <w:rPr>
                <w:color w:val="222222"/>
                <w:sz w:val="19"/>
                <w:szCs w:val="19"/>
              </w:rPr>
              <w:t xml:space="preserve">3</w:t>
            </w:r>
          </w:p>
        </w:tc>
        <w:tc>
          <w:tcPr>
            <w:tcW w:type="dxa" w:w="3050"/>
            <w:shd w:fill="FFFFFF" w:color="auto" w:val="clear"/>
            <w:tcMar>
              <w:top w:type="dxa" w:w="90"/>
              <w:left w:type="dxa" w:w="120"/>
              <w:bottom w:type="dxa" w:w="90"/>
              <w:right w:type="dxa" w:w="120"/>
            </w:tcMar>
          </w:tcPr>
          <w:p>
            <w:pPr>
              <w:spacing w:after="40"/>
            </w:pPr>
            <w:r>
              <w:rPr>
                <w:color w:val="222222"/>
                <w:sz w:val="19"/>
                <w:szCs w:val="19"/>
              </w:rPr>
              <w:t xml:space="preserve">Disability funding tool</w:t>
            </w:r>
          </w:p>
        </w:tc>
        <w:tc>
          <w:tcPr>
            <w:tcW w:type="dxa" w:w="1500"/>
            <w:shd w:fill="FFFFFF" w:color="auto" w:val="clear"/>
            <w:tcMar>
              <w:top w:type="dxa" w:w="90"/>
              <w:left w:type="dxa" w:w="120"/>
              <w:bottom w:type="dxa" w:w="90"/>
              <w:right w:type="dxa" w:w="120"/>
            </w:tcMar>
          </w:tcPr>
          <w:p>
            <w:pPr>
              <w:spacing w:after="40"/>
            </w:pPr>
            <w:r>
              <w:rPr>
                <w:color w:val="222222"/>
                <w:sz w:val="19"/>
                <w:szCs w:val="19"/>
              </w:rPr>
              <w:t xml:space="preserve">10.2</w:t>
            </w:r>
          </w:p>
        </w:tc>
        <w:tc>
          <w:tcPr>
            <w:tcW w:type="dxa" w:w="1350"/>
            <w:shd w:fill="FFFFFF" w:color="auto" w:val="clear"/>
            <w:tcMar>
              <w:top w:type="dxa" w:w="90"/>
              <w:left w:type="dxa" w:w="120"/>
              <w:bottom w:type="dxa" w:w="90"/>
              <w:right w:type="dxa" w:w="120"/>
            </w:tcMar>
          </w:tcPr>
          <w:p>
            <w:pPr>
              <w:spacing w:after="40"/>
            </w:pPr>
            <w:r>
              <w:rPr>
                <w:color w:val="222222"/>
                <w:sz w:val="19"/>
                <w:szCs w:val="19"/>
              </w:rPr>
              <w:t xml:space="preserve">High</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Low</w:t>
            </w:r>
          </w:p>
        </w:tc>
        <w:tc>
          <w:tcPr>
            <w:tcW w:type="dxa" w:w="1150"/>
            <w:shd w:fill="FFFFFF" w:color="auto" w:val="clear"/>
            <w:tcMar>
              <w:top w:type="dxa" w:w="90"/>
              <w:left w:type="dxa" w:w="120"/>
              <w:bottom w:type="dxa" w:w="90"/>
              <w:right w:type="dxa" w:w="120"/>
            </w:tcMar>
          </w:tcPr>
          <w:p>
            <w:pPr>
              <w:spacing w:after="40"/>
            </w:pPr>
            <w:r>
              <w:rPr>
                <w:color w:val="222222"/>
                <w:sz w:val="19"/>
                <w:szCs w:val="19"/>
              </w:rPr>
              <w:t xml:space="preserve">Highest</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Med</w:t>
            </w:r>
          </w:p>
        </w:tc>
      </w:tr>
      <w:tr>
        <w:tc>
          <w:tcPr>
            <w:tcW w:type="dxa" w:w="500"/>
            <w:shd w:fill="EEF2F5" w:color="auto" w:val="clear"/>
            <w:tcMar>
              <w:top w:type="dxa" w:w="90"/>
              <w:left w:type="dxa" w:w="120"/>
              <w:bottom w:type="dxa" w:w="90"/>
              <w:right w:type="dxa" w:w="120"/>
            </w:tcMar>
          </w:tcPr>
          <w:p>
            <w:pPr>
              <w:spacing w:after="40"/>
            </w:pPr>
            <w:r>
              <w:rPr>
                <w:color w:val="222222"/>
                <w:sz w:val="19"/>
                <w:szCs w:val="19"/>
              </w:rPr>
              <w:t xml:space="preserve">4</w:t>
            </w:r>
          </w:p>
        </w:tc>
        <w:tc>
          <w:tcPr>
            <w:tcW w:type="dxa" w:w="3050"/>
            <w:shd w:fill="EEF2F5" w:color="auto" w:val="clear"/>
            <w:tcMar>
              <w:top w:type="dxa" w:w="90"/>
              <w:left w:type="dxa" w:w="120"/>
              <w:bottom w:type="dxa" w:w="90"/>
              <w:right w:type="dxa" w:w="120"/>
            </w:tcMar>
          </w:tcPr>
          <w:p>
            <w:pPr>
              <w:spacing w:after="40"/>
            </w:pPr>
            <w:r>
              <w:rPr>
                <w:color w:val="222222"/>
                <w:sz w:val="19"/>
                <w:szCs w:val="19"/>
              </w:rPr>
              <w:t xml:space="preserve">E-waste routing</w:t>
            </w:r>
          </w:p>
        </w:tc>
        <w:tc>
          <w:tcPr>
            <w:tcW w:type="dxa" w:w="1500"/>
            <w:shd w:fill="EEF2F5" w:color="auto" w:val="clear"/>
            <w:tcMar>
              <w:top w:type="dxa" w:w="90"/>
              <w:left w:type="dxa" w:w="120"/>
              <w:bottom w:type="dxa" w:w="90"/>
              <w:right w:type="dxa" w:w="120"/>
            </w:tcMar>
          </w:tcPr>
          <w:p>
            <w:pPr>
              <w:spacing w:after="40"/>
            </w:pPr>
            <w:r>
              <w:rPr>
                <w:color w:val="222222"/>
                <w:sz w:val="19"/>
                <w:szCs w:val="19"/>
              </w:rPr>
              <w:t xml:space="preserve">12.5</w:t>
            </w:r>
          </w:p>
        </w:tc>
        <w:tc>
          <w:tcPr>
            <w:tcW w:type="dxa" w:w="1350"/>
            <w:shd w:fill="EEF2F5" w:color="auto" w:val="clear"/>
            <w:tcMar>
              <w:top w:type="dxa" w:w="90"/>
              <w:left w:type="dxa" w:w="120"/>
              <w:bottom w:type="dxa" w:w="90"/>
              <w:right w:type="dxa" w:w="120"/>
            </w:tcMar>
          </w:tcPr>
          <w:p>
            <w:pPr>
              <w:spacing w:after="40"/>
            </w:pPr>
            <w:r>
              <w:rPr>
                <w:color w:val="222222"/>
                <w:sz w:val="19"/>
                <w:szCs w:val="19"/>
              </w:rPr>
              <w:t xml:space="preserve">Med–high</w:t>
            </w:r>
          </w:p>
        </w:tc>
        <w:tc>
          <w:tcPr>
            <w:tcW w:type="dxa" w:w="1200"/>
            <w:shd w:fill="EEF2F5" w:color="auto" w:val="clear"/>
            <w:tcMar>
              <w:top w:type="dxa" w:w="90"/>
              <w:left w:type="dxa" w:w="120"/>
              <w:bottom w:type="dxa" w:w="90"/>
              <w:right w:type="dxa" w:w="120"/>
            </w:tcMar>
          </w:tcPr>
          <w:p>
            <w:pPr>
              <w:spacing w:after="40"/>
            </w:pPr>
            <w:r>
              <w:rPr>
                <w:color w:val="222222"/>
                <w:sz w:val="19"/>
                <w:szCs w:val="19"/>
              </w:rPr>
              <w:t xml:space="preserve">Low</w:t>
            </w:r>
          </w:p>
        </w:tc>
        <w:tc>
          <w:tcPr>
            <w:tcW w:type="dxa" w:w="1150"/>
            <w:shd w:fill="EEF2F5" w:color="auto" w:val="clear"/>
            <w:tcMar>
              <w:top w:type="dxa" w:w="90"/>
              <w:left w:type="dxa" w:w="120"/>
              <w:bottom w:type="dxa" w:w="90"/>
              <w:right w:type="dxa" w:w="120"/>
            </w:tcMar>
          </w:tcPr>
          <w:p>
            <w:pPr>
              <w:spacing w:after="40"/>
            </w:pPr>
            <w:r>
              <w:rPr>
                <w:color w:val="222222"/>
                <w:sz w:val="19"/>
                <w:szCs w:val="19"/>
              </w:rPr>
              <w:t xml:space="preserve">Low</w:t>
            </w:r>
          </w:p>
        </w:tc>
        <w:tc>
          <w:tcPr>
            <w:tcW w:type="dxa" w:w="1200"/>
            <w:shd w:fill="EEF2F5" w:color="auto" w:val="clear"/>
            <w:tcMar>
              <w:top w:type="dxa" w:w="90"/>
              <w:left w:type="dxa" w:w="120"/>
              <w:bottom w:type="dxa" w:w="90"/>
              <w:right w:type="dxa" w:w="120"/>
            </w:tcMar>
          </w:tcPr>
          <w:p>
            <w:pPr>
              <w:spacing w:after="40"/>
            </w:pPr>
            <w:r>
              <w:rPr>
                <w:color w:val="222222"/>
                <w:sz w:val="19"/>
                <w:szCs w:val="19"/>
              </w:rPr>
              <w:t xml:space="preserve">Med</w:t>
            </w:r>
          </w:p>
        </w:tc>
      </w:tr>
      <w:tr>
        <w:tc>
          <w:tcPr>
            <w:tcW w:type="dxa" w:w="500"/>
            <w:shd w:fill="FFFFFF" w:color="auto" w:val="clear"/>
            <w:tcMar>
              <w:top w:type="dxa" w:w="90"/>
              <w:left w:type="dxa" w:w="120"/>
              <w:bottom w:type="dxa" w:w="90"/>
              <w:right w:type="dxa" w:w="120"/>
            </w:tcMar>
          </w:tcPr>
          <w:p>
            <w:pPr>
              <w:spacing w:after="40"/>
            </w:pPr>
            <w:r>
              <w:rPr>
                <w:color w:val="222222"/>
                <w:sz w:val="19"/>
                <w:szCs w:val="19"/>
              </w:rPr>
              <w:t xml:space="preserve">5</w:t>
            </w:r>
          </w:p>
        </w:tc>
        <w:tc>
          <w:tcPr>
            <w:tcW w:type="dxa" w:w="3050"/>
            <w:shd w:fill="FFFFFF" w:color="auto" w:val="clear"/>
            <w:tcMar>
              <w:top w:type="dxa" w:w="90"/>
              <w:left w:type="dxa" w:w="120"/>
              <w:bottom w:type="dxa" w:w="90"/>
              <w:right w:type="dxa" w:w="120"/>
            </w:tcMar>
          </w:tcPr>
          <w:p>
            <w:pPr>
              <w:spacing w:after="40"/>
            </w:pPr>
            <w:r>
              <w:rPr>
                <w:color w:val="222222"/>
                <w:sz w:val="19"/>
                <w:szCs w:val="19"/>
              </w:rPr>
              <w:t xml:space="preserve">Indicator generator</w:t>
            </w:r>
          </w:p>
        </w:tc>
        <w:tc>
          <w:tcPr>
            <w:tcW w:type="dxa" w:w="1500"/>
            <w:shd w:fill="FFFFFF" w:color="auto" w:val="clear"/>
            <w:tcMar>
              <w:top w:type="dxa" w:w="90"/>
              <w:left w:type="dxa" w:w="120"/>
              <w:bottom w:type="dxa" w:w="90"/>
              <w:right w:type="dxa" w:w="120"/>
            </w:tcMar>
          </w:tcPr>
          <w:p>
            <w:pPr>
              <w:spacing w:after="40"/>
            </w:pPr>
            <w:r>
              <w:rPr>
                <w:color w:val="222222"/>
                <w:sz w:val="19"/>
                <w:szCs w:val="19"/>
              </w:rPr>
              <w:t xml:space="preserve">11.7.1</w:t>
            </w:r>
          </w:p>
        </w:tc>
        <w:tc>
          <w:tcPr>
            <w:tcW w:type="dxa" w:w="1350"/>
            <w:shd w:fill="FFFFFF" w:color="auto" w:val="clear"/>
            <w:tcMar>
              <w:top w:type="dxa" w:w="90"/>
              <w:left w:type="dxa" w:w="120"/>
              <w:bottom w:type="dxa" w:w="90"/>
              <w:right w:type="dxa" w:w="120"/>
            </w:tcMar>
          </w:tcPr>
          <w:p>
            <w:pPr>
              <w:spacing w:after="40"/>
            </w:pPr>
            <w:r>
              <w:rPr>
                <w:color w:val="222222"/>
                <w:sz w:val="19"/>
                <w:szCs w:val="19"/>
              </w:rPr>
              <w:t xml:space="preserve">High</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High</w:t>
            </w:r>
          </w:p>
        </w:tc>
        <w:tc>
          <w:tcPr>
            <w:tcW w:type="dxa" w:w="1150"/>
            <w:shd w:fill="FFFFFF" w:color="auto" w:val="clear"/>
            <w:tcMar>
              <w:top w:type="dxa" w:w="90"/>
              <w:left w:type="dxa" w:w="120"/>
              <w:bottom w:type="dxa" w:w="90"/>
              <w:right w:type="dxa" w:w="120"/>
            </w:tcMar>
          </w:tcPr>
          <w:p>
            <w:pPr>
              <w:spacing w:after="40"/>
            </w:pPr>
            <w:r>
              <w:rPr>
                <w:color w:val="222222"/>
                <w:sz w:val="19"/>
                <w:szCs w:val="19"/>
              </w:rPr>
              <w:t xml:space="preserve">Medium</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High</w:t>
            </w:r>
          </w:p>
        </w:tc>
      </w:tr>
      <w:tr>
        <w:tc>
          <w:tcPr>
            <w:tcW w:type="dxa" w:w="500"/>
            <w:shd w:fill="EEF2F5" w:color="auto" w:val="clear"/>
            <w:tcMar>
              <w:top w:type="dxa" w:w="90"/>
              <w:left w:type="dxa" w:w="120"/>
              <w:bottom w:type="dxa" w:w="90"/>
              <w:right w:type="dxa" w:w="120"/>
            </w:tcMar>
          </w:tcPr>
          <w:p>
            <w:pPr>
              <w:spacing w:after="40"/>
            </w:pPr>
            <w:r>
              <w:rPr>
                <w:color w:val="222222"/>
                <w:sz w:val="19"/>
                <w:szCs w:val="19"/>
              </w:rPr>
              <w:t xml:space="preserve">6</w:t>
            </w:r>
          </w:p>
        </w:tc>
        <w:tc>
          <w:tcPr>
            <w:tcW w:type="dxa" w:w="3050"/>
            <w:shd w:fill="EEF2F5" w:color="auto" w:val="clear"/>
            <w:tcMar>
              <w:top w:type="dxa" w:w="90"/>
              <w:left w:type="dxa" w:w="120"/>
              <w:bottom w:type="dxa" w:w="90"/>
              <w:right w:type="dxa" w:w="120"/>
            </w:tcMar>
          </w:tcPr>
          <w:p>
            <w:pPr>
              <w:spacing w:after="40"/>
            </w:pPr>
            <w:r>
              <w:rPr>
                <w:color w:val="222222"/>
                <w:sz w:val="19"/>
                <w:szCs w:val="19"/>
              </w:rPr>
              <w:t xml:space="preserve">Health literacy and consent</w:t>
            </w:r>
          </w:p>
        </w:tc>
        <w:tc>
          <w:tcPr>
            <w:tcW w:type="dxa" w:w="1500"/>
            <w:shd w:fill="EEF2F5" w:color="auto" w:val="clear"/>
            <w:tcMar>
              <w:top w:type="dxa" w:w="90"/>
              <w:left w:type="dxa" w:w="120"/>
              <w:bottom w:type="dxa" w:w="90"/>
              <w:right w:type="dxa" w:w="120"/>
            </w:tcMar>
          </w:tcPr>
          <w:p>
            <w:pPr>
              <w:spacing w:after="40"/>
            </w:pPr>
            <w:r>
              <w:rPr>
                <w:color w:val="222222"/>
                <w:sz w:val="19"/>
                <w:szCs w:val="19"/>
              </w:rPr>
              <w:t xml:space="preserve">3.8.1 + 10.2</w:t>
            </w:r>
          </w:p>
        </w:tc>
        <w:tc>
          <w:tcPr>
            <w:tcW w:type="dxa" w:w="1350"/>
            <w:shd w:fill="EEF2F5" w:color="auto" w:val="clear"/>
            <w:tcMar>
              <w:top w:type="dxa" w:w="90"/>
              <w:left w:type="dxa" w:w="120"/>
              <w:bottom w:type="dxa" w:w="90"/>
              <w:right w:type="dxa" w:w="120"/>
            </w:tcMar>
          </w:tcPr>
          <w:p>
            <w:pPr>
              <w:spacing w:after="40"/>
            </w:pPr>
            <w:r>
              <w:rPr>
                <w:color w:val="222222"/>
                <w:sz w:val="19"/>
                <w:szCs w:val="19"/>
              </w:rPr>
              <w:t xml:space="preserve">Medium †</w:t>
            </w:r>
          </w:p>
        </w:tc>
        <w:tc>
          <w:tcPr>
            <w:tcW w:type="dxa" w:w="1200"/>
            <w:shd w:fill="EEF2F5" w:color="auto" w:val="clear"/>
            <w:tcMar>
              <w:top w:type="dxa" w:w="90"/>
              <w:left w:type="dxa" w:w="120"/>
              <w:bottom w:type="dxa" w:w="90"/>
              <w:right w:type="dxa" w:w="120"/>
            </w:tcMar>
          </w:tcPr>
          <w:p>
            <w:pPr>
              <w:spacing w:after="40"/>
            </w:pPr>
            <w:r>
              <w:rPr>
                <w:color w:val="222222"/>
                <w:sz w:val="19"/>
                <w:szCs w:val="19"/>
              </w:rPr>
              <w:t xml:space="preserve">Lowest</w:t>
            </w:r>
          </w:p>
        </w:tc>
        <w:tc>
          <w:tcPr>
            <w:tcW w:type="dxa" w:w="1150"/>
            <w:shd w:fill="EEF2F5" w:color="auto" w:val="clear"/>
            <w:tcMar>
              <w:top w:type="dxa" w:w="90"/>
              <w:left w:type="dxa" w:w="120"/>
              <w:bottom w:type="dxa" w:w="90"/>
              <w:right w:type="dxa" w:w="120"/>
            </w:tcMar>
          </w:tcPr>
          <w:p>
            <w:pPr>
              <w:spacing w:after="40"/>
            </w:pPr>
            <w:r>
              <w:rPr>
                <w:color w:val="222222"/>
                <w:sz w:val="19"/>
                <w:szCs w:val="19"/>
              </w:rPr>
              <w:t xml:space="preserve">High</w:t>
            </w:r>
          </w:p>
        </w:tc>
        <w:tc>
          <w:tcPr>
            <w:tcW w:type="dxa" w:w="1200"/>
            <w:shd w:fill="EEF2F5" w:color="auto" w:val="clear"/>
            <w:tcMar>
              <w:top w:type="dxa" w:w="90"/>
              <w:left w:type="dxa" w:w="120"/>
              <w:bottom w:type="dxa" w:w="90"/>
              <w:right w:type="dxa" w:w="120"/>
            </w:tcMar>
          </w:tcPr>
          <w:p>
            <w:pPr>
              <w:spacing w:after="40"/>
            </w:pPr>
            <w:r>
              <w:rPr>
                <w:color w:val="222222"/>
                <w:sz w:val="19"/>
                <w:szCs w:val="19"/>
              </w:rPr>
              <w:t xml:space="preserve">Low</w:t>
            </w:r>
          </w:p>
        </w:tc>
      </w:tr>
      <w:tr>
        <w:tc>
          <w:tcPr>
            <w:tcW w:type="dxa" w:w="500"/>
            <w:shd w:fill="FFFFFF" w:color="auto" w:val="clear"/>
            <w:tcMar>
              <w:top w:type="dxa" w:w="90"/>
              <w:left w:type="dxa" w:w="120"/>
              <w:bottom w:type="dxa" w:w="90"/>
              <w:right w:type="dxa" w:w="120"/>
            </w:tcMar>
          </w:tcPr>
          <w:p>
            <w:pPr>
              <w:spacing w:after="40"/>
            </w:pPr>
            <w:r>
              <w:rPr>
                <w:color w:val="222222"/>
                <w:sz w:val="19"/>
                <w:szCs w:val="19"/>
              </w:rPr>
              <w:t xml:space="preserve">7</w:t>
            </w:r>
          </w:p>
        </w:tc>
        <w:tc>
          <w:tcPr>
            <w:tcW w:type="dxa" w:w="3050"/>
            <w:shd w:fill="FFFFFF" w:color="auto" w:val="clear"/>
            <w:tcMar>
              <w:top w:type="dxa" w:w="90"/>
              <w:left w:type="dxa" w:w="120"/>
              <w:bottom w:type="dxa" w:w="90"/>
              <w:right w:type="dxa" w:w="120"/>
            </w:tcMar>
          </w:tcPr>
          <w:p>
            <w:pPr>
              <w:spacing w:after="40"/>
            </w:pPr>
            <w:r>
              <w:rPr>
                <w:color w:val="222222"/>
                <w:sz w:val="19"/>
                <w:szCs w:val="19"/>
              </w:rPr>
              <w:t xml:space="preserve">Disaster recovery &amp; shock grants</w:t>
            </w:r>
          </w:p>
        </w:tc>
        <w:tc>
          <w:tcPr>
            <w:tcW w:type="dxa" w:w="1500"/>
            <w:shd w:fill="FFFFFF" w:color="auto" w:val="clear"/>
            <w:tcMar>
              <w:top w:type="dxa" w:w="90"/>
              <w:left w:type="dxa" w:w="120"/>
              <w:bottom w:type="dxa" w:w="90"/>
              <w:right w:type="dxa" w:w="120"/>
            </w:tcMar>
          </w:tcPr>
          <w:p>
            <w:pPr>
              <w:spacing w:after="40"/>
            </w:pPr>
            <w:r>
              <w:rPr>
                <w:color w:val="222222"/>
                <w:sz w:val="19"/>
                <w:szCs w:val="19"/>
              </w:rPr>
              <w:t xml:space="preserve">11.5.2 + 1.5</w:t>
            </w:r>
          </w:p>
        </w:tc>
        <w:tc>
          <w:tcPr>
            <w:tcW w:type="dxa" w:w="1350"/>
            <w:shd w:fill="FFFFFF" w:color="auto" w:val="clear"/>
            <w:tcMar>
              <w:top w:type="dxa" w:w="90"/>
              <w:left w:type="dxa" w:w="120"/>
              <w:bottom w:type="dxa" w:w="90"/>
              <w:right w:type="dxa" w:w="120"/>
            </w:tcMar>
          </w:tcPr>
          <w:p>
            <w:pPr>
              <w:spacing w:after="40"/>
            </w:pPr>
            <w:r>
              <w:rPr>
                <w:color w:val="222222"/>
                <w:sz w:val="19"/>
                <w:szCs w:val="19"/>
              </w:rPr>
              <w:t xml:space="preserve">High</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Medium</w:t>
            </w:r>
          </w:p>
        </w:tc>
        <w:tc>
          <w:tcPr>
            <w:tcW w:type="dxa" w:w="1150"/>
            <w:shd w:fill="FFFFFF" w:color="auto" w:val="clear"/>
            <w:tcMar>
              <w:top w:type="dxa" w:w="90"/>
              <w:left w:type="dxa" w:w="120"/>
              <w:bottom w:type="dxa" w:w="90"/>
              <w:right w:type="dxa" w:w="120"/>
            </w:tcMar>
          </w:tcPr>
          <w:p>
            <w:pPr>
              <w:spacing w:after="40"/>
            </w:pPr>
            <w:r>
              <w:rPr>
                <w:color w:val="222222"/>
                <w:sz w:val="19"/>
                <w:szCs w:val="19"/>
              </w:rPr>
              <w:t xml:space="preserve">High</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Med–high</w:t>
            </w:r>
          </w:p>
        </w:tc>
      </w:tr>
      <w:tr>
        <w:tc>
          <w:tcPr>
            <w:tcW w:type="dxa" w:w="500"/>
            <w:shd w:fill="EEF2F5" w:color="auto" w:val="clear"/>
            <w:tcMar>
              <w:top w:type="dxa" w:w="90"/>
              <w:left w:type="dxa" w:w="120"/>
              <w:bottom w:type="dxa" w:w="90"/>
              <w:right w:type="dxa" w:w="120"/>
            </w:tcMar>
          </w:tcPr>
          <w:p>
            <w:pPr>
              <w:spacing w:after="40"/>
            </w:pPr>
            <w:r>
              <w:rPr>
                <w:color w:val="222222"/>
                <w:sz w:val="19"/>
                <w:szCs w:val="19"/>
              </w:rPr>
              <w:t xml:space="preserve">8</w:t>
            </w:r>
          </w:p>
        </w:tc>
        <w:tc>
          <w:tcPr>
            <w:tcW w:type="dxa" w:w="3050"/>
            <w:shd w:fill="EEF2F5" w:color="auto" w:val="clear"/>
            <w:tcMar>
              <w:top w:type="dxa" w:w="90"/>
              <w:left w:type="dxa" w:w="120"/>
              <w:bottom w:type="dxa" w:w="90"/>
              <w:right w:type="dxa" w:w="120"/>
            </w:tcMar>
          </w:tcPr>
          <w:p>
            <w:pPr>
              <w:spacing w:after="40"/>
            </w:pPr>
            <w:r>
              <w:rPr>
                <w:color w:val="222222"/>
                <w:sz w:val="19"/>
                <w:szCs w:val="19"/>
              </w:rPr>
              <w:t xml:space="preserve">Surplus safety &amp; allocation triage</w:t>
            </w:r>
          </w:p>
        </w:tc>
        <w:tc>
          <w:tcPr>
            <w:tcW w:type="dxa" w:w="1500"/>
            <w:shd w:fill="EEF2F5" w:color="auto" w:val="clear"/>
            <w:tcMar>
              <w:top w:type="dxa" w:w="90"/>
              <w:left w:type="dxa" w:w="120"/>
              <w:bottom w:type="dxa" w:w="90"/>
              <w:right w:type="dxa" w:w="120"/>
            </w:tcMar>
          </w:tcPr>
          <w:p>
            <w:pPr>
              <w:spacing w:after="40"/>
            </w:pPr>
            <w:r>
              <w:rPr>
                <w:color w:val="222222"/>
                <w:sz w:val="19"/>
                <w:szCs w:val="19"/>
              </w:rPr>
              <w:t xml:space="preserve">12.3.1b + 2.1</w:t>
            </w:r>
          </w:p>
        </w:tc>
        <w:tc>
          <w:tcPr>
            <w:tcW w:type="dxa" w:w="1350"/>
            <w:shd w:fill="EEF2F5" w:color="auto" w:val="clear"/>
            <w:tcMar>
              <w:top w:type="dxa" w:w="90"/>
              <w:left w:type="dxa" w:w="120"/>
              <w:bottom w:type="dxa" w:w="90"/>
              <w:right w:type="dxa" w:w="120"/>
            </w:tcMar>
          </w:tcPr>
          <w:p>
            <w:pPr>
              <w:spacing w:after="40"/>
            </w:pPr>
            <w:r>
              <w:rPr>
                <w:color w:val="222222"/>
                <w:sz w:val="19"/>
                <w:szCs w:val="19"/>
              </w:rPr>
              <w:t xml:space="preserve">High ‡</w:t>
            </w:r>
          </w:p>
        </w:tc>
        <w:tc>
          <w:tcPr>
            <w:tcW w:type="dxa" w:w="1200"/>
            <w:shd w:fill="EEF2F5" w:color="auto" w:val="clear"/>
            <w:tcMar>
              <w:top w:type="dxa" w:w="90"/>
              <w:left w:type="dxa" w:w="120"/>
              <w:bottom w:type="dxa" w:w="90"/>
              <w:right w:type="dxa" w:w="120"/>
            </w:tcMar>
          </w:tcPr>
          <w:p>
            <w:pPr>
              <w:spacing w:after="40"/>
            </w:pPr>
            <w:r>
              <w:rPr>
                <w:color w:val="222222"/>
                <w:sz w:val="19"/>
                <w:szCs w:val="19"/>
              </w:rPr>
              <w:t xml:space="preserve">Low</w:t>
            </w:r>
          </w:p>
        </w:tc>
        <w:tc>
          <w:tcPr>
            <w:tcW w:type="dxa" w:w="1150"/>
            <w:shd w:fill="EEF2F5" w:color="auto" w:val="clear"/>
            <w:tcMar>
              <w:top w:type="dxa" w:w="90"/>
              <w:left w:type="dxa" w:w="120"/>
              <w:bottom w:type="dxa" w:w="90"/>
              <w:right w:type="dxa" w:w="120"/>
            </w:tcMar>
          </w:tcPr>
          <w:p>
            <w:pPr>
              <w:spacing w:after="40"/>
            </w:pPr>
            <w:r>
              <w:rPr>
                <w:color w:val="222222"/>
                <w:sz w:val="19"/>
                <w:szCs w:val="19"/>
              </w:rPr>
              <w:t xml:space="preserve">High</w:t>
            </w:r>
          </w:p>
        </w:tc>
        <w:tc>
          <w:tcPr>
            <w:tcW w:type="dxa" w:w="1200"/>
            <w:shd w:fill="EEF2F5" w:color="auto" w:val="clear"/>
            <w:tcMar>
              <w:top w:type="dxa" w:w="90"/>
              <w:left w:type="dxa" w:w="120"/>
              <w:bottom w:type="dxa" w:w="90"/>
              <w:right w:type="dxa" w:w="120"/>
            </w:tcMar>
          </w:tcPr>
          <w:p>
            <w:pPr>
              <w:spacing w:after="40"/>
            </w:pPr>
            <w:r>
              <w:rPr>
                <w:color w:val="222222"/>
                <w:sz w:val="19"/>
                <w:szCs w:val="19"/>
              </w:rPr>
              <w:t xml:space="preserve">Med</w:t>
            </w:r>
          </w:p>
        </w:tc>
      </w:tr>
      <w:tr>
        <w:tc>
          <w:tcPr>
            <w:tcW w:type="dxa" w:w="500"/>
            <w:shd w:fill="FFFFFF" w:color="auto" w:val="clear"/>
            <w:tcMar>
              <w:top w:type="dxa" w:w="90"/>
              <w:left w:type="dxa" w:w="120"/>
              <w:bottom w:type="dxa" w:w="90"/>
              <w:right w:type="dxa" w:w="120"/>
            </w:tcMar>
          </w:tcPr>
          <w:p>
            <w:pPr>
              <w:spacing w:after="40"/>
            </w:pPr>
            <w:r>
              <w:rPr>
                <w:color w:val="222222"/>
                <w:sz w:val="19"/>
                <w:szCs w:val="19"/>
              </w:rPr>
              <w:t xml:space="preserve">10</w:t>
            </w:r>
          </w:p>
        </w:tc>
        <w:tc>
          <w:tcPr>
            <w:tcW w:type="dxa" w:w="3050"/>
            <w:shd w:fill="FFFFFF" w:color="auto" w:val="clear"/>
            <w:tcMar>
              <w:top w:type="dxa" w:w="90"/>
              <w:left w:type="dxa" w:w="120"/>
              <w:bottom w:type="dxa" w:w="90"/>
              <w:right w:type="dxa" w:w="120"/>
            </w:tcMar>
          </w:tcPr>
          <w:p>
            <w:pPr>
              <w:spacing w:after="40"/>
            </w:pPr>
            <w:r>
              <w:rPr>
                <w:color w:val="222222"/>
                <w:sz w:val="19"/>
                <w:szCs w:val="19"/>
              </w:rPr>
              <w:t xml:space="preserve">Universal jargon &amp; handwriting interpreter</w:t>
            </w:r>
          </w:p>
        </w:tc>
        <w:tc>
          <w:tcPr>
            <w:tcW w:type="dxa" w:w="1500"/>
            <w:shd w:fill="FFFFFF" w:color="auto" w:val="clear"/>
            <w:tcMar>
              <w:top w:type="dxa" w:w="90"/>
              <w:left w:type="dxa" w:w="120"/>
              <w:bottom w:type="dxa" w:w="90"/>
              <w:right w:type="dxa" w:w="120"/>
            </w:tcMar>
          </w:tcPr>
          <w:p>
            <w:pPr>
              <w:spacing w:after="40"/>
            </w:pPr>
            <w:r>
              <w:rPr>
                <w:color w:val="222222"/>
                <w:sz w:val="19"/>
                <w:szCs w:val="19"/>
              </w:rPr>
              <w:t xml:space="preserve">10.2 + 4.6</w:t>
            </w:r>
          </w:p>
        </w:tc>
        <w:tc>
          <w:tcPr>
            <w:tcW w:type="dxa" w:w="1350"/>
            <w:shd w:fill="FFFFFF" w:color="auto" w:val="clear"/>
            <w:tcMar>
              <w:top w:type="dxa" w:w="90"/>
              <w:left w:type="dxa" w:w="120"/>
              <w:bottom w:type="dxa" w:w="90"/>
              <w:right w:type="dxa" w:w="120"/>
            </w:tcMar>
          </w:tcPr>
          <w:p>
            <w:pPr>
              <w:spacing w:after="40"/>
            </w:pPr>
            <w:r>
              <w:rPr>
                <w:color w:val="222222"/>
                <w:sz w:val="19"/>
                <w:szCs w:val="19"/>
              </w:rPr>
              <w:t xml:space="preserve">High §</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Low–Med</w:t>
            </w:r>
          </w:p>
        </w:tc>
        <w:tc>
          <w:tcPr>
            <w:tcW w:type="dxa" w:w="1150"/>
            <w:shd w:fill="FFFFFF" w:color="auto" w:val="clear"/>
            <w:tcMar>
              <w:top w:type="dxa" w:w="90"/>
              <w:left w:type="dxa" w:w="120"/>
              <w:bottom w:type="dxa" w:w="90"/>
              <w:right w:type="dxa" w:w="120"/>
            </w:tcMar>
          </w:tcPr>
          <w:p>
            <w:pPr>
              <w:spacing w:after="40"/>
            </w:pPr>
            <w:r>
              <w:rPr>
                <w:color w:val="222222"/>
                <w:sz w:val="19"/>
                <w:szCs w:val="19"/>
              </w:rPr>
              <w:t xml:space="preserve">Medium</w:t>
            </w:r>
          </w:p>
        </w:tc>
        <w:tc>
          <w:tcPr>
            <w:tcW w:type="dxa" w:w="1200"/>
            <w:shd w:fill="FFFFFF" w:color="auto" w:val="clear"/>
            <w:tcMar>
              <w:top w:type="dxa" w:w="90"/>
              <w:left w:type="dxa" w:w="120"/>
              <w:bottom w:type="dxa" w:w="90"/>
              <w:right w:type="dxa" w:w="120"/>
            </w:tcMar>
          </w:tcPr>
          <w:p>
            <w:pPr>
              <w:spacing w:after="40"/>
            </w:pPr>
            <w:r>
              <w:rPr>
                <w:color w:val="222222"/>
                <w:sz w:val="19"/>
                <w:szCs w:val="19"/>
              </w:rPr>
              <w:t xml:space="preserve">Med</w:t>
            </w:r>
          </w:p>
        </w:tc>
      </w:tr>
    </w:tbl>
    <w:p>
      <w:pPr>
        <w:spacing w:after="160"/>
      </w:pPr>
    </w:p>
    <w:p>
      <w:pPr>
        <w:spacing w:after="80" w:line="260"/>
      </w:pPr>
      <w:r>
        <w:rPr>
          <w:b w:val="false"/>
          <w:bCs w:val="false"/>
          <w:i w:val="false"/>
          <w:iCs w:val="false"/>
          <w:color w:val="44546A"/>
          <w:sz w:val="20"/>
          <w:szCs w:val="20"/>
        </w:rPr>
        <w:t xml:space="preserve">* Medium only if pitched as the decision layer. Low if pitched as a logger, since ColdTrace X already covers that.</w:t>
      </w:r>
    </w:p>
    <w:p>
      <w:pPr>
        <w:spacing w:after="80" w:line="260"/>
      </w:pPr>
      <w:r>
        <w:rPr>
          <w:b w:val="false"/>
          <w:bCs w:val="false"/>
          <w:i w:val="false"/>
          <w:iCs w:val="false"/>
          <w:color w:val="44546A"/>
          <w:sz w:val="20"/>
          <w:szCs w:val="20"/>
        </w:rPr>
        <w:t xml:space="preserve">† Medium because Epic already ships plain-language result summaries. The open ground is the full discharge summary, the consent form, and te reo Māori and Pacific language output, none of which overseas products cover for New Zealand.</w:t>
      </w:r>
    </w:p>
    <w:p>
      <w:pPr>
        <w:spacing w:after="80" w:line="260"/>
      </w:pPr>
      <w:r>
        <w:rPr>
          <w:b w:val="false"/>
          <w:bCs w:val="false"/>
          <w:i w:val="false"/>
          <w:iCs w:val="false"/>
          <w:color w:val="44546A"/>
          <w:sz w:val="20"/>
          <w:szCs w:val="20"/>
        </w:rPr>
        <w:t xml:space="preserve">‡ High because the safety triage and semantic allocation layers are genuinely novel even though surplus-listing apps are common.</w:t>
      </w:r>
    </w:p>
    <w:p>
      <w:pPr>
        <w:spacing w:after="80" w:line="260"/>
      </w:pPr>
      <w:r>
        <w:rPr>
          <w:b w:val="false"/>
          <w:bCs w:val="false"/>
          <w:i w:val="false"/>
          <w:iCs w:val="false"/>
          <w:color w:val="44546A"/>
          <w:sz w:val="20"/>
          <w:szCs w:val="2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pPr>
        <w:spacing w:after="200"/>
      </w:pPr>
    </w:p>
    <w:p>
      <w:pPr>
        <w:pStyle w:val="Heading1"/>
        <w:pBdr>
          <w:bottom w:val="single" w:color="1F3A5F" w:sz="8" w:space="4"/>
        </w:pBdr>
        <w:spacing w:after="200" w:before="480"/>
      </w:pPr>
      <w:r>
        <w:rPr>
          <w:b/>
          <w:bCs/>
          <w:color w:val="1F3A5F"/>
          <w:sz w:val="32"/>
          <w:szCs w:val="32"/>
        </w:rPr>
        <w:t xml:space="preserve">Suggested Picks</w:t>
      </w:r>
    </w:p>
    <w:tbl>
      <w:tblPr>
        <w:tblW w:type="dxa" w:w="9350"/>
        <w:tblBorders>
          <w:top w:val="single" w:color="C9D2DB" w:sz="4"/>
          <w:left w:val="single" w:color="C9D2DB" w:sz="4"/>
          <w:bottom w:val="single" w:color="C9D2DB" w:sz="4"/>
          <w:right w:val="single" w:color="C9D2DB" w:sz="4"/>
          <w:insideH w:val="single" w:color="C9D2DB" w:sz="4"/>
          <w:insideV w:val="single" w:color="C9D2DB" w:sz="4"/>
        </w:tblBorders>
      </w:tblPr>
      <w:tblGrid>
        <w:gridCol w:w="3300"/>
        <w:gridCol w:w="6050"/>
      </w:tblGrid>
      <w:tr>
        <w:trPr>
          <w:tblHeader/>
        </w:trPr>
        <w:tc>
          <w:tcPr>
            <w:tcW w:type="dxa" w:w="3300"/>
            <w:shd w:fill="1F3A5F" w:color="auto" w:val="clear"/>
            <w:tcMar>
              <w:top w:type="dxa" w:w="100"/>
              <w:left w:type="dxa" w:w="120"/>
              <w:bottom w:type="dxa" w:w="100"/>
              <w:right w:type="dxa" w:w="120"/>
            </w:tcMar>
          </w:tcPr>
          <w:p>
            <w:r>
              <w:rPr>
                <w:b/>
                <w:bCs/>
                <w:color w:val="FFFFFF"/>
                <w:sz w:val="19"/>
                <w:szCs w:val="19"/>
              </w:rPr>
              <w:t xml:space="preserve">Strength</w:t>
            </w:r>
          </w:p>
        </w:tc>
        <w:tc>
          <w:tcPr>
            <w:tcW w:type="dxa" w:w="6050"/>
            <w:shd w:fill="1F3A5F" w:color="auto" w:val="clear"/>
            <w:tcMar>
              <w:top w:type="dxa" w:w="100"/>
              <w:left w:type="dxa" w:w="120"/>
              <w:bottom w:type="dxa" w:w="100"/>
              <w:right w:type="dxa" w:w="120"/>
            </w:tcMar>
          </w:tcPr>
          <w:p>
            <w:r>
              <w:rPr>
                <w:b/>
                <w:bCs/>
                <w:color w:val="FFFFFF"/>
                <w:sz w:val="19"/>
                <w:szCs w:val="19"/>
              </w:rPr>
              <w:t xml:space="preserve">Pick</w:t>
            </w:r>
          </w:p>
        </w:tc>
      </w:tr>
      <w:tr>
        <w:tc>
          <w:tcPr>
            <w:tcW w:type="dxa" w:w="3300"/>
            <w:shd w:fill="FFFFFF" w:color="auto" w:val="clear"/>
            <w:tcMar>
              <w:top w:type="dxa" w:w="90"/>
              <w:left w:type="dxa" w:w="120"/>
              <w:bottom w:type="dxa" w:w="90"/>
              <w:right w:type="dxa" w:w="120"/>
            </w:tcMar>
          </w:tcPr>
          <w:p>
            <w:pPr>
              <w:spacing w:after="40"/>
            </w:pPr>
            <w:r>
              <w:rPr>
                <w:color w:val="222222"/>
                <w:sz w:val="19"/>
                <w:szCs w:val="19"/>
              </w:rPr>
              <w:t xml:space="preserve">Best all round</w:t>
            </w:r>
          </w:p>
        </w:tc>
        <w:tc>
          <w:tcPr>
            <w:tcW w:type="dxa" w:w="6050"/>
            <w:shd w:fill="FFFFFF" w:color="auto" w:val="clear"/>
            <w:tcMar>
              <w:top w:type="dxa" w:w="90"/>
              <w:left w:type="dxa" w:w="120"/>
              <w:bottom w:type="dxa" w:w="90"/>
              <w:right w:type="dxa" w:w="120"/>
            </w:tcMar>
          </w:tcPr>
          <w:p>
            <w:pPr>
              <w:spacing w:after="40"/>
            </w:pPr>
            <w:r>
              <w:rPr>
                <w:color w:val="222222"/>
                <w:sz w:val="19"/>
                <w:szCs w:val="19"/>
              </w:rPr>
              <w:t xml:space="preserve">Idea 2 — Grower surplus matching</w:t>
            </w:r>
          </w:p>
        </w:tc>
      </w:tr>
      <w:tr>
        <w:tc>
          <w:tcPr>
            <w:tcW w:type="dxa" w:w="3300"/>
            <w:shd w:fill="EEF2F5" w:color="auto" w:val="clear"/>
            <w:tcMar>
              <w:top w:type="dxa" w:w="90"/>
              <w:left w:type="dxa" w:w="120"/>
              <w:bottom w:type="dxa" w:w="90"/>
              <w:right w:type="dxa" w:w="120"/>
            </w:tcMar>
          </w:tcPr>
          <w:p>
            <w:pPr>
              <w:spacing w:after="40"/>
            </w:pPr>
            <w:r>
              <w:rPr>
                <w:color w:val="222222"/>
                <w:sz w:val="19"/>
                <w:szCs w:val="19"/>
              </w:rPr>
              <w:t xml:space="preserve">Best local resonance</w:t>
            </w:r>
          </w:p>
        </w:tc>
        <w:tc>
          <w:tcPr>
            <w:tcW w:type="dxa" w:w="6050"/>
            <w:shd w:fill="EEF2F5" w:color="auto" w:val="clear"/>
            <w:tcMar>
              <w:top w:type="dxa" w:w="90"/>
              <w:left w:type="dxa" w:w="120"/>
              <w:bottom w:type="dxa" w:w="90"/>
              <w:right w:type="dxa" w:w="120"/>
            </w:tcMar>
          </w:tcPr>
          <w:p>
            <w:pPr>
              <w:spacing w:after="40"/>
            </w:pPr>
            <w:r>
              <w:rPr>
                <w:color w:val="222222"/>
                <w:sz w:val="19"/>
                <w:szCs w:val="19"/>
              </w:rPr>
              <w:t xml:space="preserve">Idea 3 — Disability funding tool</w:t>
            </w:r>
          </w:p>
        </w:tc>
      </w:tr>
      <w:tr>
        <w:tc>
          <w:tcPr>
            <w:tcW w:type="dxa" w:w="3300"/>
            <w:shd w:fill="FFFFFF" w:color="auto" w:val="clear"/>
            <w:tcMar>
              <w:top w:type="dxa" w:w="90"/>
              <w:left w:type="dxa" w:w="120"/>
              <w:bottom w:type="dxa" w:w="90"/>
              <w:right w:type="dxa" w:w="120"/>
            </w:tcMar>
          </w:tcPr>
          <w:p>
            <w:pPr>
              <w:spacing w:after="40"/>
            </w:pPr>
            <w:r>
              <w:rPr>
                <w:color w:val="222222"/>
                <w:sz w:val="19"/>
                <w:szCs w:val="19"/>
              </w:rPr>
              <w:t xml:space="preserve">Best technical showing</w:t>
            </w:r>
          </w:p>
        </w:tc>
        <w:tc>
          <w:tcPr>
            <w:tcW w:type="dxa" w:w="6050"/>
            <w:shd w:fill="FFFFFF" w:color="auto" w:val="clear"/>
            <w:tcMar>
              <w:top w:type="dxa" w:w="90"/>
              <w:left w:type="dxa" w:w="120"/>
              <w:bottom w:type="dxa" w:w="90"/>
              <w:right w:type="dxa" w:w="120"/>
            </w:tcMar>
          </w:tcPr>
          <w:p>
            <w:pPr>
              <w:spacing w:after="40"/>
            </w:pPr>
            <w:r>
              <w:rPr>
                <w:color w:val="222222"/>
                <w:sz w:val="19"/>
                <w:szCs w:val="19"/>
              </w:rPr>
              <w:t xml:space="preserve">Idea 5 — Indicator generator</w:t>
            </w:r>
          </w:p>
        </w:tc>
      </w:tr>
      <w:tr>
        <w:tc>
          <w:tcPr>
            <w:tcW w:type="dxa" w:w="3300"/>
            <w:shd w:fill="EEF2F5" w:color="auto" w:val="clear"/>
            <w:tcMar>
              <w:top w:type="dxa" w:w="90"/>
              <w:left w:type="dxa" w:w="120"/>
              <w:bottom w:type="dxa" w:w="90"/>
              <w:right w:type="dxa" w:w="120"/>
            </w:tcMar>
          </w:tcPr>
          <w:p>
            <w:pPr>
              <w:spacing w:after="40"/>
            </w:pPr>
            <w:r>
              <w:rPr>
                <w:color w:val="222222"/>
                <w:sz w:val="19"/>
                <w:szCs w:val="19"/>
              </w:rPr>
              <w:t xml:space="preserve">Best spatial / crisis response</w:t>
            </w:r>
          </w:p>
        </w:tc>
        <w:tc>
          <w:tcPr>
            <w:tcW w:type="dxa" w:w="6050"/>
            <w:shd w:fill="EEF2F5" w:color="auto" w:val="clear"/>
            <w:tcMar>
              <w:top w:type="dxa" w:w="90"/>
              <w:left w:type="dxa" w:w="120"/>
              <w:bottom w:type="dxa" w:w="90"/>
              <w:right w:type="dxa" w:w="120"/>
            </w:tcMar>
          </w:tcPr>
          <w:p>
            <w:pPr>
              <w:spacing w:after="40"/>
            </w:pPr>
            <w:r>
              <w:rPr>
                <w:color w:val="222222"/>
                <w:sz w:val="19"/>
                <w:szCs w:val="19"/>
              </w:rPr>
              <w:t xml:space="preserve">Idea 7 — Disaster recovery &amp; shock grants</w:t>
            </w:r>
          </w:p>
        </w:tc>
      </w:tr>
      <w:tr>
        <w:tc>
          <w:tcPr>
            <w:tcW w:type="dxa" w:w="3300"/>
            <w:shd w:fill="FFFFFF" w:color="auto" w:val="clear"/>
            <w:tcMar>
              <w:top w:type="dxa" w:w="90"/>
              <w:left w:type="dxa" w:w="120"/>
              <w:bottom w:type="dxa" w:w="90"/>
              <w:right w:type="dxa" w:w="120"/>
            </w:tcMar>
          </w:tcPr>
          <w:p>
            <w:pPr>
              <w:spacing w:after="40"/>
            </w:pPr>
            <w:r>
              <w:rPr>
                <w:color w:val="222222"/>
                <w:sz w:val="19"/>
                <w:szCs w:val="19"/>
              </w:rPr>
              <w:t xml:space="preserve">Best decision/triage build</w:t>
            </w:r>
          </w:p>
        </w:tc>
        <w:tc>
          <w:tcPr>
            <w:tcW w:type="dxa" w:w="6050"/>
            <w:shd w:fill="FFFFFF" w:color="auto" w:val="clear"/>
            <w:tcMar>
              <w:top w:type="dxa" w:w="90"/>
              <w:left w:type="dxa" w:w="120"/>
              <w:bottom w:type="dxa" w:w="90"/>
              <w:right w:type="dxa" w:w="120"/>
            </w:tcMar>
          </w:tcPr>
          <w:p>
            <w:pPr>
              <w:spacing w:after="40"/>
            </w:pPr>
            <w:r>
              <w:rPr>
                <w:color w:val="222222"/>
                <w:sz w:val="19"/>
                <w:szCs w:val="19"/>
              </w:rPr>
              <w:t xml:space="preserve">Idea 8 — Surplus safety &amp; allocation triage</w:t>
            </w:r>
          </w:p>
        </w:tc>
      </w:tr>
      <w:tr>
        <w:tc>
          <w:tcPr>
            <w:tcW w:type="dxa" w:w="3300"/>
            <w:shd w:fill="EEF2F5" w:color="auto" w:val="clear"/>
            <w:tcMar>
              <w:top w:type="dxa" w:w="90"/>
              <w:left w:type="dxa" w:w="120"/>
              <w:bottom w:type="dxa" w:w="90"/>
              <w:right w:type="dxa" w:w="120"/>
            </w:tcMar>
          </w:tcPr>
          <w:p>
            <w:pPr>
              <w:spacing w:after="40"/>
            </w:pPr>
            <w:r>
              <w:rPr>
                <w:color w:val="222222"/>
                <w:sz w:val="19"/>
                <w:szCs w:val="19"/>
              </w:rPr>
              <w:t xml:space="preserve">Safest hardware demo</w:t>
            </w:r>
          </w:p>
        </w:tc>
        <w:tc>
          <w:tcPr>
            <w:tcW w:type="dxa" w:w="6050"/>
            <w:shd w:fill="EEF2F5" w:color="auto" w:val="clear"/>
            <w:tcMar>
              <w:top w:type="dxa" w:w="90"/>
              <w:left w:type="dxa" w:w="120"/>
              <w:bottom w:type="dxa" w:w="90"/>
              <w:right w:type="dxa" w:w="120"/>
            </w:tcMar>
          </w:tcPr>
          <w:p>
            <w:pPr>
              <w:spacing w:after="40"/>
            </w:pPr>
            <w:r>
              <w:rPr>
                <w:color w:val="222222"/>
                <w:sz w:val="19"/>
                <w:szCs w:val="19"/>
              </w:rPr>
              <w:t xml:space="preserve">Idea 1 — Cold-chain, reframed</w:t>
            </w:r>
          </w:p>
        </w:tc>
      </w:tr>
      <w:tr>
        <w:tc>
          <w:tcPr>
            <w:tcW w:type="dxa" w:w="3300"/>
            <w:shd w:fill="FFFFFF" w:color="auto" w:val="clear"/>
            <w:tcMar>
              <w:top w:type="dxa" w:w="90"/>
              <w:left w:type="dxa" w:w="120"/>
              <w:bottom w:type="dxa" w:w="90"/>
              <w:right w:type="dxa" w:w="120"/>
            </w:tcMar>
          </w:tcPr>
          <w:p>
            <w:pPr>
              <w:spacing w:after="40"/>
            </w:pPr>
            <w:r>
              <w:rPr>
                <w:color w:val="222222"/>
                <w:sz w:val="19"/>
                <w:szCs w:val="19"/>
              </w:rPr>
              <w:t xml:space="preserve">Easiest to finish well</w:t>
            </w:r>
          </w:p>
        </w:tc>
        <w:tc>
          <w:tcPr>
            <w:tcW w:type="dxa" w:w="6050"/>
            <w:shd w:fill="FFFFFF" w:color="auto" w:val="clear"/>
            <w:tcMar>
              <w:top w:type="dxa" w:w="90"/>
              <w:left w:type="dxa" w:w="120"/>
              <w:bottom w:type="dxa" w:w="90"/>
              <w:right w:type="dxa" w:w="120"/>
            </w:tcMar>
          </w:tcPr>
          <w:p>
            <w:pPr>
              <w:spacing w:after="40"/>
            </w:pPr>
            <w:r>
              <w:rPr>
                <w:color w:val="222222"/>
                <w:sz w:val="19"/>
                <w:szCs w:val="19"/>
              </w:rPr>
              <w:t xml:space="preserve">Idea 6 — Health literacy and consent</w:t>
            </w:r>
          </w:p>
        </w:tc>
      </w:tr>
    </w:tbl>
    <w:p>
      <w:pPr>
        <w:spacing w:after="160"/>
      </w:pPr>
    </w:p>
    <w:p>
      <w:pPr>
        <w:spacing w:after="160" w:line="276"/>
      </w:pPr>
      <w:r>
        <w:rPr>
          <w:b w:val="false"/>
          <w:bCs w:val="false"/>
          <w:i w:val="false"/>
          <w:iCs w:val="false"/>
          <w:color w:val="222222"/>
          <w:sz w:val="21"/>
          <w:szCs w:val="21"/>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pPr>
        <w:spacing w:after="160" w:line="276"/>
      </w:pPr>
      <w:r>
        <w:rPr>
          <w:b w:val="false"/>
          <w:bCs w:val="false"/>
          <w:i w:val="false"/>
          <w:iCs w:val="false"/>
          <w:color w:val="222222"/>
          <w:sz w:val="21"/>
          <w:szCs w:val="21"/>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pPr>
        <w:pStyle w:val="Heading1"/>
        <w:pBdr>
          <w:bottom w:val="single" w:color="1F3A5F" w:sz="8" w:space="4"/>
        </w:pBdr>
        <w:spacing w:after="200" w:before="480"/>
      </w:pPr>
      <w:r>
        <w:rPr>
          <w:b/>
          <w:bCs/>
          <w:color w:val="1F3A5F"/>
          <w:sz w:val="32"/>
          <w:szCs w:val="32"/>
        </w:rPr>
        <w:t xml:space="preserve">Not Included</w:t>
      </w:r>
    </w:p>
    <w:p>
      <w:pPr>
        <w:spacing w:after="160" w:line="276"/>
      </w:pPr>
      <w:r>
        <w:rPr>
          <w:b w:val="false"/>
          <w:bCs w:val="false"/>
          <w:i w:val="false"/>
          <w:iCs w:val="false"/>
          <w:color w:val="222222"/>
          <w:sz w:val="21"/>
          <w:szCs w:val="21"/>
        </w:rPr>
        <w:t xml:space="preserve">Rural volunteer transport matching was considered and dropped. Road XS, Spedsta, and Assisted Rides already do it, and Hato Hone St John and the Cancer Society already run the NZ services. Where it has been studied, the bottleneck is human coordination, not the matching software.</w:t>
      </w:r>
    </w:p>
    <w:p>
      <w:pPr>
        <w:pStyle w:val="Heading1"/>
        <w:pBdr>
          <w:bottom w:val="single" w:color="1F3A5F" w:sz="8" w:space="4"/>
        </w:pBdr>
        <w:spacing w:after="200" w:before="480"/>
      </w:pPr>
      <w:r>
        <w:rPr>
          <w:b/>
          <w:bCs/>
          <w:color w:val="1F3A5F"/>
          <w:sz w:val="32"/>
          <w:szCs w:val="32"/>
        </w:rPr>
        <w:t xml:space="preserve">Practical Notes</w:t>
      </w:r>
    </w:p>
    <w:p>
      <w:pPr>
        <w:spacing w:after="160" w:line="276"/>
      </w:pPr>
      <w:r>
        <w:rPr>
          <w:b w:val="false"/>
          <w:bCs w:val="false"/>
          <w:i w:val="false"/>
          <w:iCs w:val="false"/>
          <w:color w:val="222222"/>
          <w:sz w:val="21"/>
          <w:szCs w:val="21"/>
        </w:rPr>
        <w:t xml:space="preserve">Teams split at noon on day two — half keep building, half prepare the pitch. Agree who is on which side beforehand. The 30 minutes between the end of the hack and the start of pitching is the only window to regroup.</w:t>
      </w:r>
    </w:p>
    <w:p>
      <w:pPr>
        <w:pStyle w:val="Heading2"/>
        <w:spacing w:after="140" w:before="360"/>
      </w:pPr>
      <w:r>
        <w:rPr>
          <w:b/>
          <w:bCs/>
          <w:color w:val="1F3A5F"/>
          <w:sz w:val="26"/>
          <w:szCs w:val="26"/>
        </w:rPr>
        <w:t xml:space="preserve">Pitch structure, from the official template</w:t>
      </w:r>
    </w:p>
    <w:tbl>
      <w:tblPr>
        <w:tblW w:type="dxa" w:w="9350"/>
        <w:tblBorders>
          <w:top w:val="single" w:color="C9D2DB" w:sz="4"/>
          <w:left w:val="single" w:color="C9D2DB" w:sz="4"/>
          <w:bottom w:val="single" w:color="C9D2DB" w:sz="4"/>
          <w:right w:val="single" w:color="C9D2DB" w:sz="4"/>
          <w:insideH w:val="single" w:color="C9D2DB" w:sz="4"/>
          <w:insideV w:val="single" w:color="C9D2DB" w:sz="4"/>
        </w:tblBorders>
      </w:tblPr>
      <w:tblGrid>
        <w:gridCol w:w="1400"/>
        <w:gridCol w:w="1800"/>
        <w:gridCol w:w="6150"/>
      </w:tblGrid>
      <w:tr>
        <w:trPr>
          <w:tblHeader/>
        </w:trPr>
        <w:tc>
          <w:tcPr>
            <w:tcW w:type="dxa" w:w="1400"/>
            <w:shd w:fill="1F3A5F" w:color="auto" w:val="clear"/>
            <w:tcMar>
              <w:top w:type="dxa" w:w="100"/>
              <w:left w:type="dxa" w:w="120"/>
              <w:bottom w:type="dxa" w:w="100"/>
              <w:right w:type="dxa" w:w="120"/>
            </w:tcMar>
          </w:tcPr>
          <w:p>
            <w:r>
              <w:rPr>
                <w:b/>
                <w:bCs/>
                <w:color w:val="FFFFFF"/>
                <w:sz w:val="19"/>
                <w:szCs w:val="19"/>
              </w:rPr>
              <w:t xml:space="preserve">Time</w:t>
            </w:r>
          </w:p>
        </w:tc>
        <w:tc>
          <w:tcPr>
            <w:tcW w:type="dxa" w:w="1800"/>
            <w:shd w:fill="1F3A5F" w:color="auto" w:val="clear"/>
            <w:tcMar>
              <w:top w:type="dxa" w:w="100"/>
              <w:left w:type="dxa" w:w="120"/>
              <w:bottom w:type="dxa" w:w="100"/>
              <w:right w:type="dxa" w:w="120"/>
            </w:tcMar>
          </w:tcPr>
          <w:p>
            <w:r>
              <w:rPr>
                <w:b/>
                <w:bCs/>
                <w:color w:val="FFFFFF"/>
                <w:sz w:val="19"/>
                <w:szCs w:val="19"/>
              </w:rPr>
              <w:t xml:space="preserve">Section</w:t>
            </w:r>
          </w:p>
        </w:tc>
        <w:tc>
          <w:tcPr>
            <w:tcW w:type="dxa" w:w="6150"/>
            <w:shd w:fill="1F3A5F" w:color="auto" w:val="clear"/>
            <w:tcMar>
              <w:top w:type="dxa" w:w="100"/>
              <w:left w:type="dxa" w:w="120"/>
              <w:bottom w:type="dxa" w:w="100"/>
              <w:right w:type="dxa" w:w="120"/>
            </w:tcMar>
          </w:tcPr>
          <w:p>
            <w:r>
              <w:rPr>
                <w:b/>
                <w:bCs/>
                <w:color w:val="FFFFFF"/>
                <w:sz w:val="19"/>
                <w:szCs w:val="19"/>
              </w:rPr>
              <w:t xml:space="preserve">Content</w:t>
            </w:r>
          </w:p>
        </w:tc>
      </w:tr>
      <w:tr>
        <w:tc>
          <w:tcPr>
            <w:tcW w:type="dxa" w:w="1400"/>
            <w:shd w:fill="FFFFFF" w:color="auto" w:val="clear"/>
            <w:tcMar>
              <w:top w:type="dxa" w:w="90"/>
              <w:left w:type="dxa" w:w="120"/>
              <w:bottom w:type="dxa" w:w="90"/>
              <w:right w:type="dxa" w:w="120"/>
            </w:tcMar>
          </w:tcPr>
          <w:p>
            <w:pPr>
              <w:spacing w:after="40"/>
            </w:pPr>
            <w:r>
              <w:rPr>
                <w:color w:val="222222"/>
                <w:sz w:val="19"/>
                <w:szCs w:val="19"/>
              </w:rPr>
              <w:t xml:space="preserve">0:30</w:t>
            </w:r>
          </w:p>
        </w:tc>
        <w:tc>
          <w:tcPr>
            <w:tcW w:type="dxa" w:w="1800"/>
            <w:shd w:fill="FFFFFF" w:color="auto" w:val="clear"/>
            <w:tcMar>
              <w:top w:type="dxa" w:w="90"/>
              <w:left w:type="dxa" w:w="120"/>
              <w:bottom w:type="dxa" w:w="90"/>
              <w:right w:type="dxa" w:w="120"/>
            </w:tcMar>
          </w:tcPr>
          <w:p>
            <w:pPr>
              <w:spacing w:after="40"/>
            </w:pPr>
            <w:r>
              <w:rPr>
                <w:color w:val="222222"/>
                <w:sz w:val="19"/>
                <w:szCs w:val="19"/>
              </w:rPr>
              <w:t xml:space="preserve">Connect</w:t>
            </w:r>
          </w:p>
        </w:tc>
        <w:tc>
          <w:tcPr>
            <w:tcW w:type="dxa" w:w="6150"/>
            <w:shd w:fill="FFFFFF" w:color="auto" w:val="clear"/>
            <w:tcMar>
              <w:top w:type="dxa" w:w="90"/>
              <w:left w:type="dxa" w:w="120"/>
              <w:bottom w:type="dxa" w:w="90"/>
              <w:right w:type="dxa" w:w="120"/>
            </w:tcMar>
          </w:tcPr>
          <w:p>
            <w:pPr>
              <w:spacing w:after="40"/>
            </w:pPr>
            <w:r>
              <w:rPr>
                <w:color w:val="222222"/>
                <w:sz w:val="19"/>
                <w:szCs w:val="19"/>
              </w:rPr>
              <w:t xml:space="preserve">Who you are, what you care about</w:t>
            </w:r>
          </w:p>
        </w:tc>
      </w:tr>
      <w:tr>
        <w:tc>
          <w:tcPr>
            <w:tcW w:type="dxa" w:w="1400"/>
            <w:shd w:fill="EEF2F5" w:color="auto" w:val="clear"/>
            <w:tcMar>
              <w:top w:type="dxa" w:w="90"/>
              <w:left w:type="dxa" w:w="120"/>
              <w:bottom w:type="dxa" w:w="90"/>
              <w:right w:type="dxa" w:w="120"/>
            </w:tcMar>
          </w:tcPr>
          <w:p>
            <w:pPr>
              <w:spacing w:after="40"/>
            </w:pPr>
            <w:r>
              <w:rPr>
                <w:color w:val="222222"/>
                <w:sz w:val="19"/>
                <w:szCs w:val="19"/>
              </w:rPr>
              <w:t xml:space="preserve">1:00</w:t>
            </w:r>
          </w:p>
        </w:tc>
        <w:tc>
          <w:tcPr>
            <w:tcW w:type="dxa" w:w="1800"/>
            <w:shd w:fill="EEF2F5" w:color="auto" w:val="clear"/>
            <w:tcMar>
              <w:top w:type="dxa" w:w="90"/>
              <w:left w:type="dxa" w:w="120"/>
              <w:bottom w:type="dxa" w:w="90"/>
              <w:right w:type="dxa" w:w="120"/>
            </w:tcMar>
          </w:tcPr>
          <w:p>
            <w:pPr>
              <w:spacing w:after="40"/>
            </w:pPr>
            <w:r>
              <w:rPr>
                <w:color w:val="222222"/>
                <w:sz w:val="19"/>
                <w:szCs w:val="19"/>
              </w:rPr>
              <w:t xml:space="preserve">Problem</w:t>
            </w:r>
          </w:p>
        </w:tc>
        <w:tc>
          <w:tcPr>
            <w:tcW w:type="dxa" w:w="6150"/>
            <w:shd w:fill="EEF2F5" w:color="auto" w:val="clear"/>
            <w:tcMar>
              <w:top w:type="dxa" w:w="90"/>
              <w:left w:type="dxa" w:w="120"/>
              <w:bottom w:type="dxa" w:w="90"/>
              <w:right w:type="dxa" w:w="120"/>
            </w:tcMar>
          </w:tcPr>
          <w:p>
            <w:pPr>
              <w:spacing w:after="40"/>
            </w:pPr>
            <w:r>
              <w:rPr>
                <w:color w:val="222222"/>
                <w:sz w:val="19"/>
                <w:szCs w:val="19"/>
              </w:rPr>
              <w:t xml:space="preserve">Who is affected, made human, with data</w:t>
            </w:r>
          </w:p>
        </w:tc>
      </w:tr>
      <w:tr>
        <w:tc>
          <w:tcPr>
            <w:tcW w:type="dxa" w:w="1400"/>
            <w:shd w:fill="FFFFFF" w:color="auto" w:val="clear"/>
            <w:tcMar>
              <w:top w:type="dxa" w:w="90"/>
              <w:left w:type="dxa" w:w="120"/>
              <w:bottom w:type="dxa" w:w="90"/>
              <w:right w:type="dxa" w:w="120"/>
            </w:tcMar>
          </w:tcPr>
          <w:p>
            <w:pPr>
              <w:spacing w:after="40"/>
            </w:pPr>
            <w:r>
              <w:rPr>
                <w:color w:val="222222"/>
                <w:sz w:val="19"/>
                <w:szCs w:val="19"/>
              </w:rPr>
              <w:t xml:space="preserve">2:00</w:t>
            </w:r>
          </w:p>
        </w:tc>
        <w:tc>
          <w:tcPr>
            <w:tcW w:type="dxa" w:w="1800"/>
            <w:shd w:fill="FFFFFF" w:color="auto" w:val="clear"/>
            <w:tcMar>
              <w:top w:type="dxa" w:w="90"/>
              <w:left w:type="dxa" w:w="120"/>
              <w:bottom w:type="dxa" w:w="90"/>
              <w:right w:type="dxa" w:w="120"/>
            </w:tcMar>
          </w:tcPr>
          <w:p>
            <w:pPr>
              <w:spacing w:after="40"/>
            </w:pPr>
            <w:r>
              <w:rPr>
                <w:color w:val="222222"/>
                <w:sz w:val="19"/>
                <w:szCs w:val="19"/>
              </w:rPr>
              <w:t xml:space="preserve">Big idea</w:t>
            </w:r>
          </w:p>
        </w:tc>
        <w:tc>
          <w:tcPr>
            <w:tcW w:type="dxa" w:w="6150"/>
            <w:shd w:fill="FFFFFF" w:color="auto" w:val="clear"/>
            <w:tcMar>
              <w:top w:type="dxa" w:w="90"/>
              <w:left w:type="dxa" w:w="120"/>
              <w:bottom w:type="dxa" w:w="90"/>
              <w:right w:type="dxa" w:w="120"/>
            </w:tcMar>
          </w:tcPr>
          <w:p>
            <w:pPr>
              <w:spacing w:after="40"/>
            </w:pPr>
            <w:r>
              <w:rPr>
                <w:color w:val="222222"/>
                <w:sz w:val="19"/>
                <w:szCs w:val="19"/>
              </w:rPr>
              <w:t xml:space="preserve">How it solves the problem, plus the prototype</w:t>
            </w:r>
          </w:p>
        </w:tc>
      </w:tr>
      <w:tr>
        <w:tc>
          <w:tcPr>
            <w:tcW w:type="dxa" w:w="1400"/>
            <w:shd w:fill="EEF2F5" w:color="auto" w:val="clear"/>
            <w:tcMar>
              <w:top w:type="dxa" w:w="90"/>
              <w:left w:type="dxa" w:w="120"/>
              <w:bottom w:type="dxa" w:w="90"/>
              <w:right w:type="dxa" w:w="120"/>
            </w:tcMar>
          </w:tcPr>
          <w:p>
            <w:pPr>
              <w:spacing w:after="40"/>
            </w:pPr>
            <w:r>
              <w:rPr>
                <w:color w:val="222222"/>
                <w:sz w:val="19"/>
                <w:szCs w:val="19"/>
              </w:rPr>
              <w:t xml:space="preserve">1:30</w:t>
            </w:r>
          </w:p>
        </w:tc>
        <w:tc>
          <w:tcPr>
            <w:tcW w:type="dxa" w:w="1800"/>
            <w:shd w:fill="EEF2F5" w:color="auto" w:val="clear"/>
            <w:tcMar>
              <w:top w:type="dxa" w:w="90"/>
              <w:left w:type="dxa" w:w="120"/>
              <w:bottom w:type="dxa" w:w="90"/>
              <w:right w:type="dxa" w:w="120"/>
            </w:tcMar>
          </w:tcPr>
          <w:p>
            <w:pPr>
              <w:spacing w:after="40"/>
            </w:pPr>
            <w:r>
              <w:rPr>
                <w:color w:val="222222"/>
                <w:sz w:val="19"/>
                <w:szCs w:val="19"/>
              </w:rPr>
              <w:t xml:space="preserve">Impact</w:t>
            </w:r>
          </w:p>
        </w:tc>
        <w:tc>
          <w:tcPr>
            <w:tcW w:type="dxa" w:w="6150"/>
            <w:shd w:fill="EEF2F5" w:color="auto" w:val="clear"/>
            <w:tcMar>
              <w:top w:type="dxa" w:w="90"/>
              <w:left w:type="dxa" w:w="120"/>
              <w:bottom w:type="dxa" w:w="90"/>
              <w:right w:type="dxa" w:w="120"/>
            </w:tcMar>
          </w:tcPr>
          <w:p>
            <w:pPr>
              <w:spacing w:after="40"/>
            </w:pPr>
            <w:r>
              <w:rPr>
                <w:color w:val="222222"/>
                <w:sz w:val="19"/>
                <w:szCs w:val="19"/>
              </w:rPr>
              <w:t xml:space="preserve">What changes, what you need, what it means longer term</w:t>
            </w:r>
          </w:p>
        </w:tc>
      </w:tr>
    </w:tbl>
    <w:p>
      <w:pPr>
        <w:spacing w:after="160"/>
      </w:pPr>
    </w:p>
    <w:p>
      <w:pPr>
        <w:spacing w:after="160" w:line="276"/>
      </w:pPr>
      <w:r>
        <w:rPr>
          <w:b w:val="false"/>
          <w:bCs w:val="false"/>
          <w:i/>
          <w:iCs/>
          <w:color w:val="222222"/>
          <w:sz w:val="21"/>
          <w:szCs w:val="21"/>
        </w:rPr>
        <w:t xml:space="preserve">The template notes: describe the problem you are solving, which may not be the one you set out to solve.</w:t>
      </w:r>
    </w:p>
    <w:p>
      <w:pPr>
        <w:pStyle w:val="Heading1"/>
        <w:pBdr>
          <w:bottom w:val="single" w:color="1F3A5F" w:sz="8" w:space="4"/>
        </w:pBdr>
        <w:spacing w:after="200" w:before="480"/>
      </w:pPr>
      <w:r>
        <w:rPr>
          <w:b/>
          <w:bCs/>
          <w:color w:val="1F3A5F"/>
          <w:sz w:val="32"/>
          <w:szCs w:val="32"/>
        </w:rPr>
        <w:t xml:space="preserve">Sources</w:t>
      </w:r>
    </w:p>
    <w:p>
      <w:pPr>
        <w:pStyle w:val="Heading3"/>
        <w:spacing w:after="100" w:before="240"/>
      </w:pPr>
      <w:r>
        <w:rPr>
          <w:b/>
          <w:bCs/>
          <w:color w:val="2E6F5E"/>
          <w:sz w:val="22"/>
          <w:szCs w:val="22"/>
        </w:rPr>
        <w:t xml:space="preserve">SDG</w:t>
      </w:r>
    </w:p>
    <w:p>
      <w:pPr>
        <w:pStyle w:val="ListParagraph"/>
        <w:numPr>
          <w:ilvl w:val="0"/>
          <w:numId w:val="3"/>
        </w:numPr>
        <w:spacing w:after="80" w:line="260"/>
      </w:pPr>
      <w:r>
        <w:rPr>
          <w:color w:val="222222"/>
          <w:sz w:val="19"/>
          <w:szCs w:val="19"/>
        </w:rPr>
        <w:t xml:space="preserve">UN SDG Report 2026 — </w:t>
      </w:r>
      <w:hyperlink w:history="1" r:id="rIdzexma-zkgb_hnug7ffo6x">
        <w:r>
          <w:rPr>
            <w:rStyle w:val="Hyperlink"/>
            <w:sz w:val="19"/>
            <w:szCs w:val="19"/>
          </w:rPr>
          <w:t xml:space="preserve">https://unstats.un.org/sdgs/report/2026/</w:t>
        </w:r>
      </w:hyperlink>
    </w:p>
    <w:p>
      <w:pPr>
        <w:pStyle w:val="ListParagraph"/>
        <w:numPr>
          <w:ilvl w:val="0"/>
          <w:numId w:val="3"/>
        </w:numPr>
        <w:spacing w:after="80" w:line="260"/>
      </w:pPr>
      <w:r>
        <w:rPr>
          <w:color w:val="222222"/>
          <w:sz w:val="19"/>
          <w:szCs w:val="19"/>
        </w:rPr>
        <w:t xml:space="preserve">SDSN Report 2026 — </w:t>
      </w:r>
      <w:hyperlink w:history="1" r:id="rIdqlatxn1pxrka7jbarkipe">
        <w:r>
          <w:rPr>
            <w:rStyle w:val="Hyperlink"/>
            <w:sz w:val="19"/>
            <w:szCs w:val="19"/>
          </w:rPr>
          <w:t xml:space="preserve">https://dashboards.sdgindex.org/</w:t>
        </w:r>
      </w:hyperlink>
    </w:p>
    <w:p>
      <w:pPr>
        <w:pStyle w:val="ListParagraph"/>
        <w:numPr>
          <w:ilvl w:val="0"/>
          <w:numId w:val="3"/>
        </w:numPr>
        <w:spacing w:after="80" w:line="260"/>
      </w:pPr>
      <w:r>
        <w:rPr>
          <w:color w:val="222222"/>
          <w:sz w:val="19"/>
          <w:szCs w:val="19"/>
        </w:rPr>
        <w:t xml:space="preserve">UN-Habitat SDG 11 Report 2026 — </w:t>
      </w:r>
      <w:hyperlink w:history="1" r:id="rIdmqyn7xpjj5dum5lgkq5bn">
        <w:r>
          <w:rPr>
            <w:rStyle w:val="Hyperlink"/>
            <w:sz w:val="19"/>
            <w:szCs w:val="19"/>
          </w:rPr>
          <w:t xml:space="preserve">https://unhabitat.org/sdg-11-global-report-2026-housing-at-the-centre-of-sustainable-cities-and-communities</w:t>
        </w:r>
      </w:hyperlink>
    </w:p>
    <w:p>
      <w:pPr>
        <w:pStyle w:val="Heading3"/>
        <w:spacing w:after="100" w:before="240"/>
      </w:pPr>
      <w:r>
        <w:rPr>
          <w:b/>
          <w:bCs/>
          <w:color w:val="2E6F5E"/>
          <w:sz w:val="22"/>
          <w:szCs w:val="22"/>
        </w:rPr>
        <w:t xml:space="preserve">Cold chain</w:t>
      </w:r>
    </w:p>
    <w:p>
      <w:pPr>
        <w:pStyle w:val="ListParagraph"/>
        <w:numPr>
          <w:ilvl w:val="0"/>
          <w:numId w:val="3"/>
        </w:numPr>
        <w:spacing w:after="80" w:line="260"/>
      </w:pPr>
      <w:r>
        <w:rPr>
          <w:color w:val="222222"/>
          <w:sz w:val="19"/>
          <w:szCs w:val="19"/>
        </w:rPr>
        <w:t xml:space="preserve">Health NZ cold chain standards — </w:t>
      </w:r>
      <w:hyperlink w:history="1" r:id="rIdgw_bl6hdpx3ozq34cn4zy">
        <w:r>
          <w:rPr>
            <w:rStyle w:val="Hyperlink"/>
            <w:sz w:val="19"/>
            <w:szCs w:val="19"/>
          </w:rPr>
          <w:t xml:space="preserve">https://www.tewhatuora.govt.nz/health-services-and-programmes/vaccine-information/vaccine-service-delivery/cold-chain-standards-for-vaccines/</w:t>
        </w:r>
      </w:hyperlink>
    </w:p>
    <w:p>
      <w:pPr>
        <w:pStyle w:val="ListParagraph"/>
        <w:numPr>
          <w:ilvl w:val="0"/>
          <w:numId w:val="3"/>
        </w:numPr>
        <w:spacing w:after="80" w:line="260"/>
      </w:pPr>
      <w:r>
        <w:rPr>
          <w:color w:val="222222"/>
          <w:sz w:val="19"/>
          <w:szCs w:val="19"/>
        </w:rPr>
        <w:t xml:space="preserve">National Standards 2017 (2nd ed) — </w:t>
      </w:r>
      <w:hyperlink w:history="1" r:id="rIddluv_ufevgxv0nqldpnef">
        <w:r>
          <w:rPr>
            <w:rStyle w:val="Hyperlink"/>
            <w:sz w:val="19"/>
            <w:szCs w:val="19"/>
          </w:rPr>
          <w:t xml:space="preserve">https://www.tewhatuora.govt.nz/assets/For-the-health-sector/Health-sector-guidance/Vaccine-information-for-healthcare-professionals/National-Standards-for-Vaccine-Storage-and-Transportation-for-Immunisation-Providers-2017-2nd-edition.pdf</w:t>
        </w:r>
      </w:hyperlink>
    </w:p>
    <w:p>
      <w:pPr>
        <w:pStyle w:val="ListParagraph"/>
        <w:numPr>
          <w:ilvl w:val="0"/>
          <w:numId w:val="3"/>
        </w:numPr>
        <w:spacing w:after="80" w:line="260"/>
      </w:pPr>
      <w:r>
        <w:rPr>
          <w:color w:val="222222"/>
          <w:sz w:val="19"/>
          <w:szCs w:val="19"/>
        </w:rPr>
        <w:t xml:space="preserve">IMAC cold chain — </w:t>
      </w:r>
      <w:hyperlink w:history="1" r:id="rId1gm2zbb3vn1xcvh5-0hrm">
        <w:r>
          <w:rPr>
            <w:rStyle w:val="Hyperlink"/>
            <w:sz w:val="19"/>
            <w:szCs w:val="19"/>
          </w:rPr>
          <w:t xml:space="preserve">https://immune.org.nz/vaccines/cold-chain</w:t>
        </w:r>
      </w:hyperlink>
    </w:p>
    <w:p>
      <w:pPr>
        <w:pStyle w:val="ListParagraph"/>
        <w:numPr>
          <w:ilvl w:val="0"/>
          <w:numId w:val="3"/>
        </w:numPr>
        <w:spacing w:after="80" w:line="260"/>
      </w:pPr>
      <w:r>
        <w:rPr>
          <w:color w:val="222222"/>
          <w:sz w:val="19"/>
          <w:szCs w:val="19"/>
        </w:rPr>
        <w:t xml:space="preserve">Nexleaf ColdTrace — </w:t>
      </w:r>
      <w:hyperlink w:history="1" r:id="rIdvzrsko2jvd-ip7-i4llv6">
        <w:r>
          <w:rPr>
            <w:rStyle w:val="Hyperlink"/>
            <w:sz w:val="19"/>
            <w:szCs w:val="19"/>
          </w:rPr>
          <w:t xml:space="preserve">https://www.nexleaf.org/work/vaccines/</w:t>
        </w:r>
      </w:hyperlink>
    </w:p>
    <w:p>
      <w:pPr>
        <w:pStyle w:val="Heading3"/>
        <w:spacing w:after="100" w:before="240"/>
      </w:pPr>
      <w:r>
        <w:rPr>
          <w:b/>
          <w:bCs/>
          <w:color w:val="2E6F5E"/>
          <w:sz w:val="22"/>
          <w:szCs w:val="22"/>
        </w:rPr>
        <w:t xml:space="preserve">Food</w:t>
      </w:r>
    </w:p>
    <w:p>
      <w:pPr>
        <w:pStyle w:val="ListParagraph"/>
        <w:numPr>
          <w:ilvl w:val="0"/>
          <w:numId w:val="3"/>
        </w:numPr>
        <w:spacing w:after="80" w:line="260"/>
      </w:pPr>
      <w:r>
        <w:rPr>
          <w:color w:val="222222"/>
          <w:sz w:val="19"/>
          <w:szCs w:val="19"/>
        </w:rPr>
        <w:t xml:space="preserve">NZFN Hunger Monitor 2025 — </w:t>
      </w:r>
      <w:hyperlink w:history="1" r:id="rIdsul5dg6ex7b91xop_migl">
        <w:r>
          <w:rPr>
            <w:rStyle w:val="Hyperlink"/>
            <w:sz w:val="19"/>
            <w:szCs w:val="19"/>
          </w:rPr>
          <w:t xml:space="preserve">https://www.nzfoodnetwork.org.nz/wp-content/uploads/2026/03/NZFN-Hunger-Monitor-2025-Digital.pdf</w:t>
        </w:r>
      </w:hyperlink>
    </w:p>
    <w:p>
      <w:pPr>
        <w:pStyle w:val="ListParagraph"/>
        <w:numPr>
          <w:ilvl w:val="0"/>
          <w:numId w:val="3"/>
        </w:numPr>
        <w:spacing w:after="80" w:line="260"/>
      </w:pPr>
      <w:r>
        <w:rPr>
          <w:color w:val="222222"/>
          <w:sz w:val="19"/>
          <w:szCs w:val="19"/>
        </w:rPr>
        <w:t xml:space="preserve">NZFN impact stats — </w:t>
      </w:r>
      <w:hyperlink w:history="1" r:id="rId1ysl1uvr8ig6lvrb-layu">
        <w:r>
          <w:rPr>
            <w:rStyle w:val="Hyperlink"/>
            <w:sz w:val="19"/>
            <w:szCs w:val="19"/>
          </w:rPr>
          <w:t xml:space="preserve">https://www.nzfoodnetwork.org.nz/our-impact/</w:t>
        </w:r>
      </w:hyperlink>
    </w:p>
    <w:p>
      <w:pPr>
        <w:pStyle w:val="ListParagraph"/>
        <w:numPr>
          <w:ilvl w:val="0"/>
          <w:numId w:val="3"/>
        </w:numPr>
        <w:spacing w:after="80" w:line="260"/>
      </w:pPr>
      <w:r>
        <w:rPr>
          <w:color w:val="222222"/>
          <w:sz w:val="19"/>
          <w:szCs w:val="19"/>
        </w:rPr>
        <w:t xml:space="preserve">NZFN and Lineage partnership — </w:t>
      </w:r>
      <w:hyperlink w:history="1" r:id="rId44olvwkugby9j-ebxogv8">
        <w:r>
          <w:rPr>
            <w:rStyle w:val="Hyperlink"/>
            <w:sz w:val="19"/>
            <w:szCs w:val="19"/>
          </w:rPr>
          <w:t xml:space="preserve">https://www.nzfoodnetwork.org.nz/food-rescue-partnership-nz-food-network-lineage-grant/</w:t>
        </w:r>
      </w:hyperlink>
    </w:p>
    <w:p>
      <w:pPr>
        <w:pStyle w:val="ListParagraph"/>
        <w:numPr>
          <w:ilvl w:val="0"/>
          <w:numId w:val="3"/>
        </w:numPr>
        <w:spacing w:after="80" w:line="260"/>
      </w:pPr>
      <w:r>
        <w:rPr>
          <w:color w:val="222222"/>
          <w:sz w:val="19"/>
          <w:szCs w:val="19"/>
        </w:rPr>
        <w:t xml:space="preserve">Rabobank food waste — </w:t>
      </w:r>
      <w:hyperlink w:history="1" r:id="rIditauzmdfu4wrabng4k1bd">
        <w:r>
          <w:rPr>
            <w:rStyle w:val="Hyperlink"/>
            <w:sz w:val="19"/>
            <w:szCs w:val="19"/>
          </w:rPr>
          <w:t xml:space="preserve">https://www.rabobank.co.nz/community/food-waste</w:t>
        </w:r>
      </w:hyperlink>
    </w:p>
    <w:p>
      <w:pPr>
        <w:pStyle w:val="ListParagraph"/>
        <w:numPr>
          <w:ilvl w:val="0"/>
          <w:numId w:val="3"/>
        </w:numPr>
        <w:spacing w:after="80" w:line="260"/>
      </w:pPr>
      <w:r>
        <w:rPr>
          <w:color w:val="222222"/>
          <w:sz w:val="19"/>
          <w:szCs w:val="19"/>
        </w:rPr>
        <w:t xml:space="preserve">PMCSA food rescue evidence — </w:t>
      </w:r>
      <w:hyperlink w:history="1" r:id="rIdk0vytjnpjx_gnqlusnor0">
        <w:r>
          <w:rPr>
            <w:rStyle w:val="Hyperlink"/>
            <w:sz w:val="19"/>
            <w:szCs w:val="19"/>
          </w:rPr>
          <w:t xml:space="preserve">https://www.pmcsa.ac.nz/topics/food-rescue-food-waste/</w:t>
        </w:r>
      </w:hyperlink>
    </w:p>
    <w:p>
      <w:pPr>
        <w:pStyle w:val="Heading3"/>
        <w:spacing w:after="100" w:before="240"/>
      </w:pPr>
      <w:r>
        <w:rPr>
          <w:b/>
          <w:bCs/>
          <w:color w:val="2E6F5E"/>
          <w:sz w:val="22"/>
          <w:szCs w:val="22"/>
        </w:rPr>
        <w:t xml:space="preserve">Disability</w:t>
      </w:r>
    </w:p>
    <w:p>
      <w:pPr>
        <w:pStyle w:val="ListParagraph"/>
        <w:numPr>
          <w:ilvl w:val="0"/>
          <w:numId w:val="3"/>
        </w:numPr>
        <w:spacing w:after="80" w:line="260"/>
      </w:pPr>
      <w:r>
        <w:rPr>
          <w:color w:val="222222"/>
          <w:sz w:val="19"/>
          <w:szCs w:val="19"/>
        </w:rPr>
        <w:t xml:space="preserve">DSS February 2026 fact sheet — </w:t>
      </w:r>
      <w:hyperlink w:history="1" r:id="rIdnh_ccubeqop-quo33njyn">
        <w:r>
          <w:rPr>
            <w:rStyle w:val="Hyperlink"/>
            <w:sz w:val="19"/>
            <w:szCs w:val="19"/>
          </w:rPr>
          <w:t xml:space="preserve">https://www.disabilitysupport.govt.nz/disabled-people/improvements-to-disability-support-services/february-2026-fact-sheet</w:t>
        </w:r>
      </w:hyperlink>
    </w:p>
    <w:p>
      <w:pPr>
        <w:pStyle w:val="ListParagraph"/>
        <w:numPr>
          <w:ilvl w:val="0"/>
          <w:numId w:val="3"/>
        </w:numPr>
        <w:spacing w:after="80" w:line="260"/>
      </w:pPr>
      <w:r>
        <w:rPr>
          <w:color w:val="222222"/>
          <w:sz w:val="19"/>
          <w:szCs w:val="19"/>
        </w:rPr>
        <w:t xml:space="preserve">NZ Disability Strategy 2026–2030 — </w:t>
      </w:r>
      <w:hyperlink w:history="1" r:id="rIdxqzpcsg0fkn_bxjjmmy7j">
        <w:r>
          <w:rPr>
            <w:rStyle w:val="Hyperlink"/>
            <w:sz w:val="19"/>
            <w:szCs w:val="19"/>
          </w:rPr>
          <w:t xml:space="preserve">https://www.whaikaha.govt.nz/assets/NZDS-26-30-Documents/NZDS-2026-2030.pdf</w:t>
        </w:r>
      </w:hyperlink>
    </w:p>
    <w:p>
      <w:pPr>
        <w:pStyle w:val="ListParagraph"/>
        <w:numPr>
          <w:ilvl w:val="0"/>
          <w:numId w:val="3"/>
        </w:numPr>
        <w:spacing w:after="80" w:line="260"/>
      </w:pPr>
      <w:r>
        <w:rPr>
          <w:color w:val="222222"/>
          <w:sz w:val="19"/>
          <w:szCs w:val="19"/>
        </w:rPr>
        <w:t xml:space="preserve">CCS Disability Action, Budget 2026 — </w:t>
      </w:r>
      <w:hyperlink w:history="1" r:id="rId1sksnsntpkoasfwfevkej">
        <w:r>
          <w:rPr>
            <w:rStyle w:val="Hyperlink"/>
            <w:sz w:val="19"/>
            <w:szCs w:val="19"/>
          </w:rPr>
          <w:t xml:space="preserve">https://www.ccsdisabilityaction.org.nz/news/budget-2026-statement</w:t>
        </w:r>
      </w:hyperlink>
    </w:p>
    <w:p>
      <w:pPr>
        <w:pStyle w:val="ListParagraph"/>
        <w:numPr>
          <w:ilvl w:val="0"/>
          <w:numId w:val="3"/>
        </w:numPr>
        <w:spacing w:after="80" w:line="260"/>
      </w:pPr>
      <w:r>
        <w:rPr>
          <w:color w:val="222222"/>
          <w:sz w:val="19"/>
          <w:szCs w:val="19"/>
        </w:rPr>
        <w:t xml:space="preserve">Blind Low Vision NZ submission — </w:t>
      </w:r>
      <w:hyperlink w:history="1" r:id="rIdeivcybiych58xb9rtyzj6">
        <w:r>
          <w:rPr>
            <w:rStyle w:val="Hyperlink"/>
            <w:sz w:val="19"/>
            <w:szCs w:val="19"/>
          </w:rPr>
          <w:t xml:space="preserve">https://blindlowvision.org.nz/news/submission-on-the-disability-support-services-bill-2026/</w:t>
        </w:r>
      </w:hyperlink>
    </w:p>
    <w:p>
      <w:pPr>
        <w:pStyle w:val="Heading3"/>
        <w:spacing w:after="100" w:before="240"/>
      </w:pPr>
      <w:r>
        <w:rPr>
          <w:b/>
          <w:bCs/>
          <w:color w:val="2E6F5E"/>
          <w:sz w:val="22"/>
          <w:szCs w:val="22"/>
        </w:rPr>
        <w:t xml:space="preserve">E-waste</w:t>
      </w:r>
    </w:p>
    <w:p>
      <w:pPr>
        <w:pStyle w:val="ListParagraph"/>
        <w:numPr>
          <w:ilvl w:val="0"/>
          <w:numId w:val="3"/>
        </w:numPr>
        <w:spacing w:after="80" w:line="260"/>
      </w:pPr>
      <w:r>
        <w:rPr>
          <w:color w:val="222222"/>
          <w:sz w:val="19"/>
          <w:szCs w:val="19"/>
        </w:rPr>
        <w:t xml:space="preserve">TechCollect NZ stewardship — </w:t>
      </w:r>
      <w:hyperlink w:history="1" r:id="rIdmtvzxib8647b9y8urjtjn">
        <w:r>
          <w:rPr>
            <w:rStyle w:val="Hyperlink"/>
            <w:sz w:val="19"/>
            <w:szCs w:val="19"/>
          </w:rPr>
          <w:t xml:space="preserve">https://techcollect.nz/e-waste-product-stewardship-new-zealand/</w:t>
        </w:r>
      </w:hyperlink>
    </w:p>
    <w:p>
      <w:pPr>
        <w:pStyle w:val="ListParagraph"/>
        <w:numPr>
          <w:ilvl w:val="0"/>
          <w:numId w:val="3"/>
        </w:numPr>
        <w:spacing w:after="80" w:line="260"/>
      </w:pPr>
      <w:r>
        <w:rPr>
          <w:color w:val="222222"/>
          <w:sz w:val="19"/>
          <w:szCs w:val="19"/>
        </w:rPr>
        <w:t xml:space="preserve">Electronic waste in New Zealand — </w:t>
      </w:r>
      <w:hyperlink w:history="1" r:id="rIdym7wd98x_05eu7eoygdq7">
        <w:r>
          <w:rPr>
            <w:rStyle w:val="Hyperlink"/>
            <w:sz w:val="19"/>
            <w:szCs w:val="19"/>
          </w:rPr>
          <w:t xml:space="preserve">https://en.wikipedia.org/wiki/Electronic_waste_in_New_Zealand</w:t>
        </w:r>
      </w:hyperlink>
    </w:p>
    <w:p>
      <w:pPr>
        <w:pStyle w:val="Heading3"/>
        <w:spacing w:after="100" w:before="240"/>
      </w:pPr>
      <w:r>
        <w:rPr>
          <w:b/>
          <w:bCs/>
          <w:color w:val="2E6F5E"/>
          <w:sz w:val="22"/>
          <w:szCs w:val="22"/>
        </w:rPr>
        <w:t xml:space="preserve">Data and tooling</w:t>
      </w:r>
    </w:p>
    <w:p>
      <w:pPr>
        <w:pStyle w:val="ListParagraph"/>
        <w:numPr>
          <w:ilvl w:val="0"/>
          <w:numId w:val="3"/>
        </w:numPr>
        <w:spacing w:after="80" w:line="260"/>
      </w:pPr>
      <w:r>
        <w:rPr>
          <w:color w:val="222222"/>
          <w:sz w:val="19"/>
          <w:szCs w:val="19"/>
        </w:rPr>
        <w:t xml:space="preserve">data.govt.nz APIs — </w:t>
      </w:r>
      <w:hyperlink w:history="1" r:id="rIdigneofk5rbwnoin3hbtwb">
        <w:r>
          <w:rPr>
            <w:rStyle w:val="Hyperlink"/>
            <w:sz w:val="19"/>
            <w:szCs w:val="19"/>
          </w:rPr>
          <w:t xml:space="preserve">https://data.govt.nz/catalogue-guide/using-data-govt-nz-apis</w:t>
        </w:r>
      </w:hyperlink>
    </w:p>
    <w:p>
      <w:pPr>
        <w:pStyle w:val="ListParagraph"/>
        <w:numPr>
          <w:ilvl w:val="0"/>
          <w:numId w:val="3"/>
        </w:numPr>
        <w:spacing w:after="80" w:line="260"/>
      </w:pPr>
      <w:r>
        <w:rPr>
          <w:color w:val="222222"/>
          <w:sz w:val="19"/>
          <w:szCs w:val="19"/>
        </w:rPr>
        <w:t xml:space="preserve">NZ AI Strategy — </w:t>
      </w:r>
      <w:hyperlink w:history="1" r:id="rIdyn2arygxtw2ea6yva9svh">
        <w:r>
          <w:rPr>
            <w:rStyle w:val="Hyperlink"/>
            <w:sz w:val="19"/>
            <w:szCs w:val="19"/>
          </w:rPr>
          <w:t xml:space="preserve">https://www.mbie.govt.nz/assets/new-zealands-strategy-for-artificial-intelligence.pdf</w:t>
        </w:r>
      </w:hyperlink>
    </w:p>
    <w:p>
      <w:pPr>
        <w:pStyle w:val="Heading3"/>
        <w:spacing w:after="100" w:before="240"/>
      </w:pPr>
      <w:r>
        <w:rPr>
          <w:b/>
          <w:bCs/>
          <w:color w:val="2E6F5E"/>
          <w:sz w:val="22"/>
          <w:szCs w:val="22"/>
        </w:rPr>
        <w:t xml:space="preserve">Health literacy and consent</w:t>
      </w:r>
    </w:p>
    <w:p>
      <w:pPr>
        <w:pStyle w:val="ListParagraph"/>
        <w:numPr>
          <w:ilvl w:val="0"/>
          <w:numId w:val="3"/>
        </w:numPr>
        <w:spacing w:after="80" w:line="260"/>
      </w:pPr>
      <w:r>
        <w:rPr>
          <w:color w:val="222222"/>
          <w:sz w:val="19"/>
          <w:szCs w:val="19"/>
        </w:rPr>
        <w:t xml:space="preserve">HDC Code of Rights (Rights 5 and 6) — </w:t>
      </w:r>
      <w:hyperlink w:history="1" r:id="rIdikfmxfpsucnvw-otnffh2">
        <w:r>
          <w:rPr>
            <w:rStyle w:val="Hyperlink"/>
            <w:sz w:val="19"/>
            <w:szCs w:val="19"/>
          </w:rPr>
          <w:t xml:space="preserve">https://www.hdc.org.nz/your-rights/about-the-code/code-of-health-and-disability-services-consumers-rights/</w:t>
        </w:r>
      </w:hyperlink>
    </w:p>
    <w:p>
      <w:pPr>
        <w:pStyle w:val="ListParagraph"/>
        <w:numPr>
          <w:ilvl w:val="0"/>
          <w:numId w:val="3"/>
        </w:numPr>
        <w:spacing w:after="80" w:line="260"/>
      </w:pPr>
      <w:r>
        <w:rPr>
          <w:color w:val="222222"/>
          <w:sz w:val="19"/>
          <w:szCs w:val="19"/>
        </w:rPr>
        <w:t xml:space="preserve">Code of Rights, full PDF — </w:t>
      </w:r>
      <w:hyperlink w:history="1" r:id="rIdx1hpldmliznn1a1rd6cjn">
        <w:r>
          <w:rPr>
            <w:rStyle w:val="Hyperlink"/>
            <w:sz w:val="19"/>
            <w:szCs w:val="19"/>
          </w:rPr>
          <w:t xml:space="preserve">https://www.hdc.org.nz/media/550hs5ih/code-of-rights_online_5-sept-2022.pdf</w:t>
        </w:r>
      </w:hyperlink>
    </w:p>
    <w:p>
      <w:pPr>
        <w:pStyle w:val="ListParagraph"/>
        <w:numPr>
          <w:ilvl w:val="0"/>
          <w:numId w:val="3"/>
        </w:numPr>
        <w:spacing w:after="80" w:line="260"/>
      </w:pPr>
      <w:r>
        <w:rPr>
          <w:color w:val="222222"/>
          <w:sz w:val="19"/>
          <w:szCs w:val="19"/>
        </w:rPr>
        <w:t xml:space="preserve">HQSC health literacy background — </w:t>
      </w:r>
      <w:hyperlink w:history="1" r:id="rIdm9sjqg1c7i1avjrbl-s_z">
        <w:r>
          <w:rPr>
            <w:rStyle w:val="Hyperlink"/>
            <w:sz w:val="19"/>
            <w:szCs w:val="19"/>
          </w:rPr>
          <w:t xml:space="preserve">https://www.hqsc.govt.nz/assets/Consumer-hub/Partners-in-Care/Publications-resources/health-literacy-background-info-Sep-2013.pdf</w:t>
        </w:r>
      </w:hyperlink>
    </w:p>
    <w:p>
      <w:pPr>
        <w:pStyle w:val="ListParagraph"/>
        <w:numPr>
          <w:ilvl w:val="0"/>
          <w:numId w:val="3"/>
        </w:numPr>
        <w:spacing w:after="80" w:line="260"/>
      </w:pPr>
      <w:r>
        <w:rPr>
          <w:color w:val="222222"/>
          <w:sz w:val="19"/>
          <w:szCs w:val="19"/>
        </w:rPr>
        <w:t xml:space="preserve">Health literacy and Pacific peoples review — </w:t>
      </w:r>
      <w:hyperlink w:history="1" r:id="rIdbqmtbfc2mhyoyz1fcchww">
        <w:r>
          <w:rPr>
            <w:rStyle w:val="Hyperlink"/>
            <w:sz w:val="19"/>
            <w:szCs w:val="19"/>
          </w:rPr>
          <w:t xml:space="preserve">https://ojs.aut.ac.nz/pacific-health/article/view/4</w:t>
        </w:r>
      </w:hyperlink>
    </w:p>
    <w:p>
      <w:pPr>
        <w:pStyle w:val="ListParagraph"/>
        <w:numPr>
          <w:ilvl w:val="0"/>
          <w:numId w:val="3"/>
        </w:numPr>
        <w:spacing w:after="80" w:line="260"/>
      </w:pPr>
      <w:r>
        <w:rPr>
          <w:color w:val="222222"/>
          <w:sz w:val="19"/>
          <w:szCs w:val="19"/>
        </w:rPr>
        <w:t xml:space="preserve">NZ Society of Anaesthetists on health literacy — </w:t>
      </w:r>
      <w:hyperlink w:history="1" r:id="rIdatavmuva8xlnkidy4lw8e">
        <w:r>
          <w:rPr>
            <w:rStyle w:val="Hyperlink"/>
            <w:sz w:val="19"/>
            <w:szCs w:val="19"/>
          </w:rPr>
          <w:t xml:space="preserve">https://anaesthesia.nz/news/health-literacy-in-aotearoa-new-zealand-remains-a-critical-challenge/</w:t>
        </w:r>
      </w:hyperlink>
    </w:p>
    <w:p>
      <w:pPr>
        <w:pStyle w:val="ListParagraph"/>
        <w:numPr>
          <w:ilvl w:val="0"/>
          <w:numId w:val="3"/>
        </w:numPr>
        <w:spacing w:after="80" w:line="260"/>
      </w:pPr>
      <w:r>
        <w:rPr>
          <w:color w:val="222222"/>
          <w:sz w:val="19"/>
          <w:szCs w:val="19"/>
        </w:rPr>
        <w:t xml:space="preserve">AI-generated patient-friendly discharge summaries — </w:t>
      </w:r>
      <w:hyperlink w:history="1" r:id="rId7q2-mfle2efv-q6hvqefa">
        <w:r>
          <w:rPr>
            <w:rStyle w:val="Hyperlink"/>
            <w:sz w:val="19"/>
            <w:szCs w:val="19"/>
          </w:rPr>
          <w:t xml:space="preserve">https://www.medrxiv.org/content/10.1101/2025.07.04.25330804.full.pdf</w:t>
        </w:r>
      </w:hyperlink>
    </w:p>
    <w:p>
      <w:pPr>
        <w:pStyle w:val="ListParagraph"/>
        <w:numPr>
          <w:ilvl w:val="0"/>
          <w:numId w:val="3"/>
        </w:numPr>
        <w:spacing w:after="80" w:line="260"/>
      </w:pPr>
      <w:r>
        <w:rPr>
          <w:color w:val="222222"/>
          <w:sz w:val="19"/>
          <w:szCs w:val="19"/>
        </w:rPr>
        <w:t xml:space="preserve">NYU Langone discharge summary trial — </w:t>
      </w:r>
      <w:hyperlink w:history="1" r:id="rId3zxomo7s0ikpegurplsxe">
        <w:r>
          <w:rPr>
            <w:rStyle w:val="Hyperlink"/>
            <w:sz w:val="19"/>
            <w:szCs w:val="19"/>
          </w:rPr>
          <w:t xml:space="preserve">https://clinicaltrials.gov/study/NCT06711458</w:t>
        </w:r>
      </w:hyperlink>
    </w:p>
    <w:p>
      <w:pPr>
        <w:pStyle w:val="ListParagraph"/>
        <w:numPr>
          <w:ilvl w:val="0"/>
          <w:numId w:val="3"/>
        </w:numPr>
        <w:spacing w:after="80" w:line="260"/>
      </w:pPr>
      <w:r>
        <w:rPr>
          <w:color w:val="222222"/>
          <w:sz w:val="19"/>
          <w:szCs w:val="19"/>
        </w:rPr>
        <w:t xml:space="preserve">Epic Emmie, patient-facing AI — </w:t>
      </w:r>
      <w:hyperlink w:history="1" r:id="rId1tkwm5gv47gikhfrxnoub">
        <w:r>
          <w:rPr>
            <w:rStyle w:val="Hyperlink"/>
            <w:sz w:val="19"/>
            <w:szCs w:val="19"/>
          </w:rPr>
          <w:t xml:space="preserve">https://www.epic.com/software/emmie/</w:t>
        </w:r>
      </w:hyperlink>
    </w:p>
    <w:p>
      <w:pPr>
        <w:pStyle w:val="ListParagraph"/>
        <w:numPr>
          <w:ilvl w:val="0"/>
          <w:numId w:val="3"/>
        </w:numPr>
        <w:spacing w:after="80" w:line="260"/>
      </w:pPr>
      <w:r>
        <w:rPr>
          <w:color w:val="222222"/>
          <w:sz w:val="19"/>
          <w:szCs w:val="19"/>
        </w:rPr>
        <w:t xml:space="preserve">Acute readmissions to hospitals, MoH — </w:t>
      </w:r>
      <w:hyperlink w:history="1" r:id="rIdv-leikxmf-hdpcabiwk5g">
        <w:r>
          <w:rPr>
            <w:rStyle w:val="Hyperlink"/>
            <w:sz w:val="19"/>
            <w:szCs w:val="19"/>
          </w:rPr>
          <w:t xml:space="preserve">https://www.health.govt.nz/statistics-research/system-monitoring/planning-and-performance-data/acute-readmissions-to-hospitals</w:t>
        </w:r>
      </w:hyperlink>
    </w:p>
    <w:p>
      <w:pPr>
        <w:pStyle w:val="Heading3"/>
        <w:spacing w:after="100" w:before="240"/>
      </w:pPr>
      <w:r>
        <w:rPr>
          <w:b/>
          <w:bCs/>
          <w:color w:val="2E6F5E"/>
          <w:sz w:val="22"/>
          <w:szCs w:val="22"/>
        </w:rPr>
        <w:t xml:space="preserve">Universal jargon &amp; handwriting interpreter</w:t>
      </w:r>
    </w:p>
    <w:p>
      <w:pPr>
        <w:pStyle w:val="ListParagraph"/>
        <w:numPr>
          <w:ilvl w:val="0"/>
          <w:numId w:val="3"/>
        </w:numPr>
        <w:spacing w:after="80" w:line="260"/>
      </w:pPr>
      <w:r>
        <w:rPr>
          <w:color w:val="222222"/>
          <w:sz w:val="19"/>
          <w:szCs w:val="19"/>
        </w:rPr>
        <w:t xml:space="preserve">Browser-based on-device AI, local LLM overview 2026 — </w:t>
      </w:r>
      <w:hyperlink w:history="1" r:id="rId_xjfx59mpwoxmxvkefohg">
        <w:r>
          <w:rPr>
            <w:rStyle w:val="Hyperlink"/>
            <w:sz w:val="19"/>
            <w:szCs w:val="19"/>
          </w:rPr>
          <w:t xml:space="preserve">https://www.sigmabrowser.com/blog/browser-with-on-device-ai-best-local-ai-browsers-in-2026</w:t>
        </w:r>
      </w:hyperlink>
    </w:p>
    <w:p>
      <w:pPr>
        <w:pStyle w:val="ListParagraph"/>
        <w:numPr>
          <w:ilvl w:val="0"/>
          <w:numId w:val="3"/>
        </w:numPr>
        <w:spacing w:after="80" w:line="260"/>
      </w:pPr>
      <w:r>
        <w:rPr>
          <w:color w:val="222222"/>
          <w:sz w:val="19"/>
          <w:szCs w:val="19"/>
        </w:rPr>
        <w:t xml:space="preserve">WebGPU in-browser LLM inference, no server — </w:t>
      </w:r>
      <w:hyperlink w:history="1" r:id="rId0pz0he4oj6ylf6zlft2d2">
        <w:r>
          <w:rPr>
            <w:rStyle w:val="Hyperlink"/>
            <w:sz w:val="19"/>
            <w:szCs w:val="19"/>
          </w:rPr>
          <w:t xml:space="preserve">https://localaimaster.com/blog/run-llm-in-browser</w:t>
        </w:r>
      </w:hyperlink>
    </w:p>
    <w:p>
      <w:pPr>
        <w:pStyle w:val="ListParagraph"/>
        <w:numPr>
          <w:ilvl w:val="0"/>
          <w:numId w:val="3"/>
        </w:numPr>
        <w:spacing w:after="80" w:line="260"/>
      </w:pPr>
      <w:r>
        <w:rPr>
          <w:color w:val="222222"/>
          <w:sz w:val="19"/>
          <w:szCs w:val="19"/>
        </w:rPr>
        <w:t xml:space="preserve">WebLLM: high-performance in-browser inference engine — </w:t>
      </w:r>
      <w:hyperlink w:history="1" r:id="rId2s_ilp3w8vkkfbvasvemr">
        <w:r>
          <w:rPr>
            <w:rStyle w:val="Hyperlink"/>
            <w:sz w:val="19"/>
            <w:szCs w:val="19"/>
          </w:rPr>
          <w:t xml:space="preserve">https://arxiv.org/html/2412.15803v2</w:t>
        </w:r>
      </w:hyperlink>
    </w:p>
    <w:p>
      <w:pPr>
        <w:pStyle w:val="ListParagraph"/>
        <w:numPr>
          <w:ilvl w:val="0"/>
          <w:numId w:val="3"/>
        </w:numPr>
        <w:spacing w:after="80" w:line="260"/>
      </w:pPr>
      <w:r>
        <w:rPr>
          <w:color w:val="222222"/>
          <w:sz w:val="19"/>
          <w:szCs w:val="19"/>
        </w:rPr>
        <w:t xml:space="preserve">Te Mana Raraunga, Māori Data Sovereignty Network — </w:t>
      </w:r>
      <w:hyperlink w:history="1" r:id="rIdjnnj_artnbupyr6jzsf8d">
        <w:r>
          <w:rPr>
            <w:rStyle w:val="Hyperlink"/>
            <w:sz w:val="19"/>
            <w:szCs w:val="19"/>
          </w:rPr>
          <w:t xml:space="preserve">https://www.temanararaunga.maori.nz/</w:t>
        </w:r>
      </w:hyperlink>
    </w:p>
    <w:p>
      <w:pPr>
        <w:pStyle w:val="ListParagraph"/>
        <w:numPr>
          <w:ilvl w:val="0"/>
          <w:numId w:val="3"/>
        </w:numPr>
        <w:spacing w:after="80" w:line="260"/>
      </w:pPr>
      <w:r>
        <w:rPr>
          <w:color w:val="222222"/>
          <w:sz w:val="19"/>
          <w:szCs w:val="19"/>
        </w:rPr>
        <w:t xml:space="preserve">Principles of Māori Data Sovereignty, October 2018 — </w:t>
      </w:r>
      <w:hyperlink w:history="1" r:id="rIdfl1d4rhm0ly95tlk0xk2s">
        <w:r>
          <w:rPr>
            <w:rStyle w:val="Hyperlink"/>
            <w:sz w:val="19"/>
            <w:szCs w:val="19"/>
          </w:rPr>
          <w:t xml:space="preserve">https://www.otago.ac.nz/__data/assets/pdf_file/0014/321044/tmr-maori-data-sovereignty-principles-october-2018-832194.pdf</w:t>
        </w:r>
      </w:hyperlink>
    </w:p>
    <w:p>
      <w:pPr>
        <w:pStyle w:val="ListParagraph"/>
        <w:numPr>
          <w:ilvl w:val="0"/>
          <w:numId w:val="3"/>
        </w:numPr>
        <w:spacing w:after="80" w:line="260"/>
      </w:pPr>
      <w:r>
        <w:rPr>
          <w:color w:val="222222"/>
          <w:sz w:val="19"/>
          <w:szCs w:val="19"/>
        </w:rPr>
        <w:t xml:space="preserve">Te Pā Tūwatawata, Māori-owned data storage network — </w:t>
      </w:r>
      <w:hyperlink w:history="1" r:id="rIdedxv4lrlif7rwdulhmmuo">
        <w:r>
          <w:rPr>
            <w:rStyle w:val="Hyperlink"/>
            <w:sz w:val="19"/>
            <w:szCs w:val="19"/>
          </w:rPr>
          <w:t xml:space="preserve">https://www.rnz.co.nz/news/te-manu-korihi/596199/maori-owned-data-storage-network-hailed-as-significant-step-towards-data-sovereignty</w:t>
        </w:r>
      </w:hyperlink>
    </w:p>
    <w:p>
      <w:pPr>
        <w:pStyle w:val="Heading3"/>
        <w:spacing w:after="100" w:before="240"/>
      </w:pPr>
      <w:r>
        <w:rPr>
          <w:b/>
          <w:bCs/>
          <w:color w:val="2E6F5E"/>
          <w:sz w:val="22"/>
          <w:szCs w:val="22"/>
        </w:rPr>
        <w:t xml:space="preserve">Judging</w:t>
      </w:r>
    </w:p>
    <w:p>
      <w:pPr>
        <w:pStyle w:val="ListParagraph"/>
        <w:numPr>
          <w:ilvl w:val="0"/>
          <w:numId w:val="3"/>
        </w:numPr>
        <w:spacing w:after="80" w:line="260"/>
      </w:pPr>
      <w:r>
        <w:rPr>
          <w:color w:val="222222"/>
          <w:sz w:val="19"/>
          <w:szCs w:val="19"/>
        </w:rPr>
        <w:t xml:space="preserve">GitLab AI Hackathon 2026 winners — </w:t>
      </w:r>
      <w:hyperlink w:history="1" r:id="rIdt0chgubxxeiy-moawxn72">
        <w:r>
          <w:rPr>
            <w:rStyle w:val="Hyperlink"/>
            <w:sz w:val="19"/>
            <w:szCs w:val="19"/>
          </w:rPr>
          <w:t xml:space="preserve">https://about.gitlab.com/blog/gitlab-ai-hackathon-2026-meet-the-winners/</w:t>
        </w:r>
      </w:hyperlink>
    </w:p>
    <w:p>
      <w:pPr>
        <w:pStyle w:val="Heading2"/>
        <w:spacing w:after="140" w:before="360"/>
      </w:pPr>
      <w:r>
        <w:rPr>
          <w:b/>
          <w:bCs/>
          <w:color w:val="1F3A5F"/>
          <w:sz w:val="26"/>
          <w:szCs w:val="26"/>
        </w:rPr>
        <w:t xml:space="preserve">Technical notes</w:t>
      </w:r>
    </w:p>
    <w:p>
      <w:pPr>
        <w:spacing w:after="160" w:line="276"/>
      </w:pPr>
      <w:r>
        <w:rPr>
          <w:b w:val="false"/>
          <w:bCs w:val="false"/>
          <w:i w:val="false"/>
          <w:iCs w:val="false"/>
          <w:color w:val="222222"/>
          <w:sz w:val="21"/>
          <w:szCs w:val="21"/>
        </w:rPr>
        <w:t xml:space="preserve">data.govt.nz documentation references CKAN 2.7, which is old. Check /api/3/action/status_show before coding against those docs. The DataStore API only exists where a clean CSV was supplied; many listings are metadata-only links to agency sites.</w:t>
      </w:r>
    </w:p>
    <w:p>
      <w:pPr>
        <w:spacing w:after="160" w:line="276"/>
      </w:pPr>
      <w:r>
        <w:rPr>
          <w:b w:val="false"/>
          <w:bCs w:val="false"/>
          <w:i w:val="false"/>
          <w:iCs w:val="false"/>
          <w:color w:val="222222"/>
          <w:sz w:val="21"/>
          <w:szCs w:val="21"/>
        </w:rPr>
        <w:t xml:space="preserve">Claude Sonnet 5 pricing rises to $3/$15 per million tokens after 31 August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4546A"/>
        <w:sz w:val="16"/>
        <w:szCs w:val="16"/>
      </w:rPr>
      <w:t xml:space="preserve">Page </w:t>
    </w:r>
    <w:r>
      <w:rPr>
        <w:color w:val="44546A"/>
        <w:sz w:val="16"/>
        <w:szCs w:val="16"/>
      </w:rPr>
      <w:fldChar w:fldCharType="begin"/>
      <w:instrText xml:space="preserve">PAGE</w:instrText>
      <w:fldChar w:fldCharType="separate"/>
      <w:fldChar w:fldCharType="end"/>
    </w:r>
    <w:r>
      <w:rPr>
        <w:color w:val="44546A"/>
        <w:sz w:val="16"/>
        <w:szCs w:val="16"/>
      </w:rPr>
      <w:t xml:space="preserve"> of </w:t>
    </w:r>
    <w:r>
      <w:rPr>
        <w:color w:val="44546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B" w:sz="4" w:space="4"/>
      </w:pBdr>
      <w:jc w:val="right"/>
    </w:pPr>
    <w:r>
      <w:rPr>
        <w:i/>
        <w:iCs/>
        <w:color w:val="44546A"/>
        <w:sz w:val="16"/>
        <w:szCs w:val="16"/>
      </w:rPr>
      <w:t xml:space="preserve">SDG Hackathon — Idea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60"/>
      </w:pPr>
    </w:lvl>
  </w:abstractNum>
  <w:abstractNum w:abstractNumId="3" w15:restartNumberingAfterBreak="0">
    <w:multiLevelType w:val="hybridMultilevel"/>
    <w:lvl w:ilvl="0" w15:tentative="1">
      <w:start w:val="1"/>
      <w:numFmt w:val="decimal"/>
      <w:lvlText w:val="%1."/>
      <w:lvlJc w:val="left"/>
      <w:pPr>
        <w:ind w:left="450" w:hanging="260"/>
      </w:pPr>
    </w:lvl>
  </w:abstractNum>
  <w:abstractNum w:abstractNumId="4" w15:restartNumberingAfterBreak="0">
    <w:multiLevelType w:val="hybridMultilevel"/>
    <w:lvl w:ilvl="0" w15:tentative="1">
      <w:start w:val="1"/>
      <w:numFmt w:val="decimal"/>
      <w:lvlText w:val="%1."/>
      <w:lvlJc w:val="left"/>
      <w:pPr>
        <w:ind w:left="450" w:hanging="260"/>
      </w:pPr>
    </w:lvl>
  </w:abstractNum>
  <w:abstractNum w:abstractNumId="5" w15:restartNumberingAfterBreak="0">
    <w:multiLevelType w:val="hybridMultilevel"/>
    <w:lvl w:ilvl="0" w15:tentative="1">
      <w:start w:val="1"/>
      <w:numFmt w:val="decimal"/>
      <w:lvlText w:val="%1."/>
      <w:lvlJc w:val="left"/>
      <w:pPr>
        <w:ind w:left="450" w:hanging="260"/>
      </w:pPr>
    </w:lvl>
  </w:abstractNum>
  <w:abstractNum w:abstractNumId="6" w15:restartNumberingAfterBreak="0">
    <w:multiLevelType w:val="hybridMultilevel"/>
    <w:lvl w:ilvl="0" w15:tentative="1">
      <w:start w:val="1"/>
      <w:numFmt w:val="decimal"/>
      <w:lvlText w:val="%1."/>
      <w:lvlJc w:val="left"/>
      <w:pPr>
        <w:ind w:left="450" w:hanging="260"/>
      </w:pPr>
    </w:lvl>
  </w:abstractNum>
  <w:abstractNum w:abstractNumId="7" w15:restartNumberingAfterBreak="0">
    <w:multiLevelType w:val="hybridMultilevel"/>
    <w:lvl w:ilvl="0" w15:tentative="1">
      <w:start w:val="1"/>
      <w:numFmt w:val="decimal"/>
      <w:lvlText w:val="%1."/>
      <w:lvlJc w:val="left"/>
      <w:pPr>
        <w:ind w:left="450" w:hanging="260"/>
      </w:pPr>
    </w:lvl>
  </w:abstractNum>
  <w:abstractNum w:abstractNumId="8" w15:restartNumberingAfterBreak="0">
    <w:multiLevelType w:val="hybridMultilevel"/>
    <w:lvl w:ilvl="0" w15:tentative="1">
      <w:start w:val="1"/>
      <w:numFmt w:val="decimal"/>
      <w:lvlText w:val="%1."/>
      <w:lvlJc w:val="left"/>
      <w:pPr>
        <w:ind w:left="450" w:hanging="260"/>
      </w:pPr>
    </w:lvl>
  </w:abstractNum>
  <w:abstractNum w:abstractNumId="9" w15:restartNumberingAfterBreak="0">
    <w:multiLevelType w:val="hybridMultilevel"/>
    <w:lvl w:ilvl="0" w15:tentative="1">
      <w:start w:val="1"/>
      <w:numFmt w:val="decimal"/>
      <w:lvlText w:val="%1."/>
      <w:lvlJc w:val="left"/>
      <w:pPr>
        <w:ind w:left="450" w:hanging="260"/>
      </w:pPr>
    </w:lvl>
  </w:abstractNum>
  <w:abstractNum w:abstractNumId="10" w15:restartNumberingAfterBreak="0">
    <w:multiLevelType w:val="hybridMultilevel"/>
    <w:lvl w:ilvl="0" w15:tentative="1">
      <w:start w:val="1"/>
      <w:numFmt w:val="decimal"/>
      <w:lvlText w:val="%1."/>
      <w:lvlJc w:val="left"/>
      <w:pPr>
        <w:ind w:left="450" w:hanging="260"/>
      </w:pPr>
    </w:lvl>
  </w:abstractNum>
  <w:abstractNum w:abstractNumId="11" w15:restartNumberingAfterBreak="0">
    <w:multiLevelType w:val="hybridMultilevel"/>
    <w:lvl w:ilvl="0" w15:tentative="1">
      <w:start w:val="1"/>
      <w:numFmt w:val="decimal"/>
      <w:lvlText w:val="%1."/>
      <w:lvlJc w:val="left"/>
      <w:pPr>
        <w:ind w:left="450" w:hanging="260"/>
      </w:pPr>
    </w:lvl>
  </w:abstractNum>
  <w:abstractNum w:abstractNumId="12" w15:restartNumberingAfterBreak="0">
    <w:multiLevelType w:val="hybridMultilevel"/>
    <w:lvl w:ilvl="0" w15:tentative="1">
      <w:start w:val="1"/>
      <w:numFmt w:val="decimal"/>
      <w:lvlText w:val="%1."/>
      <w:lvlJc w:val="left"/>
      <w:pPr>
        <w:ind w:left="45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exma-zkgb_hnug7ffo6x" Type="http://schemas.openxmlformats.org/officeDocument/2006/relationships/hyperlink" Target="https://unstats.un.org/sdgs/report/2026/" TargetMode="External"/><Relationship Id="rIdqlatxn1pxrka7jbarkipe" Type="http://schemas.openxmlformats.org/officeDocument/2006/relationships/hyperlink" Target="https://dashboards.sdgindex.org/" TargetMode="External"/><Relationship Id="rIdmqyn7xpjj5dum5lgkq5bn" Type="http://schemas.openxmlformats.org/officeDocument/2006/relationships/hyperlink" Target="https://unhabitat.org/sdg-11-global-report-2026-housing-at-the-centre-of-sustainable-cities-and-communities" TargetMode="External"/><Relationship Id="rIdgw_bl6hdpx3ozq34cn4zy" Type="http://schemas.openxmlformats.org/officeDocument/2006/relationships/hyperlink" Target="https://www.tewhatuora.govt.nz/health-services-and-programmes/vaccine-information/vaccine-service-delivery/cold-chain-standards-for-vaccines/" TargetMode="External"/><Relationship Id="rIddluv_ufevgxv0nqldpnef"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1gm2zbb3vn1xcvh5-0hrm" Type="http://schemas.openxmlformats.org/officeDocument/2006/relationships/hyperlink" Target="https://immune.org.nz/vaccines/cold-chain" TargetMode="External"/><Relationship Id="rIdvzrsko2jvd-ip7-i4llv6" Type="http://schemas.openxmlformats.org/officeDocument/2006/relationships/hyperlink" Target="https://www.nexleaf.org/work/vaccines/" TargetMode="External"/><Relationship Id="rIdsul5dg6ex7b91xop_migl" Type="http://schemas.openxmlformats.org/officeDocument/2006/relationships/hyperlink" Target="https://www.nzfoodnetwork.org.nz/wp-content/uploads/2026/03/NZFN-Hunger-Monitor-2025-Digital.pdf" TargetMode="External"/><Relationship Id="rId1ysl1uvr8ig6lvrb-layu" Type="http://schemas.openxmlformats.org/officeDocument/2006/relationships/hyperlink" Target="https://www.nzfoodnetwork.org.nz/our-impact/" TargetMode="External"/><Relationship Id="rId44olvwkugby9j-ebxogv8" Type="http://schemas.openxmlformats.org/officeDocument/2006/relationships/hyperlink" Target="https://www.nzfoodnetwork.org.nz/food-rescue-partnership-nz-food-network-lineage-grant/" TargetMode="External"/><Relationship Id="rIditauzmdfu4wrabng4k1bd" Type="http://schemas.openxmlformats.org/officeDocument/2006/relationships/hyperlink" Target="https://www.rabobank.co.nz/community/food-waste" TargetMode="External"/><Relationship Id="rIdk0vytjnpjx_gnqlusnor0" Type="http://schemas.openxmlformats.org/officeDocument/2006/relationships/hyperlink" Target="https://www.pmcsa.ac.nz/topics/food-rescue-food-waste/" TargetMode="External"/><Relationship Id="rIdnh_ccubeqop-quo33njyn" Type="http://schemas.openxmlformats.org/officeDocument/2006/relationships/hyperlink" Target="https://www.disabilitysupport.govt.nz/disabled-people/improvements-to-disability-support-services/february-2026-fact-sheet" TargetMode="External"/><Relationship Id="rIdxqzpcsg0fkn_bxjjmmy7j" Type="http://schemas.openxmlformats.org/officeDocument/2006/relationships/hyperlink" Target="https://www.whaikaha.govt.nz/assets/NZDS-26-30-Documents/NZDS-2026-2030.pdf" TargetMode="External"/><Relationship Id="rId1sksnsntpkoasfwfevkej" Type="http://schemas.openxmlformats.org/officeDocument/2006/relationships/hyperlink" Target="https://www.ccsdisabilityaction.org.nz/news/budget-2026-statement" TargetMode="External"/><Relationship Id="rIdeivcybiych58xb9rtyzj6" Type="http://schemas.openxmlformats.org/officeDocument/2006/relationships/hyperlink" Target="https://blindlowvision.org.nz/news/submission-on-the-disability-support-services-bill-2026/" TargetMode="External"/><Relationship Id="rIdmtvzxib8647b9y8urjtjn" Type="http://schemas.openxmlformats.org/officeDocument/2006/relationships/hyperlink" Target="https://techcollect.nz/e-waste-product-stewardship-new-zealand/" TargetMode="External"/><Relationship Id="rIdym7wd98x_05eu7eoygdq7" Type="http://schemas.openxmlformats.org/officeDocument/2006/relationships/hyperlink" Target="https://en.wikipedia.org/wiki/Electronic_waste_in_New_Zealand" TargetMode="External"/><Relationship Id="rIdigneofk5rbwnoin3hbtwb" Type="http://schemas.openxmlformats.org/officeDocument/2006/relationships/hyperlink" Target="https://data.govt.nz/catalogue-guide/using-data-govt-nz-apis" TargetMode="External"/><Relationship Id="rIdyn2arygxtw2ea6yva9svh" Type="http://schemas.openxmlformats.org/officeDocument/2006/relationships/hyperlink" Target="https://www.mbie.govt.nz/assets/new-zealands-strategy-for-artificial-intelligence.pdf" TargetMode="External"/><Relationship Id="rIdikfmxfpsucnvw-otnffh2" Type="http://schemas.openxmlformats.org/officeDocument/2006/relationships/hyperlink" Target="https://www.hdc.org.nz/your-rights/about-the-code/code-of-health-and-disability-services-consumers-rights/" TargetMode="External"/><Relationship Id="rIdx1hpldmliznn1a1rd6cjn" Type="http://schemas.openxmlformats.org/officeDocument/2006/relationships/hyperlink" Target="https://www.hdc.org.nz/media/550hs5ih/code-of-rights_online_5-sept-2022.pdf" TargetMode="External"/><Relationship Id="rIdm9sjqg1c7i1avjrbl-s_z" Type="http://schemas.openxmlformats.org/officeDocument/2006/relationships/hyperlink" Target="https://www.hqsc.govt.nz/assets/Consumer-hub/Partners-in-Care/Publications-resources/health-literacy-background-info-Sep-2013.pdf" TargetMode="External"/><Relationship Id="rIdbqmtbfc2mhyoyz1fcchww" Type="http://schemas.openxmlformats.org/officeDocument/2006/relationships/hyperlink" Target="https://ojs.aut.ac.nz/pacific-health/article/view/4" TargetMode="External"/><Relationship Id="rIdatavmuva8xlnkidy4lw8e" Type="http://schemas.openxmlformats.org/officeDocument/2006/relationships/hyperlink" Target="https://anaesthesia.nz/news/health-literacy-in-aotearoa-new-zealand-remains-a-critical-challenge/" TargetMode="External"/><Relationship Id="rId7q2-mfle2efv-q6hvqefa" Type="http://schemas.openxmlformats.org/officeDocument/2006/relationships/hyperlink" Target="https://www.medrxiv.org/content/10.1101/2025.07.04.25330804.full.pdf" TargetMode="External"/><Relationship Id="rId3zxomo7s0ikpegurplsxe" Type="http://schemas.openxmlformats.org/officeDocument/2006/relationships/hyperlink" Target="https://clinicaltrials.gov/study/NCT06711458" TargetMode="External"/><Relationship Id="rId1tkwm5gv47gikhfrxnoub" Type="http://schemas.openxmlformats.org/officeDocument/2006/relationships/hyperlink" Target="https://www.epic.com/software/emmie/" TargetMode="External"/><Relationship Id="rIdv-leikxmf-hdpcabiwk5g" Type="http://schemas.openxmlformats.org/officeDocument/2006/relationships/hyperlink" Target="https://www.health.govt.nz/statistics-research/system-monitoring/planning-and-performance-data/acute-readmissions-to-hospitals" TargetMode="External"/><Relationship Id="rId_xjfx59mpwoxmxvkefohg" Type="http://schemas.openxmlformats.org/officeDocument/2006/relationships/hyperlink" Target="https://www.sigmabrowser.com/blog/browser-with-on-device-ai-best-local-ai-browsers-in-2026" TargetMode="External"/><Relationship Id="rId0pz0he4oj6ylf6zlft2d2" Type="http://schemas.openxmlformats.org/officeDocument/2006/relationships/hyperlink" Target="https://localaimaster.com/blog/run-llm-in-browser" TargetMode="External"/><Relationship Id="rId2s_ilp3w8vkkfbvasvemr" Type="http://schemas.openxmlformats.org/officeDocument/2006/relationships/hyperlink" Target="https://arxiv.org/html/2412.15803v2" TargetMode="External"/><Relationship Id="rIdjnnj_artnbupyr6jzsf8d" Type="http://schemas.openxmlformats.org/officeDocument/2006/relationships/hyperlink" Target="https://www.temanararaunga.maori.nz/" TargetMode="External"/><Relationship Id="rIdfl1d4rhm0ly95tlk0xk2s" Type="http://schemas.openxmlformats.org/officeDocument/2006/relationships/hyperlink" Target="https://www.otago.ac.nz/__data/assets/pdf_file/0014/321044/tmr-maori-data-sovereignty-principles-october-2018-832194.pdf" TargetMode="External"/><Relationship Id="rIdedxv4lrlif7rwdulhmmuo" Type="http://schemas.openxmlformats.org/officeDocument/2006/relationships/hyperlink" Target="https://www.rnz.co.nz/news/te-manu-korihi/596199/maori-owned-data-storage-network-hailed-as-significant-step-towards-data-sovereignty" TargetMode="External"/><Relationship Id="rIdt0chgubxxeiy-moawxn72" Type="http://schemas.openxmlformats.org/officeDocument/2006/relationships/hyperlink" Target="https://about.gitlab.com/blog/gitlab-ai-hackathon-2026-meet-the-winners/" TargetMode="External"/><Relationship Id="rId45"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2026-08-06T01:57:49.108Z</dcterms:created>
  <dcterms:modified xsi:type="dcterms:W3CDTF">2026-08-06T01:57:49.109Z</dcterms:modified>
</cp:coreProperties>
</file>

<file path=docProps/custom.xml><?xml version="1.0" encoding="utf-8"?>
<Properties xmlns="http://schemas.openxmlformats.org/officeDocument/2006/custom-properties" xmlns:vt="http://schemas.openxmlformats.org/officeDocument/2006/docPropsVTypes"/>
</file>