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60" w:after="90" w:line="264" w:lineRule="auto"/>
        <w:rPr>
          <w:b/>
          <w:sz w:val="40"/>
          <w:szCs w:val="40"/>
        </w:rPr>
      </w:pPr>
      <w:r>
        <w:rPr>
          <w:b/>
          <w:sz w:val="40"/>
          <w:szCs w:val="40"/>
        </w:rPr>
        <w:t xml:space="preserve">Ground Truth — Approved Page Copy</w:t>
      </w:r>
    </w:p>
    <w:p>
      <w:pPr>
        <w:spacing w:before="260" w:after="90" w:line="264" w:lineRule="auto"/>
        <w:rPr>
          <w:b/>
          <w:sz w:val="32"/>
          <w:szCs w:val="32"/>
        </w:rPr>
      </w:pPr>
      <w:r>
        <w:rPr>
          <w:b/>
          <w:sz w:val="32"/>
          <w:szCs w:val="32"/>
        </w:rPr>
        <w:t xml:space="preserve">2026 CT5-V vs. 2026 CT5-V Blackwing Comparison</w:t>
      </w:r>
    </w:p>
    <w:p>
      <w:pPr>
        <w:spacing w:before="60" w:after="60" w:line="264" w:lineRule="auto"/>
        <w:rPr>
          <w:sz w:val="22"/>
          <w:szCs w:val="22"/>
        </w:rPr>
      </w:pPr>
      <w:r>
        <w:rPr>
          <w:b/>
          <w:sz w:val="22"/>
          <w:szCs w:val="22"/>
        </w:rPr>
        <w:t xml:space="preserve">Page URL:</w:t>
      </w:r>
      <w:r>
        <w:rPr>
          <w:sz w:val="22"/>
          <w:szCs w:val="22"/>
        </w:rPr>
        <w:t xml:space="preserve"> https://www.crestmontcadillac.com/ct5v-vs-ct5v-blackwing-comparison/</w:t>
      </w:r>
    </w:p>
    <w:p>
      <w:pPr>
        <w:spacing w:before="60" w:after="60" w:line="264" w:lineRule="auto"/>
        <w:rPr>
          <w:sz w:val="22"/>
          <w:szCs w:val="22"/>
        </w:rPr>
      </w:pPr>
      <w:r>
        <w:rPr>
          <w:b/>
          <w:sz w:val="22"/>
          <w:szCs w:val="22"/>
        </w:rPr>
        <w:t xml:space="preserve">Captured:</w:t>
      </w:r>
      <w:r>
        <w:rPr>
          <w:sz w:val="22"/>
          <w:szCs w:val="22"/>
        </w:rPr>
        <w:t xml:space="preserve"> 2026-09-20</w:t>
      </w:r>
    </w:p>
    <w:p>
      <w:pPr>
        <w:spacing w:before="60" w:after="60" w:line="264" w:lineRule="auto"/>
        <w:rPr>
          <w:sz w:val="22"/>
          <w:szCs w:val="22"/>
        </w:rPr>
      </w:pPr>
      <w:r>
        <w:rPr>
          <w:b/>
          <w:sz w:val="22"/>
          <w:szCs w:val="22"/>
        </w:rPr>
        <w:t xml:space="preserve">Owner:</w:t>
      </w:r>
      <w:r>
        <w:rPr>
          <w:sz w:val="22"/>
          <w:szCs w:val="22"/>
        </w:rPr>
        <w:t xml:space="preserve"> Product Marketing</w:t>
      </w:r>
    </w:p>
    <w:p>
      <w:pPr>
        <w:spacing w:before="60" w:after="60" w:line="264" w:lineRule="auto"/>
        <w:rPr>
          <w:sz w:val="22"/>
          <w:szCs w:val="22"/>
        </w:rPr>
      </w:pPr>
      <w:r>
        <w:rPr>
          <w:b/>
          <w:sz w:val="22"/>
          <w:szCs w:val="22"/>
        </w:rPr>
        <w:t xml:space="preserve">Status:</w:t>
      </w:r>
      <w:r>
        <w:rPr>
          <w:sz w:val="22"/>
          <w:szCs w:val="22"/>
        </w:rPr>
        <w:t xml:space="preserve"> Draft</w:t>
      </w:r>
    </w:p>
    <w:p>
      <w:pPr>
        <w:spacing w:before="60" w:after="60" w:line="264" w:lineRule="auto"/>
        <w:rPr>
          <w:sz w:val="22"/>
          <w:szCs w:val="22"/>
        </w:rPr>
      </w:pPr>
      <w:r>
        <w:rPr>
          <w:b/>
          <w:sz w:val="22"/>
          <w:szCs w:val="22"/>
        </w:rPr>
        <w:t xml:space="preserve">Scope:</w:t>
      </w:r>
      <w:r>
        <w:rPr>
          <w:sz w:val="22"/>
          <w:szCs w:val="22"/>
        </w:rPr>
        <w:t xml:space="preserve"> Approved </w:t>
      </w:r>
      <w:r>
        <w:rPr>
          <w:b/>
          <w:sz w:val="22"/>
          <w:szCs w:val="22"/>
        </w:rPr>
        <w:t xml:space="preserve">copy only</w:t>
      </w:r>
      <w:r>
        <w:rPr>
          <w:sz w:val="22"/>
          <w:szCs w:val="22"/>
        </w:rPr>
        <w:t xml:space="preserve"> — headings, body copy, specification values, option and</w:t>
      </w:r>
    </w:p>
    <w:p>
      <w:pPr>
        <w:spacing w:before="60" w:after="60" w:line="264" w:lineRule="auto"/>
        <w:rPr>
          <w:sz w:val="22"/>
          <w:szCs w:val="22"/>
        </w:rPr>
      </w:pPr>
      <w:r>
        <w:rPr>
          <w:sz w:val="22"/>
          <w:szCs w:val="22"/>
        </w:rPr>
        <w:t xml:space="preserve">package claims, CTA labels and disclaimers within the main content column.</w:t>
      </w:r>
    </w:p>
    <w:p>
      <w:pPr>
        <w:spacing w:before="60" w:after="60" w:line="264" w:lineRule="auto"/>
        <w:rPr>
          <w:sz w:val="22"/>
          <w:szCs w:val="22"/>
        </w:rPr>
      </w:pPr>
      <w:r>
        <w:rPr>
          <w:b/>
          <w:sz w:val="22"/>
          <w:szCs w:val="22"/>
        </w:rPr>
        <w:t xml:space="preserve">Out of scope:</w:t>
      </w:r>
      <w:r>
        <w:rPr>
          <w:sz w:val="22"/>
          <w:szCs w:val="22"/>
        </w:rPr>
        <w:t xml:space="preserve"> Global navigation, dealership contact details, footer link lists, social</w:t>
      </w:r>
    </w:p>
    <w:p>
      <w:pPr>
        <w:spacing w:before="60" w:after="60" w:line="264" w:lineRule="auto"/>
        <w:rPr>
          <w:sz w:val="22"/>
          <w:szCs w:val="22"/>
        </w:rPr>
      </w:pPr>
      <w:r>
        <w:rPr>
          <w:sz w:val="22"/>
          <w:szCs w:val="22"/>
        </w:rPr>
        <w:t xml:space="preserve">icons, site-vendor credits, images, layout, page elements and animations.</w:t>
      </w:r>
    </w:p>
    <w:p>
      <w:pPr>
        <w:spacing w:before="60" w:after="60" w:line="264" w:lineRule="auto"/>
        <w:rPr>
          <w:sz w:val="22"/>
          <w:szCs w:val="22"/>
        </w:rPr>
      </w:pPr>
      <w:r>
        <w:rPr>
          <w:sz w:val="22"/>
          <w:szCs w:val="22"/>
        </w:rPr>
        <w:t xml:space="preserve">Copy shown in a boxed quote must match </w:t>
      </w:r>
      <w:r>
        <w:rPr>
          <w:b/>
          <w:sz w:val="22"/>
          <w:szCs w:val="22"/>
        </w:rPr>
        <w:t xml:space="preserve">character for character</w:t>
      </w:r>
      <w:r>
        <w:rPr>
          <w:sz w:val="22"/>
          <w:szCs w:val="22"/>
        </w:rPr>
        <w:t xml:space="preserve">, including</w:t>
      </w:r>
    </w:p>
    <w:p>
      <w:pPr>
        <w:spacing w:before="60" w:after="60" w:line="264" w:lineRule="auto"/>
        <w:rPr>
          <w:sz w:val="22"/>
          <w:szCs w:val="22"/>
        </w:rPr>
      </w:pPr>
      <w:r>
        <w:rPr>
          <w:sz w:val="22"/>
          <w:szCs w:val="22"/>
        </w:rPr>
        <w:t xml:space="preserve">capitalization, punctuation, hyphenation and units. Anything outside a boxed quote is</w:t>
      </w:r>
    </w:p>
    <w:p>
      <w:pPr>
        <w:spacing w:before="60" w:after="60" w:line="264" w:lineRule="auto"/>
        <w:rPr>
          <w:sz w:val="22"/>
          <w:szCs w:val="22"/>
        </w:rPr>
      </w:pPr>
      <w:r>
        <w:rPr>
          <w:sz w:val="22"/>
          <w:szCs w:val="22"/>
        </w:rPr>
        <w:t xml:space="preserve">guidance, not approved copy.</w:t>
      </w:r>
    </w:p>
    <w:p>
      <w:pPr>
        <w:pBdr>
          <w:bottom w:val="single" w:sz="6" w:space="6" w:color="C8C8C8"/>
        </w:pBdr>
        <w:spacing w:before="80" w:after="80"/>
      </w:pPr>
      <w:r>
        <w:t/>
      </w:r>
    </w:p>
    <w:p>
      <w:pPr>
        <w:spacing w:before="260" w:after="90" w:line="264" w:lineRule="auto"/>
        <w:rPr>
          <w:b/>
          <w:sz w:val="32"/>
          <w:szCs w:val="32"/>
        </w:rPr>
      </w:pPr>
      <w:r>
        <w:rPr>
          <w:b/>
          <w:sz w:val="32"/>
          <w:szCs w:val="32"/>
        </w:rPr>
        <w:t xml:space="preserve">Page Identity</w:t>
      </w:r>
    </w:p>
    <w:p>
      <w:pPr>
        <w:spacing w:before="60" w:after="60" w:line="264" w:lineRule="auto"/>
        <w:rPr>
          <w:sz w:val="22"/>
          <w:szCs w:val="22"/>
        </w:rPr>
      </w:pPr>
      <w:r>
        <w:rPr>
          <w:b/>
          <w:sz w:val="22"/>
          <w:szCs w:val="22"/>
        </w:rPr>
        <w:t xml:space="preserve">Browser tab title (SEO title)</w:t>
      </w:r>
    </w:p>
    <w:p>
      <w:pPr>
        <w:shd w:val="clear" w:fill="F2F2F2"/>
        <w:pBdr>
          <w:left w:val="single" w:sz="24" w:space="8" w:color="1A1A1A"/>
        </w:pBdr>
        <w:ind w:left="180"/>
        <w:spacing w:before="60" w:after="60" w:line="264" w:lineRule="auto"/>
        <w:rPr>
          <w:rFonts w:ascii="Georgia" w:hAnsi="Georgia"/>
          <w:sz w:val="22"/>
          <w:szCs w:val="22"/>
        </w:rPr>
      </w:pPr>
      <w:r>
        <w:rPr>
          <w:rFonts w:ascii="Georgia" w:hAnsi="Georgia"/>
          <w:sz w:val="22"/>
          <w:szCs w:val="22"/>
        </w:rPr>
        <w:t xml:space="preserve">2026 CT5-V vs. 2025 CT5-V Blackwing Comparison | Crestmont Cadillac</w:t>
      </w:r>
    </w:p>
    <w:p>
      <w:pPr>
        <w:spacing w:before="60" w:after="60" w:line="264" w:lineRule="auto"/>
        <w:rPr>
          <w:sz w:val="22"/>
          <w:szCs w:val="22"/>
        </w:rPr>
      </w:pPr>
      <w:r>
        <w:rPr>
          <w:b/>
          <w:sz w:val="22"/>
          <w:szCs w:val="22"/>
        </w:rPr>
        <w:t xml:space="preserve">Page headline (H1)</w:t>
      </w:r>
    </w:p>
    <w:p>
      <w:pPr>
        <w:shd w:val="clear" w:fill="F2F2F2"/>
        <w:pBdr>
          <w:left w:val="single" w:sz="24" w:space="8" w:color="1A1A1A"/>
        </w:pBdr>
        <w:ind w:left="180"/>
        <w:spacing w:before="60" w:after="60" w:line="264" w:lineRule="auto"/>
        <w:rPr>
          <w:rFonts w:ascii="Georgia" w:hAnsi="Georgia"/>
          <w:sz w:val="22"/>
          <w:szCs w:val="22"/>
        </w:rPr>
      </w:pPr>
      <w:r>
        <w:rPr>
          <w:rFonts w:ascii="Georgia" w:hAnsi="Georgia"/>
          <w:sz w:val="22"/>
          <w:szCs w:val="22"/>
        </w:rPr>
        <w:t xml:space="preserve">2026 CT5-V vs. 2026 CT5-V Blackwing Comparison</w:t>
      </w:r>
    </w:p>
    <w:p>
      <w:pPr>
        <w:spacing w:before="60" w:after="60" w:line="264" w:lineRule="auto"/>
        <w:rPr>
          <w:sz w:val="22"/>
          <w:szCs w:val="22"/>
        </w:rPr>
      </w:pPr>
      <w:r>
        <w:rPr>
          <w:b/>
          <w:sz w:val="22"/>
          <w:szCs w:val="22"/>
        </w:rPr>
        <w:t xml:space="preserve">Breadcrumb trail</w:t>
      </w:r>
    </w:p>
    <w:p>
      <w:pPr>
        <w:shd w:val="clear" w:fill="F2F2F2"/>
        <w:pBdr>
          <w:left w:val="single" w:sz="24" w:space="8" w:color="1A1A1A"/>
        </w:pBdr>
        <w:ind w:left="180"/>
        <w:spacing w:before="60" w:after="60" w:line="264" w:lineRule="auto"/>
        <w:rPr>
          <w:rFonts w:ascii="Georgia" w:hAnsi="Georgia"/>
          <w:sz w:val="22"/>
          <w:szCs w:val="22"/>
        </w:rPr>
      </w:pPr>
      <w:r>
        <w:rPr>
          <w:rFonts w:ascii="Georgia" w:hAnsi="Georgia"/>
          <w:sz w:val="22"/>
          <w:szCs w:val="22"/>
        </w:rPr>
        <w:t xml:space="preserve">Home » 2026 CT5-V vs. 2026 CT5-V Blackwing Comparison</w:t>
      </w:r>
    </w:p>
    <w:p>
      <w:pPr>
        <w:pBdr>
          <w:bottom w:val="single" w:sz="6" w:space="6" w:color="C8C8C8"/>
        </w:pBdr>
        <w:spacing w:before="80" w:after="80"/>
      </w:pPr>
      <w:r>
        <w:t/>
      </w:r>
    </w:p>
    <w:p>
      <w:pPr>
        <w:spacing w:before="260" w:after="90" w:line="264" w:lineRule="auto"/>
        <w:rPr>
          <w:b/>
          <w:sz w:val="32"/>
          <w:szCs w:val="32"/>
        </w:rPr>
      </w:pPr>
      <w:r>
        <w:rPr>
          <w:b/>
          <w:sz w:val="32"/>
          <w:szCs w:val="32"/>
        </w:rPr>
        <w:t xml:space="preserve">Introduction</w:t>
      </w:r>
    </w:p>
    <w:p>
      <w:pPr>
        <w:spacing w:before="60" w:after="60" w:line="264" w:lineRule="auto"/>
        <w:rPr>
          <w:sz w:val="22"/>
          <w:szCs w:val="22"/>
        </w:rPr>
      </w:pPr>
      <w:r>
        <w:rPr>
          <w:b/>
          <w:sz w:val="22"/>
          <w:szCs w:val="22"/>
        </w:rPr>
        <w:t xml:space="preserve">Opening description paragraph</w:t>
      </w:r>
    </w:p>
    <w:p>
      <w:pPr>
        <w:shd w:val="clear" w:fill="F2F2F2"/>
        <w:pBdr>
          <w:left w:val="single" w:sz="24" w:space="8" w:color="1A1A1A"/>
        </w:pBdr>
        <w:ind w:left="180"/>
        <w:spacing w:before="60" w:after="60" w:line="264" w:lineRule="auto"/>
        <w:rPr>
          <w:rFonts w:ascii="Georgia" w:hAnsi="Georgia"/>
          <w:sz w:val="22"/>
          <w:szCs w:val="22"/>
        </w:rPr>
      </w:pPr>
      <w:r>
        <w:rPr>
          <w:rFonts w:ascii="Georgia" w:hAnsi="Georgia"/>
          <w:sz w:val="22"/>
          <w:szCs w:val="22"/>
        </w:rPr>
        <w:t xml:space="preserve">Born and bred on the track, nearly two decades of relentless engineering and pushing the boundaries of performance have gone into perfecting the dynamic range of Cadillac V-Series vehicles. Razor-sharp handling, prestigious design, and muscular performance are just three signature hallmarks of the V-Series model range. To showcase the unique attributes of these pulse-pounding performance variants, our team at Crestmont Cadillac has created this head-to-head comparison between the dynamic CT5-V and the CT5-V Blackwing. You’ll learn all about their key advantages and performance specs so you can decide which is the better choice for your preferences.</w:t>
      </w:r>
    </w:p>
    <w:p>
      <w:pPr>
        <w:pBdr>
          <w:bottom w:val="single" w:sz="6" w:space="6" w:color="C8C8C8"/>
        </w:pBdr>
        <w:spacing w:before="80" w:after="80"/>
      </w:pPr>
      <w:r>
        <w:t/>
      </w:r>
    </w:p>
    <w:p>
      <w:pPr>
        <w:spacing w:before="260" w:after="90" w:line="264" w:lineRule="auto"/>
        <w:rPr>
          <w:b/>
          <w:sz w:val="32"/>
          <w:szCs w:val="32"/>
        </w:rPr>
      </w:pPr>
      <w:r>
        <w:rPr>
          <w:b/>
          <w:sz w:val="32"/>
          <w:szCs w:val="32"/>
        </w:rPr>
        <w:t xml:space="preserve">Call-to-Action Labels</w:t>
      </w:r>
    </w:p>
    <w:p>
      <w:pPr>
        <w:spacing w:before="60" w:after="60" w:line="264" w:lineRule="auto"/>
        <w:rPr>
          <w:sz w:val="22"/>
          <w:szCs w:val="22"/>
        </w:rPr>
      </w:pPr>
      <w:r>
        <w:rPr>
          <w:b/>
          <w:sz w:val="22"/>
          <w:szCs w:val="22"/>
        </w:rPr>
        <w:t xml:space="preserve">Primary CTA label</w:t>
      </w:r>
    </w:p>
    <w:p>
      <w:pPr>
        <w:shd w:val="clear" w:fill="F2F2F2"/>
        <w:pBdr>
          <w:left w:val="single" w:sz="24" w:space="8" w:color="1A1A1A"/>
        </w:pBdr>
        <w:ind w:left="180"/>
        <w:spacing w:before="60" w:after="60" w:line="264" w:lineRule="auto"/>
        <w:rPr>
          <w:rFonts w:ascii="Georgia" w:hAnsi="Georgia"/>
          <w:sz w:val="22"/>
          <w:szCs w:val="22"/>
        </w:rPr>
      </w:pPr>
      <w:r>
        <w:rPr>
          <w:rFonts w:ascii="Georgia" w:hAnsi="Georgia"/>
          <w:sz w:val="22"/>
          <w:szCs w:val="22"/>
        </w:rPr>
        <w:t xml:space="preserve">New CT5-V Inventory</w:t>
      </w:r>
    </w:p>
    <w:p>
      <w:pPr>
        <w:spacing w:before="60" w:after="60" w:line="264" w:lineRule="auto"/>
        <w:rPr>
          <w:sz w:val="22"/>
          <w:szCs w:val="22"/>
        </w:rPr>
      </w:pPr>
      <w:r>
        <w:rPr>
          <w:b/>
          <w:sz w:val="22"/>
          <w:szCs w:val="22"/>
        </w:rPr>
        <w:t xml:space="preserve">Secondary CTA label</w:t>
      </w:r>
    </w:p>
    <w:p>
      <w:pPr>
        <w:shd w:val="clear" w:fill="F2F2F2"/>
        <w:pBdr>
          <w:left w:val="single" w:sz="24" w:space="8" w:color="1A1A1A"/>
        </w:pBdr>
        <w:ind w:left="180"/>
        <w:spacing w:before="60" w:after="60" w:line="264" w:lineRule="auto"/>
        <w:rPr>
          <w:rFonts w:ascii="Georgia" w:hAnsi="Georgia"/>
          <w:sz w:val="22"/>
          <w:szCs w:val="22"/>
        </w:rPr>
      </w:pPr>
      <w:r>
        <w:rPr>
          <w:rFonts w:ascii="Georgia" w:hAnsi="Georgia"/>
          <w:sz w:val="22"/>
          <w:szCs w:val="22"/>
        </w:rPr>
        <w:t xml:space="preserve">View Specials</w:t>
      </w:r>
    </w:p>
    <w:p>
      <w:pPr>
        <w:pBdr>
          <w:bottom w:val="single" w:sz="6" w:space="6" w:color="C8C8C8"/>
        </w:pBdr>
        <w:spacing w:before="80" w:after="80"/>
      </w:pPr>
      <w:r>
        <w:t/>
      </w:r>
    </w:p>
    <w:p>
      <w:pPr>
        <w:spacing w:before="260" w:after="90" w:line="264" w:lineRule="auto"/>
        <w:rPr>
          <w:b/>
          <w:sz w:val="32"/>
          <w:szCs w:val="32"/>
        </w:rPr>
      </w:pPr>
      <w:r>
        <w:rPr>
          <w:b/>
          <w:sz w:val="32"/>
          <w:szCs w:val="32"/>
        </w:rPr>
        <w:t xml:space="preserve">Vehicle Details — Performance Specifications</w:t>
      </w:r>
    </w:p>
    <w:p>
      <w:pPr>
        <w:spacing w:before="60" w:after="60" w:line="264" w:lineRule="auto"/>
        <w:rPr>
          <w:sz w:val="22"/>
          <w:szCs w:val="22"/>
        </w:rPr>
      </w:pPr>
      <w:r>
        <w:rPr>
          <w:b/>
          <w:sz w:val="22"/>
          <w:szCs w:val="22"/>
        </w:rPr>
        <w:t xml:space="preserve">Section heading</w:t>
      </w:r>
    </w:p>
    <w:p>
      <w:pPr>
        <w:shd w:val="clear" w:fill="F2F2F2"/>
        <w:pBdr>
          <w:left w:val="single" w:sz="24" w:space="8" w:color="1A1A1A"/>
        </w:pBdr>
        <w:ind w:left="180"/>
        <w:spacing w:before="60" w:after="60" w:line="264" w:lineRule="auto"/>
        <w:rPr>
          <w:rFonts w:ascii="Georgia" w:hAnsi="Georgia"/>
          <w:sz w:val="22"/>
          <w:szCs w:val="22"/>
        </w:rPr>
      </w:pPr>
      <w:r>
        <w:rPr>
          <w:rFonts w:ascii="Georgia" w:hAnsi="Georgia"/>
          <w:sz w:val="22"/>
          <w:szCs w:val="22"/>
        </w:rPr>
        <w:t xml:space="preserve">CT5-V vs CT5-V Blackwing – Performance Specifications</w:t>
      </w:r>
    </w:p>
    <w:p>
      <w:pPr>
        <w:spacing w:before="60" w:after="60" w:line="264" w:lineRule="auto"/>
        <w:rPr>
          <w:sz w:val="22"/>
          <w:szCs w:val="22"/>
        </w:rPr>
      </w:pPr>
      <w:r>
        <w:rPr>
          <w:b/>
          <w:sz w:val="22"/>
          <w:szCs w:val="22"/>
        </w:rPr>
        <w:t xml:space="preserve">Comparison table column headers</w:t>
      </w:r>
    </w:p>
    <w:p>
      <w:pPr>
        <w:spacing w:before="60" w:after="60" w:line="264" w:lineRule="auto"/>
        <w:rPr>
          <w:sz w:val="22"/>
          <w:szCs w:val="22"/>
        </w:rPr>
      </w:pPr>
      <w:r>
        <w:rPr>
          <w:sz w:val="22"/>
          <w:szCs w:val="22"/>
        </w:rPr>
        <w:t xml:space="preserve">Left column header, center divider, right column header:</w:t>
      </w:r>
    </w:p>
    <w:p>
      <w:pPr>
        <w:shd w:val="clear" w:fill="F2F2F2"/>
        <w:pBdr>
          <w:left w:val="single" w:sz="24" w:space="8" w:color="1A1A1A"/>
        </w:pBdr>
        <w:ind w:left="180"/>
        <w:spacing w:before="60" w:after="60" w:line="264" w:lineRule="auto"/>
        <w:rPr>
          <w:rFonts w:ascii="Georgia" w:hAnsi="Georgia"/>
          <w:sz w:val="22"/>
          <w:szCs w:val="22"/>
        </w:rPr>
      </w:pPr>
      <w:r>
        <w:rPr>
          <w:rFonts w:ascii="Georgia" w:hAnsi="Georgia"/>
          <w:sz w:val="22"/>
          <w:szCs w:val="22"/>
        </w:rPr>
        <w:t xml:space="preserve">2026 CT5-V   |   VS   |   2026 CT5-V Blackwing</w:t>
      </w:r>
    </w:p>
    <w:p>
      <w:pPr>
        <w:spacing w:before="60" w:after="60" w:line="264" w:lineRule="auto"/>
        <w:rPr>
          <w:sz w:val="22"/>
          <w:szCs w:val="22"/>
        </w:rPr>
      </w:pPr>
      <w:r>
        <w:rPr>
          <w:b/>
          <w:sz w:val="22"/>
          <w:szCs w:val="22"/>
        </w:rPr>
        <w:t xml:space="preserve">Specification rows</w:t>
      </w:r>
    </w:p>
    <w:p>
      <w:pPr>
        <w:spacing w:before="60" w:after="60" w:line="264" w:lineRule="auto"/>
        <w:rPr>
          <w:sz w:val="22"/>
          <w:szCs w:val="22"/>
        </w:rPr>
      </w:pPr>
      <w:r>
        <w:rPr>
          <w:sz w:val="22"/>
          <w:szCs w:val="22"/>
        </w:rPr>
        <w:t xml:space="preserve">The page presents each row as: </w:t>
      </w:r>
      <w:r>
        <w:rPr>
          <w:i/>
          <w:sz w:val="22"/>
          <w:szCs w:val="22"/>
        </w:rPr>
        <w:t xml:space="preserve">CT5-V value — row label — Blackwing value.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120"/>
        <w:gridCol w:w="3120"/>
        <w:gridCol w:w="3120"/>
      </w:tblGrid>
      <w:tr>
        <w:trPr>
          <w:tblHeader/>
        </w:trPr>
        <w:tc>
          <w:tcPr>
            <w:tcW w:w="3120" w:type="dxa"/>
            <w:shd w:val="clear" w:fill="1A1A1A"/>
            <w:tcMar>
              <w:top w:w="60" w:type="dxa"/>
              <w:bottom w:w="60" w:type="dxa"/>
              <w:left w:w="90" w:type="dxa"/>
              <w:right w:w="90" w:type="dxa"/>
            </w:tcMar>
            <w:vAlign w:val="center"/>
          </w:tcPr>
          <w:p>
            <w:pPr>
              <w:spacing w:before="30" w:after="30" w:line="264" w:lineRule="auto"/>
              <w:rPr>
                <w:b/>
                <w:color w:val="FFFFFF"/>
                <w:sz w:val="19"/>
                <w:szCs w:val="19"/>
              </w:rPr>
            </w:pPr>
            <w:r>
              <w:rPr>
                <w:b/>
                <w:color w:val="FFFFFF"/>
                <w:sz w:val="19"/>
                <w:szCs w:val="19"/>
              </w:rPr>
              <w:t xml:space="preserve">2026 CT5-V</w:t>
            </w:r>
          </w:p>
        </w:tc>
        <w:tc>
          <w:tcPr>
            <w:tcW w:w="3120" w:type="dxa"/>
            <w:shd w:val="clear" w:fill="1A1A1A"/>
            <w:tcMar>
              <w:top w:w="60" w:type="dxa"/>
              <w:bottom w:w="60" w:type="dxa"/>
              <w:left w:w="90" w:type="dxa"/>
              <w:right w:w="90" w:type="dxa"/>
            </w:tcMar>
            <w:vAlign w:val="center"/>
          </w:tcPr>
          <w:p>
            <w:pPr>
              <w:spacing w:before="30" w:after="30" w:line="264" w:lineRule="auto"/>
              <w:rPr>
                <w:b/>
                <w:color w:val="FFFFFF"/>
                <w:sz w:val="19"/>
                <w:szCs w:val="19"/>
              </w:rPr>
            </w:pPr>
            <w:r>
              <w:rPr>
                <w:b/>
                <w:color w:val="FFFFFF"/>
                <w:sz w:val="19"/>
                <w:szCs w:val="19"/>
              </w:rPr>
              <w:t xml:space="preserve">Spec label</w:t>
            </w:r>
          </w:p>
        </w:tc>
        <w:tc>
          <w:tcPr>
            <w:tcW w:w="3120" w:type="dxa"/>
            <w:shd w:val="clear" w:fill="1A1A1A"/>
            <w:tcMar>
              <w:top w:w="60" w:type="dxa"/>
              <w:bottom w:w="60" w:type="dxa"/>
              <w:left w:w="90" w:type="dxa"/>
              <w:right w:w="90" w:type="dxa"/>
            </w:tcMar>
            <w:vAlign w:val="center"/>
          </w:tcPr>
          <w:p>
            <w:pPr>
              <w:spacing w:before="30" w:after="30" w:line="264" w:lineRule="auto"/>
              <w:rPr>
                <w:b/>
                <w:color w:val="FFFFFF"/>
                <w:sz w:val="19"/>
                <w:szCs w:val="19"/>
              </w:rPr>
            </w:pPr>
            <w:r>
              <w:rPr>
                <w:b/>
                <w:color w:val="FFFFFF"/>
                <w:sz w:val="19"/>
                <w:szCs w:val="19"/>
              </w:rPr>
              <w:t xml:space="preserve">2026 CT5-V Blackwing</w:t>
            </w:r>
          </w:p>
        </w:tc>
      </w:tr>
      <w:tr>
        <w:tc>
          <w:tcPr>
            <w:tcW w:w="3120" w:type="dxa"/>
            <w:shd w:val="clear" w:fill="FFFFFF"/>
            <w:tcMar>
              <w:top w:w="60" w:type="dxa"/>
              <w:bottom w:w="60" w:type="dxa"/>
              <w:left w:w="90" w:type="dxa"/>
              <w:right w:w="90" w:type="dxa"/>
            </w:tcMar>
            <w:vAlign w:val="center"/>
          </w:tcPr>
          <w:p>
            <w:pPr>
              <w:spacing w:before="30" w:after="30" w:line="264" w:lineRule="auto"/>
              <w:rPr>
                <w:sz w:val="19"/>
                <w:szCs w:val="19"/>
              </w:rPr>
            </w:pPr>
            <w:r>
              <w:rPr>
                <w:sz w:val="19"/>
                <w:szCs w:val="19"/>
              </w:rPr>
              <w:t xml:space="preserve">$57,600</w:t>
            </w:r>
          </w:p>
        </w:tc>
        <w:tc>
          <w:tcPr>
            <w:tcW w:w="3120" w:type="dxa"/>
            <w:shd w:val="clear" w:fill="FFFFFF"/>
            <w:tcMar>
              <w:top w:w="60" w:type="dxa"/>
              <w:bottom w:w="60" w:type="dxa"/>
              <w:left w:w="90" w:type="dxa"/>
              <w:right w:w="90" w:type="dxa"/>
            </w:tcMar>
            <w:vAlign w:val="center"/>
          </w:tcPr>
          <w:p>
            <w:pPr>
              <w:spacing w:before="30" w:after="30" w:line="264" w:lineRule="auto"/>
              <w:rPr>
                <w:sz w:val="19"/>
                <w:szCs w:val="19"/>
              </w:rPr>
            </w:pPr>
            <w:r>
              <w:rPr>
                <w:sz w:val="19"/>
                <w:szCs w:val="19"/>
              </w:rPr>
              <w:t xml:space="preserve">Starting MSRP*</w:t>
            </w:r>
          </w:p>
        </w:tc>
        <w:tc>
          <w:tcPr>
            <w:tcW w:w="3120" w:type="dxa"/>
            <w:shd w:val="clear" w:fill="FFFFFF"/>
            <w:tcMar>
              <w:top w:w="60" w:type="dxa"/>
              <w:bottom w:w="60" w:type="dxa"/>
              <w:left w:w="90" w:type="dxa"/>
              <w:right w:w="90" w:type="dxa"/>
            </w:tcMar>
            <w:vAlign w:val="center"/>
          </w:tcPr>
          <w:p>
            <w:pPr>
              <w:spacing w:before="30" w:after="30" w:line="264" w:lineRule="auto"/>
              <w:rPr>
                <w:sz w:val="19"/>
                <w:szCs w:val="19"/>
              </w:rPr>
            </w:pPr>
            <w:r>
              <w:rPr>
                <w:sz w:val="19"/>
                <w:szCs w:val="19"/>
              </w:rPr>
              <w:t xml:space="preserve">$97,600</w:t>
            </w:r>
          </w:p>
        </w:tc>
      </w:tr>
      <w:tr>
        <w:tc>
          <w:tcPr>
            <w:tcW w:w="3120" w:type="dxa"/>
            <w:shd w:val="clear" w:fill="F7F7F7"/>
            <w:tcMar>
              <w:top w:w="60" w:type="dxa"/>
              <w:bottom w:w="60" w:type="dxa"/>
              <w:left w:w="90" w:type="dxa"/>
              <w:right w:w="90" w:type="dxa"/>
            </w:tcMar>
            <w:vAlign w:val="center"/>
          </w:tcPr>
          <w:p>
            <w:pPr>
              <w:spacing w:before="30" w:after="30" w:line="264" w:lineRule="auto"/>
              <w:rPr>
                <w:sz w:val="19"/>
                <w:szCs w:val="19"/>
              </w:rPr>
            </w:pPr>
            <w:r>
              <w:rPr>
                <w:sz w:val="19"/>
                <w:szCs w:val="19"/>
              </w:rPr>
              <w:t xml:space="preserve">3.0L Twin-Turbocharged High-Output V6</w:t>
            </w:r>
          </w:p>
        </w:tc>
        <w:tc>
          <w:tcPr>
            <w:tcW w:w="3120" w:type="dxa"/>
            <w:shd w:val="clear" w:fill="F7F7F7"/>
            <w:tcMar>
              <w:top w:w="60" w:type="dxa"/>
              <w:bottom w:w="60" w:type="dxa"/>
              <w:left w:w="90" w:type="dxa"/>
              <w:right w:w="90" w:type="dxa"/>
            </w:tcMar>
            <w:vAlign w:val="center"/>
          </w:tcPr>
          <w:p>
            <w:pPr>
              <w:spacing w:before="30" w:after="30" w:line="264" w:lineRule="auto"/>
              <w:rPr>
                <w:sz w:val="19"/>
                <w:szCs w:val="19"/>
              </w:rPr>
            </w:pPr>
            <w:r>
              <w:rPr>
                <w:sz w:val="19"/>
                <w:szCs w:val="19"/>
              </w:rPr>
              <w:t xml:space="preserve">Engine</w:t>
            </w:r>
          </w:p>
        </w:tc>
        <w:tc>
          <w:tcPr>
            <w:tcW w:w="3120" w:type="dxa"/>
            <w:shd w:val="clear" w:fill="F7F7F7"/>
            <w:tcMar>
              <w:top w:w="60" w:type="dxa"/>
              <w:bottom w:w="60" w:type="dxa"/>
              <w:left w:w="90" w:type="dxa"/>
              <w:right w:w="90" w:type="dxa"/>
            </w:tcMar>
            <w:vAlign w:val="center"/>
          </w:tcPr>
          <w:p>
            <w:pPr>
              <w:spacing w:before="30" w:after="30" w:line="264" w:lineRule="auto"/>
              <w:rPr>
                <w:sz w:val="19"/>
                <w:szCs w:val="19"/>
              </w:rPr>
            </w:pPr>
            <w:r>
              <w:rPr>
                <w:sz w:val="19"/>
                <w:szCs w:val="19"/>
              </w:rPr>
              <w:t xml:space="preserve">6.2L Supercharged V8</w:t>
            </w:r>
          </w:p>
        </w:tc>
      </w:tr>
      <w:tr>
        <w:tc>
          <w:tcPr>
            <w:tcW w:w="3120" w:type="dxa"/>
            <w:shd w:val="clear" w:fill="FFFFFF"/>
            <w:tcMar>
              <w:top w:w="60" w:type="dxa"/>
              <w:bottom w:w="60" w:type="dxa"/>
              <w:left w:w="90" w:type="dxa"/>
              <w:right w:w="90" w:type="dxa"/>
            </w:tcMar>
            <w:vAlign w:val="center"/>
          </w:tcPr>
          <w:p>
            <w:pPr>
              <w:spacing w:before="30" w:after="30" w:line="264" w:lineRule="auto"/>
              <w:rPr>
                <w:sz w:val="19"/>
                <w:szCs w:val="19"/>
              </w:rPr>
            </w:pPr>
            <w:r>
              <w:rPr>
                <w:sz w:val="19"/>
                <w:szCs w:val="19"/>
              </w:rPr>
              <w:t xml:space="preserve">10-speed automatic</w:t>
            </w:r>
          </w:p>
        </w:tc>
        <w:tc>
          <w:tcPr>
            <w:tcW w:w="3120" w:type="dxa"/>
            <w:shd w:val="clear" w:fill="FFFFFF"/>
            <w:tcMar>
              <w:top w:w="60" w:type="dxa"/>
              <w:bottom w:w="60" w:type="dxa"/>
              <w:left w:w="90" w:type="dxa"/>
              <w:right w:w="90" w:type="dxa"/>
            </w:tcMar>
            <w:vAlign w:val="center"/>
          </w:tcPr>
          <w:p>
            <w:pPr>
              <w:spacing w:before="30" w:after="30" w:line="264" w:lineRule="auto"/>
              <w:rPr>
                <w:sz w:val="19"/>
                <w:szCs w:val="19"/>
              </w:rPr>
            </w:pPr>
            <w:r>
              <w:rPr>
                <w:sz w:val="19"/>
                <w:szCs w:val="19"/>
              </w:rPr>
              <w:t xml:space="preserve">Transmission</w:t>
            </w:r>
          </w:p>
        </w:tc>
        <w:tc>
          <w:tcPr>
            <w:tcW w:w="3120" w:type="dxa"/>
            <w:shd w:val="clear" w:fill="FFFFFF"/>
            <w:tcMar>
              <w:top w:w="60" w:type="dxa"/>
              <w:bottom w:w="60" w:type="dxa"/>
              <w:left w:w="90" w:type="dxa"/>
              <w:right w:w="90" w:type="dxa"/>
            </w:tcMar>
            <w:vAlign w:val="center"/>
          </w:tcPr>
          <w:p>
            <w:pPr>
              <w:spacing w:before="30" w:after="30" w:line="264" w:lineRule="auto"/>
              <w:rPr>
                <w:sz w:val="19"/>
                <w:szCs w:val="19"/>
              </w:rPr>
            </w:pPr>
            <w:r>
              <w:rPr>
                <w:sz w:val="19"/>
                <w:szCs w:val="19"/>
              </w:rPr>
              <w:t xml:space="preserve">6-speed manual or 10-speed automatic</w:t>
            </w:r>
          </w:p>
        </w:tc>
      </w:tr>
      <w:tr>
        <w:tc>
          <w:tcPr>
            <w:tcW w:w="3120" w:type="dxa"/>
            <w:shd w:val="clear" w:fill="F7F7F7"/>
            <w:tcMar>
              <w:top w:w="60" w:type="dxa"/>
              <w:bottom w:w="60" w:type="dxa"/>
              <w:left w:w="90" w:type="dxa"/>
              <w:right w:w="90" w:type="dxa"/>
            </w:tcMar>
            <w:vAlign w:val="center"/>
          </w:tcPr>
          <w:p>
            <w:pPr>
              <w:spacing w:before="30" w:after="30" w:line="264" w:lineRule="auto"/>
              <w:rPr>
                <w:sz w:val="19"/>
                <w:szCs w:val="19"/>
              </w:rPr>
            </w:pPr>
            <w:r>
              <w:rPr>
                <w:sz w:val="19"/>
                <w:szCs w:val="19"/>
              </w:rPr>
              <w:t xml:space="preserve">360 HP / 405 LB-FT TQ</w:t>
            </w:r>
          </w:p>
        </w:tc>
        <w:tc>
          <w:tcPr>
            <w:tcW w:w="3120" w:type="dxa"/>
            <w:shd w:val="clear" w:fill="F7F7F7"/>
            <w:tcMar>
              <w:top w:w="60" w:type="dxa"/>
              <w:bottom w:w="60" w:type="dxa"/>
              <w:left w:w="90" w:type="dxa"/>
              <w:right w:w="90" w:type="dxa"/>
            </w:tcMar>
            <w:vAlign w:val="center"/>
          </w:tcPr>
          <w:p>
            <w:pPr>
              <w:spacing w:before="30" w:after="30" w:line="264" w:lineRule="auto"/>
              <w:rPr>
                <w:sz w:val="19"/>
                <w:szCs w:val="19"/>
              </w:rPr>
            </w:pPr>
            <w:r>
              <w:rPr>
                <w:sz w:val="19"/>
                <w:szCs w:val="19"/>
              </w:rPr>
              <w:t xml:space="preserve">Horsepower / Torque</w:t>
            </w:r>
          </w:p>
        </w:tc>
        <w:tc>
          <w:tcPr>
            <w:tcW w:w="3120" w:type="dxa"/>
            <w:shd w:val="clear" w:fill="F7F7F7"/>
            <w:tcMar>
              <w:top w:w="60" w:type="dxa"/>
              <w:bottom w:w="60" w:type="dxa"/>
              <w:left w:w="90" w:type="dxa"/>
              <w:right w:w="90" w:type="dxa"/>
            </w:tcMar>
            <w:vAlign w:val="center"/>
          </w:tcPr>
          <w:p>
            <w:pPr>
              <w:spacing w:before="30" w:after="30" w:line="264" w:lineRule="auto"/>
              <w:rPr>
                <w:sz w:val="19"/>
                <w:szCs w:val="19"/>
              </w:rPr>
            </w:pPr>
            <w:r>
              <w:rPr>
                <w:sz w:val="19"/>
                <w:szCs w:val="19"/>
              </w:rPr>
              <w:t xml:space="preserve">668 HP / 659 LB-FT TQ</w:t>
            </w:r>
          </w:p>
        </w:tc>
      </w:tr>
      <w:tr>
        <w:tc>
          <w:tcPr>
            <w:tcW w:w="3120" w:type="dxa"/>
            <w:shd w:val="clear" w:fill="FFFFFF"/>
            <w:tcMar>
              <w:top w:w="60" w:type="dxa"/>
              <w:bottom w:w="60" w:type="dxa"/>
              <w:left w:w="90" w:type="dxa"/>
              <w:right w:w="90" w:type="dxa"/>
            </w:tcMar>
            <w:vAlign w:val="center"/>
          </w:tcPr>
          <w:p>
            <w:pPr>
              <w:spacing w:before="30" w:after="30" w:line="264" w:lineRule="auto"/>
              <w:rPr>
                <w:sz w:val="19"/>
                <w:szCs w:val="19"/>
              </w:rPr>
            </w:pPr>
            <w:r>
              <w:rPr>
                <w:sz w:val="19"/>
                <w:szCs w:val="19"/>
              </w:rPr>
              <w:t xml:space="preserve">Magnetic Ride Control Performance Suspension</w:t>
            </w:r>
          </w:p>
        </w:tc>
        <w:tc>
          <w:tcPr>
            <w:tcW w:w="3120" w:type="dxa"/>
            <w:shd w:val="clear" w:fill="FFFFFF"/>
            <w:tcMar>
              <w:top w:w="60" w:type="dxa"/>
              <w:bottom w:w="60" w:type="dxa"/>
              <w:left w:w="90" w:type="dxa"/>
              <w:right w:w="90" w:type="dxa"/>
            </w:tcMar>
            <w:vAlign w:val="center"/>
          </w:tcPr>
          <w:p>
            <w:pPr>
              <w:spacing w:before="30" w:after="30" w:line="264" w:lineRule="auto"/>
              <w:rPr>
                <w:sz w:val="19"/>
                <w:szCs w:val="19"/>
              </w:rPr>
            </w:pPr>
            <w:r>
              <w:rPr>
                <w:sz w:val="19"/>
                <w:szCs w:val="19"/>
              </w:rPr>
              <w:t xml:space="preserve">Suspension</w:t>
            </w:r>
          </w:p>
        </w:tc>
        <w:tc>
          <w:tcPr>
            <w:tcW w:w="3120" w:type="dxa"/>
            <w:shd w:val="clear" w:fill="FFFFFF"/>
            <w:tcMar>
              <w:top w:w="60" w:type="dxa"/>
              <w:bottom w:w="60" w:type="dxa"/>
              <w:left w:w="90" w:type="dxa"/>
              <w:right w:w="90" w:type="dxa"/>
            </w:tcMar>
            <w:vAlign w:val="center"/>
          </w:tcPr>
          <w:p>
            <w:pPr>
              <w:spacing w:before="30" w:after="30" w:line="264" w:lineRule="auto"/>
              <w:rPr>
                <w:sz w:val="19"/>
                <w:szCs w:val="19"/>
              </w:rPr>
            </w:pPr>
            <w:r>
              <w:rPr>
                <w:sz w:val="19"/>
                <w:szCs w:val="19"/>
              </w:rPr>
              <w:t xml:space="preserve">Magnetic Ride Control Performance Suspension</w:t>
            </w:r>
          </w:p>
        </w:tc>
      </w:tr>
      <w:tr>
        <w:tc>
          <w:tcPr>
            <w:tcW w:w="3120" w:type="dxa"/>
            <w:shd w:val="clear" w:fill="F7F7F7"/>
            <w:tcMar>
              <w:top w:w="60" w:type="dxa"/>
              <w:bottom w:w="60" w:type="dxa"/>
              <w:left w:w="90" w:type="dxa"/>
              <w:right w:w="90" w:type="dxa"/>
            </w:tcMar>
            <w:vAlign w:val="center"/>
          </w:tcPr>
          <w:p>
            <w:pPr>
              <w:spacing w:before="30" w:after="30" w:line="264" w:lineRule="auto"/>
              <w:rPr>
                <w:sz w:val="19"/>
                <w:szCs w:val="19"/>
              </w:rPr>
            </w:pPr>
            <w:r>
              <w:rPr>
                <w:sz w:val="19"/>
                <w:szCs w:val="19"/>
              </w:rPr>
              <w:t xml:space="preserve">11.9 cubic feet</w:t>
            </w:r>
          </w:p>
        </w:tc>
        <w:tc>
          <w:tcPr>
            <w:tcW w:w="3120" w:type="dxa"/>
            <w:shd w:val="clear" w:fill="F7F7F7"/>
            <w:tcMar>
              <w:top w:w="60" w:type="dxa"/>
              <w:bottom w:w="60" w:type="dxa"/>
              <w:left w:w="90" w:type="dxa"/>
              <w:right w:w="90" w:type="dxa"/>
            </w:tcMar>
            <w:vAlign w:val="center"/>
          </w:tcPr>
          <w:p>
            <w:pPr>
              <w:spacing w:before="30" w:after="30" w:line="264" w:lineRule="auto"/>
              <w:rPr>
                <w:sz w:val="19"/>
                <w:szCs w:val="19"/>
              </w:rPr>
            </w:pPr>
            <w:r>
              <w:rPr>
                <w:sz w:val="19"/>
                <w:szCs w:val="19"/>
              </w:rPr>
              <w:t xml:space="preserve">Trunk Cargo Volume</w:t>
            </w:r>
          </w:p>
        </w:tc>
        <w:tc>
          <w:tcPr>
            <w:tcW w:w="3120" w:type="dxa"/>
            <w:shd w:val="clear" w:fill="F7F7F7"/>
            <w:tcMar>
              <w:top w:w="60" w:type="dxa"/>
              <w:bottom w:w="60" w:type="dxa"/>
              <w:left w:w="90" w:type="dxa"/>
              <w:right w:w="90" w:type="dxa"/>
            </w:tcMar>
            <w:vAlign w:val="center"/>
          </w:tcPr>
          <w:p>
            <w:pPr>
              <w:spacing w:before="30" w:after="30" w:line="264" w:lineRule="auto"/>
              <w:rPr>
                <w:sz w:val="19"/>
                <w:szCs w:val="19"/>
              </w:rPr>
            </w:pPr>
            <w:r>
              <w:rPr>
                <w:sz w:val="19"/>
                <w:szCs w:val="19"/>
              </w:rPr>
              <w:t xml:space="preserve">11.9 cubic feet</w:t>
            </w:r>
          </w:p>
        </w:tc>
      </w:tr>
      <w:tr>
        <w:tc>
          <w:tcPr>
            <w:tcW w:w="3120" w:type="dxa"/>
            <w:shd w:val="clear" w:fill="FFFFFF"/>
            <w:tcMar>
              <w:top w:w="60" w:type="dxa"/>
              <w:bottom w:w="60" w:type="dxa"/>
              <w:left w:w="90" w:type="dxa"/>
              <w:right w:w="90" w:type="dxa"/>
            </w:tcMar>
            <w:vAlign w:val="center"/>
          </w:tcPr>
          <w:p>
            <w:pPr>
              <w:spacing w:before="30" w:after="30" w:line="264" w:lineRule="auto"/>
              <w:rPr>
                <w:sz w:val="19"/>
                <w:szCs w:val="19"/>
              </w:rPr>
            </w:pPr>
            <w:r>
              <w:rPr>
                <w:sz w:val="19"/>
                <w:szCs w:val="19"/>
              </w:rPr>
              <w:t xml:space="preserve">4.6 seconds</w:t>
            </w:r>
          </w:p>
        </w:tc>
        <w:tc>
          <w:tcPr>
            <w:tcW w:w="3120" w:type="dxa"/>
            <w:shd w:val="clear" w:fill="FFFFFF"/>
            <w:tcMar>
              <w:top w:w="60" w:type="dxa"/>
              <w:bottom w:w="60" w:type="dxa"/>
              <w:left w:w="90" w:type="dxa"/>
              <w:right w:w="90" w:type="dxa"/>
            </w:tcMar>
            <w:vAlign w:val="center"/>
          </w:tcPr>
          <w:p>
            <w:pPr>
              <w:spacing w:before="30" w:after="30" w:line="264" w:lineRule="auto"/>
              <w:rPr>
                <w:sz w:val="19"/>
                <w:szCs w:val="19"/>
              </w:rPr>
            </w:pPr>
            <w:r>
              <w:rPr>
                <w:sz w:val="19"/>
                <w:szCs w:val="19"/>
              </w:rPr>
              <w:t xml:space="preserve">0-60 MPH Time</w:t>
            </w:r>
          </w:p>
        </w:tc>
        <w:tc>
          <w:tcPr>
            <w:tcW w:w="3120" w:type="dxa"/>
            <w:shd w:val="clear" w:fill="FFFFFF"/>
            <w:tcMar>
              <w:top w:w="60" w:type="dxa"/>
              <w:bottom w:w="60" w:type="dxa"/>
              <w:left w:w="90" w:type="dxa"/>
              <w:right w:w="90" w:type="dxa"/>
            </w:tcMar>
            <w:vAlign w:val="center"/>
          </w:tcPr>
          <w:p>
            <w:pPr>
              <w:spacing w:before="30" w:after="30" w:line="264" w:lineRule="auto"/>
              <w:rPr>
                <w:sz w:val="19"/>
                <w:szCs w:val="19"/>
              </w:rPr>
            </w:pPr>
            <w:r>
              <w:rPr>
                <w:sz w:val="19"/>
                <w:szCs w:val="19"/>
              </w:rPr>
              <w:t xml:space="preserve">3.4 seconds</w:t>
            </w:r>
          </w:p>
        </w:tc>
      </w:tr>
    </w:tbl>
    <w:p>
      <w:pPr>
        <w:spacing w:before="0" w:after="80" w:line="264" w:lineRule="auto"/>
        <w:rPr>
          <w:sz w:val="22"/>
          <w:szCs w:val="22"/>
        </w:rPr>
      </w:pPr>
      <w:r>
        <w:rPr>
          <w:sz w:val="22"/>
          <w:szCs w:val="22"/>
        </w:rPr>
        <w:t/>
      </w:r>
    </w:p>
    <w:p>
      <w:pPr>
        <w:pBdr>
          <w:bottom w:val="single" w:sz="6" w:space="6" w:color="C8C8C8"/>
        </w:pBdr>
        <w:spacing w:before="80" w:after="80"/>
      </w:pPr>
      <w:r>
        <w:t/>
      </w:r>
    </w:p>
    <w:p>
      <w:pPr>
        <w:spacing w:before="260" w:after="90" w:line="264" w:lineRule="auto"/>
        <w:rPr>
          <w:b/>
          <w:sz w:val="32"/>
          <w:szCs w:val="32"/>
        </w:rPr>
      </w:pPr>
      <w:r>
        <w:rPr>
          <w:b/>
          <w:sz w:val="32"/>
          <w:szCs w:val="32"/>
        </w:rPr>
        <w:t xml:space="preserve">Performance Narrative Copy</w:t>
      </w:r>
    </w:p>
    <w:p>
      <w:pPr>
        <w:spacing w:before="60" w:after="60" w:line="264" w:lineRule="auto"/>
        <w:rPr>
          <w:sz w:val="22"/>
          <w:szCs w:val="22"/>
        </w:rPr>
      </w:pPr>
      <w:r>
        <w:rPr>
          <w:b/>
          <w:sz w:val="22"/>
          <w:szCs w:val="22"/>
        </w:rPr>
        <w:t xml:space="preserve">CT5-V paragraph</w:t>
      </w:r>
    </w:p>
    <w:p>
      <w:pPr>
        <w:shd w:val="clear" w:fill="F2F2F2"/>
        <w:pBdr>
          <w:left w:val="single" w:sz="24" w:space="8" w:color="1A1A1A"/>
        </w:pBdr>
        <w:ind w:left="180"/>
        <w:spacing w:before="60" w:after="60" w:line="264" w:lineRule="auto"/>
        <w:rPr>
          <w:rFonts w:ascii="Georgia" w:hAnsi="Georgia"/>
          <w:sz w:val="22"/>
          <w:szCs w:val="22"/>
        </w:rPr>
      </w:pPr>
      <w:r>
        <w:rPr>
          <w:rFonts w:ascii="Georgia" w:hAnsi="Georgia"/>
          <w:sz w:val="22"/>
          <w:szCs w:val="22"/>
        </w:rPr>
        <w:t xml:space="preserve">Right from the start, you’ll notice several key distinctions between these two high-octane luxury sedans. Standard power for the Cadillac CT5-V is a muscular 3.0L twin-turbocharged V6 that comes mated to a responsive 10-speed automatic transmission. In total, you’ll have access to an outstanding 360 horsepower and 405 lb-ft of torque. This gives the CT5-V the ability to accelerate from 0 to 60 MPH in a blistering 4.6 seconds. Balancing comfort with athleticism, the CT5-V also comes equipped with the legendary Magnetic Ride Control performance suspension that can adapt to the conditions within milliseconds.</w:t>
      </w:r>
    </w:p>
    <w:p>
      <w:pPr>
        <w:spacing w:before="60" w:after="60" w:line="264" w:lineRule="auto"/>
        <w:rPr>
          <w:sz w:val="22"/>
          <w:szCs w:val="22"/>
        </w:rPr>
      </w:pPr>
      <w:r>
        <w:rPr>
          <w:b/>
          <w:sz w:val="22"/>
          <w:szCs w:val="22"/>
        </w:rPr>
        <w:t xml:space="preserve">CT5-V Blackwing paragraph</w:t>
      </w:r>
    </w:p>
    <w:p>
      <w:pPr>
        <w:shd w:val="clear" w:fill="F2F2F2"/>
        <w:pBdr>
          <w:left w:val="single" w:sz="24" w:space="8" w:color="1A1A1A"/>
        </w:pBdr>
        <w:ind w:left="180"/>
        <w:spacing w:before="60" w:after="60" w:line="264" w:lineRule="auto"/>
        <w:rPr>
          <w:rFonts w:ascii="Georgia" w:hAnsi="Georgia"/>
          <w:sz w:val="22"/>
          <w:szCs w:val="22"/>
        </w:rPr>
      </w:pPr>
      <w:r>
        <w:rPr>
          <w:rFonts w:ascii="Georgia" w:hAnsi="Georgia"/>
          <w:sz w:val="22"/>
          <w:szCs w:val="22"/>
        </w:rPr>
        <w:t xml:space="preserve">Shifting focus to the adrenaline-pumping CT5-V Blackwing, you’ll notice that it’s powered by the purpose-built 6.2L supercharged V8 engine tuned specifically for Cadillac. Boasting significantly more power than its stablemate, the CT5-V Blackwing delivers 668 horsepower, 659 lb-ft of torque, and a remarkable 3.4-second 0-60 time. Along with the same 10-speed automatic that we mentioned above, another noteworthy feature unique to Blackwing variants is an available 6-speed manual transmission. It also features the same Magnetic Ride Control system with adaptive geometry settings that keeps the vehicle poised and planted at high speeds on the track.</w:t>
      </w:r>
    </w:p>
    <w:p>
      <w:pPr>
        <w:pBdr>
          <w:bottom w:val="single" w:sz="6" w:space="6" w:color="C8C8C8"/>
        </w:pBdr>
        <w:spacing w:before="80" w:after="80"/>
      </w:pPr>
      <w:r>
        <w:t/>
      </w:r>
    </w:p>
    <w:p>
      <w:pPr>
        <w:spacing w:before="260" w:after="90" w:line="264" w:lineRule="auto"/>
        <w:rPr>
          <w:b/>
          <w:sz w:val="32"/>
          <w:szCs w:val="32"/>
        </w:rPr>
      </w:pPr>
      <w:r>
        <w:rPr>
          <w:b/>
          <w:sz w:val="32"/>
          <w:szCs w:val="32"/>
        </w:rPr>
        <w:t xml:space="preserve">Key Features — Exterior</w:t>
      </w:r>
    </w:p>
    <w:p>
      <w:pPr>
        <w:spacing w:before="60" w:after="60" w:line="264" w:lineRule="auto"/>
        <w:rPr>
          <w:sz w:val="22"/>
          <w:szCs w:val="22"/>
        </w:rPr>
      </w:pPr>
      <w:r>
        <w:rPr>
          <w:b/>
          <w:sz w:val="22"/>
          <w:szCs w:val="22"/>
        </w:rPr>
        <w:t xml:space="preserve">Section heading</w:t>
      </w:r>
    </w:p>
    <w:p>
      <w:pPr>
        <w:shd w:val="clear" w:fill="F2F2F2"/>
        <w:pBdr>
          <w:left w:val="single" w:sz="24" w:space="8" w:color="1A1A1A"/>
        </w:pBdr>
        <w:ind w:left="180"/>
        <w:spacing w:before="60" w:after="60" w:line="264" w:lineRule="auto"/>
        <w:rPr>
          <w:rFonts w:ascii="Georgia" w:hAnsi="Georgia"/>
          <w:sz w:val="22"/>
          <w:szCs w:val="22"/>
        </w:rPr>
      </w:pPr>
      <w:r>
        <w:rPr>
          <w:rFonts w:ascii="Georgia" w:hAnsi="Georgia"/>
          <w:sz w:val="22"/>
          <w:szCs w:val="22"/>
        </w:rPr>
        <w:t xml:space="preserve">Exterior Features Compared</w:t>
      </w:r>
    </w:p>
    <w:p>
      <w:pPr>
        <w:spacing w:before="60" w:after="60" w:line="264" w:lineRule="auto"/>
        <w:rPr>
          <w:sz w:val="22"/>
          <w:szCs w:val="22"/>
        </w:rPr>
      </w:pPr>
      <w:r>
        <w:rPr>
          <w:b/>
          <w:sz w:val="22"/>
          <w:szCs w:val="22"/>
        </w:rPr>
        <w:t xml:space="preserve">Body copy</w:t>
      </w:r>
    </w:p>
    <w:p>
      <w:pPr>
        <w:shd w:val="clear" w:fill="F2F2F2"/>
        <w:pBdr>
          <w:left w:val="single" w:sz="24" w:space="8" w:color="1A1A1A"/>
        </w:pBdr>
        <w:ind w:left="180"/>
        <w:spacing w:before="60" w:after="60" w:line="264" w:lineRule="auto"/>
        <w:rPr>
          <w:rFonts w:ascii="Georgia" w:hAnsi="Georgia"/>
          <w:sz w:val="22"/>
          <w:szCs w:val="22"/>
        </w:rPr>
      </w:pPr>
      <w:r>
        <w:rPr>
          <w:rFonts w:ascii="Georgia" w:hAnsi="Georgia"/>
          <w:sz w:val="22"/>
          <w:szCs w:val="22"/>
        </w:rPr>
        <w:t xml:space="preserve">Although it’s quite easy to see the similarities between the two, the Cadillac CT5-V and CT5-V Blackwing do have some noteworthy differences when comparing their exterior designs. Looking at them both from the side, you’ll instantly notice their planted, aggressive stance on the road. Both vehicles feature 19-inch alloy wheel designs available in finishes that include polished silver, painted bronze, and painted graphite. A wide mesh grille also offers enhanced functionality by cooling the main radiators via dedicated airflow ducts. Blackwing variants can be identified by a number of exclusive exterior accents not found on the standard CT5-V. Highlights of such features include gloss black rocker moldings with extensions, a rear decklid spoiler, and a front splitter. Also available exclusively on CT5-V Blackwing models is an optional Carbon Fiber package that reduces weight while also adding a track-inspired look to the exterior.</w:t>
      </w:r>
    </w:p>
    <w:p>
      <w:pPr>
        <w:pBdr>
          <w:bottom w:val="single" w:sz="6" w:space="6" w:color="C8C8C8"/>
        </w:pBdr>
        <w:spacing w:before="80" w:after="80"/>
      </w:pPr>
      <w:r>
        <w:t/>
      </w:r>
    </w:p>
    <w:p>
      <w:pPr>
        <w:spacing w:before="260" w:after="90" w:line="264" w:lineRule="auto"/>
        <w:rPr>
          <w:b/>
          <w:sz w:val="32"/>
          <w:szCs w:val="32"/>
        </w:rPr>
      </w:pPr>
      <w:r>
        <w:rPr>
          <w:b/>
          <w:sz w:val="32"/>
          <w:szCs w:val="32"/>
        </w:rPr>
        <w:t xml:space="preserve">Key Features — Interior</w:t>
      </w:r>
    </w:p>
    <w:p>
      <w:pPr>
        <w:spacing w:before="60" w:after="60" w:line="264" w:lineRule="auto"/>
        <w:rPr>
          <w:sz w:val="22"/>
          <w:szCs w:val="22"/>
        </w:rPr>
      </w:pPr>
      <w:r>
        <w:rPr>
          <w:b/>
          <w:sz w:val="22"/>
          <w:szCs w:val="22"/>
        </w:rPr>
        <w:t xml:space="preserve">Section heading</w:t>
      </w:r>
    </w:p>
    <w:p>
      <w:pPr>
        <w:shd w:val="clear" w:fill="F2F2F2"/>
        <w:pBdr>
          <w:left w:val="single" w:sz="24" w:space="8" w:color="1A1A1A"/>
        </w:pBdr>
        <w:ind w:left="180"/>
        <w:spacing w:before="60" w:after="60" w:line="264" w:lineRule="auto"/>
        <w:rPr>
          <w:rFonts w:ascii="Georgia" w:hAnsi="Georgia"/>
          <w:sz w:val="22"/>
          <w:szCs w:val="22"/>
        </w:rPr>
      </w:pPr>
      <w:r>
        <w:rPr>
          <w:rFonts w:ascii="Georgia" w:hAnsi="Georgia"/>
          <w:sz w:val="22"/>
          <w:szCs w:val="22"/>
        </w:rPr>
        <w:t xml:space="preserve">Interior Amenities Compared</w:t>
      </w:r>
    </w:p>
    <w:p>
      <w:pPr>
        <w:spacing w:before="60" w:after="60" w:line="264" w:lineRule="auto"/>
        <w:rPr>
          <w:sz w:val="22"/>
          <w:szCs w:val="22"/>
        </w:rPr>
      </w:pPr>
      <w:r>
        <w:rPr>
          <w:b/>
          <w:sz w:val="22"/>
          <w:szCs w:val="22"/>
        </w:rPr>
        <w:t xml:space="preserve">Body copy</w:t>
      </w:r>
    </w:p>
    <w:p>
      <w:pPr>
        <w:shd w:val="clear" w:fill="F2F2F2"/>
        <w:pBdr>
          <w:left w:val="single" w:sz="24" w:space="8" w:color="1A1A1A"/>
        </w:pBdr>
        <w:ind w:left="180"/>
        <w:spacing w:before="60" w:after="60" w:line="264" w:lineRule="auto"/>
        <w:rPr>
          <w:rFonts w:ascii="Georgia" w:hAnsi="Georgia"/>
          <w:sz w:val="22"/>
          <w:szCs w:val="22"/>
        </w:rPr>
      </w:pPr>
      <w:r>
        <w:rPr>
          <w:rFonts w:ascii="Georgia" w:hAnsi="Georgia"/>
          <w:sz w:val="22"/>
          <w:szCs w:val="22"/>
        </w:rPr>
        <w:t xml:space="preserve">Despite sharing a virtually identical interior layout, there are still plenty of key differences between the cabin of the Cadillac CT5-V and CT5-V Blackwing. Examples of features found inside the Blackwing that you won’t find on the standard CT5-V include optional Torch Red seat belts, sueded-microfiber headliner, high-performance steering wheel with carbon fiber trim and serialized VIN plate, and carbon fiber accented front seats. Regardless of which model you select, you’ll enjoy state-of-the-art connectivity made possible by the standard 33-inch diagonal advanced color LED display with Google Built-In with over-the-air software updates. A standard Head-Up Display and Integrated Data Performance Recorder are two additional features exclusive to the Cadillac CT5-V and CT5-V Blackwing.</w:t>
      </w:r>
    </w:p>
    <w:p>
      <w:pPr>
        <w:pBdr>
          <w:bottom w:val="single" w:sz="6" w:space="6" w:color="C8C8C8"/>
        </w:pBdr>
        <w:spacing w:before="80" w:after="80"/>
      </w:pPr>
      <w:r>
        <w:t/>
      </w:r>
    </w:p>
    <w:p>
      <w:pPr>
        <w:spacing w:before="260" w:after="90" w:line="264" w:lineRule="auto"/>
        <w:rPr>
          <w:b/>
          <w:sz w:val="32"/>
          <w:szCs w:val="32"/>
        </w:rPr>
      </w:pPr>
      <w:r>
        <w:rPr>
          <w:b/>
          <w:sz w:val="32"/>
          <w:szCs w:val="32"/>
        </w:rPr>
        <w:t xml:space="preserve">Disclaimer Copy</w:t>
      </w:r>
    </w:p>
    <w:p>
      <w:pPr>
        <w:spacing w:before="60" w:after="60" w:line="264" w:lineRule="auto"/>
        <w:rPr>
          <w:sz w:val="22"/>
          <w:szCs w:val="22"/>
        </w:rPr>
      </w:pPr>
      <w:r>
        <w:rPr>
          <w:b/>
          <w:sz w:val="22"/>
          <w:szCs w:val="22"/>
        </w:rPr>
        <w:t xml:space="preserve">MSRP disclaimer</w:t>
      </w:r>
    </w:p>
    <w:p>
      <w:pPr>
        <w:spacing w:before="60" w:after="60" w:line="264" w:lineRule="auto"/>
        <w:rPr>
          <w:sz w:val="22"/>
          <w:szCs w:val="22"/>
        </w:rPr>
      </w:pPr>
      <w:r>
        <w:rPr>
          <w:b/>
          <w:sz w:val="22"/>
          <w:szCs w:val="22"/>
        </w:rPr>
        <w:t xml:space="preserve">Anchor:</w:t>
      </w:r>
      <w:r>
        <w:rPr>
          <w:sz w:val="22"/>
          <w:szCs w:val="22"/>
        </w:rPr>
        <w:t xml:space="preserve"> Bound to the asterisk in the </w:t>
      </w:r>
      <w:r>
        <w:rPr>
          <w:rFonts w:ascii="Consolas" w:hAnsi="Consolas"/>
          <w:sz w:val="22"/>
          <w:szCs w:val="22"/>
          <w:shd w:val="clear" w:fill="EFEFEF"/>
        </w:rPr>
        <w:t xml:space="preserve">Starting MSRP*</w:t>
      </w:r>
      <w:r>
        <w:rPr>
          <w:sz w:val="22"/>
          <w:szCs w:val="22"/>
        </w:rPr>
        <w:t xml:space="preserve"> row label.</w:t>
      </w:r>
    </w:p>
    <w:p>
      <w:pPr>
        <w:spacing w:before="60" w:after="60" w:line="264" w:lineRule="auto"/>
        <w:rPr>
          <w:sz w:val="22"/>
          <w:szCs w:val="22"/>
        </w:rPr>
      </w:pPr>
      <w:r>
        <w:rPr>
          <w:b/>
          <w:sz w:val="22"/>
          <w:szCs w:val="22"/>
        </w:rPr>
        <w:t xml:space="preserve">Placement:</w:t>
      </w:r>
      <w:r>
        <w:rPr>
          <w:sz w:val="22"/>
          <w:szCs w:val="22"/>
        </w:rPr>
        <w:t xml:space="preserve"> End of the main content column, following the second CTA pair.</w:t>
      </w:r>
    </w:p>
    <w:p>
      <w:pPr>
        <w:shd w:val="clear" w:fill="F2F2F2"/>
        <w:pBdr>
          <w:left w:val="single" w:sz="24" w:space="8" w:color="1A1A1A"/>
        </w:pBdr>
        <w:ind w:left="180"/>
        <w:spacing w:before="60" w:after="60" w:line="264" w:lineRule="auto"/>
        <w:rPr>
          <w:rFonts w:ascii="Georgia" w:hAnsi="Georgia"/>
          <w:sz w:val="22"/>
          <w:szCs w:val="22"/>
        </w:rPr>
      </w:pPr>
      <w:r>
        <w:rPr>
          <w:rFonts w:ascii="Georgia" w:hAnsi="Georgia"/>
          <w:sz w:val="22"/>
          <w:szCs w:val="22"/>
        </w:rPr>
        <w:t xml:space="preserve">*The Manufacturer’s Suggested Retail Price excludes destination freight charge, tax, title, license, dealer fees and optional equipment. Dealer sets final price.</w:t>
      </w:r>
    </w:p>
    <w:p>
      <w:pPr>
        <w:spacing w:before="60" w:after="60" w:line="264" w:lineRule="auto"/>
        <w:rPr>
          <w:sz w:val="22"/>
          <w:szCs w:val="22"/>
        </w:rPr>
      </w:pPr>
      <w:r>
        <w:rPr>
          <w:b/>
          <w:sz w:val="22"/>
          <w:szCs w:val="22"/>
        </w:rPr>
        <w:t xml:space="preserve">Mandatory conditions — each is independently a pass/fail:</w:t>
      </w:r>
    </w:p>
    <w:p>
      <w:pPr>
        <w:ind w:left="360"/>
        <w:spacing w:before="20" w:after="20" w:line="264" w:lineRule="auto"/>
        <w:rPr>
          <w:sz w:val="22"/>
          <w:szCs w:val="22"/>
        </w:rPr>
      </w:pPr>
      <w:r>
        <w:rPr>
          <w:sz w:val="22"/>
          <w:szCs w:val="22"/>
        </w:rPr>
        <w:t xml:space="preserve">1.  The disclaimer is present whenever </w:t>
      </w:r>
      <w:r>
        <w:rPr>
          <w:b/>
          <w:sz w:val="22"/>
          <w:szCs w:val="22"/>
        </w:rPr>
        <w:t xml:space="preserve">any</w:t>
      </w:r>
      <w:r>
        <w:rPr>
          <w:sz w:val="22"/>
          <w:szCs w:val="22"/>
        </w:rPr>
        <w:t xml:space="preserve"> price appears on the page.</w:t>
      </w:r>
    </w:p>
    <w:p>
      <w:pPr>
        <w:ind w:left="360"/>
        <w:spacing w:before="20" w:after="20" w:line="264" w:lineRule="auto"/>
        <w:rPr>
          <w:sz w:val="22"/>
          <w:szCs w:val="22"/>
        </w:rPr>
      </w:pPr>
      <w:r>
        <w:rPr>
          <w:sz w:val="22"/>
          <w:szCs w:val="22"/>
        </w:rPr>
        <w:t xml:space="preserve">2.  The leading asterisk is present and matches the asterisk on the </w:t>
      </w:r>
      <w:r>
        <w:rPr>
          <w:rFonts w:ascii="Consolas" w:hAnsi="Consolas"/>
          <w:sz w:val="22"/>
          <w:szCs w:val="22"/>
          <w:shd w:val="clear" w:fill="EFEFEF"/>
        </w:rPr>
        <w:t xml:space="preserve">Starting MSRP*</w:t>
      </w:r>
      <w:r>
        <w:rPr>
          <w:sz w:val="22"/>
          <w:szCs w:val="22"/>
        </w:rPr>
        <w:t xml:space="preserve"> label.</w:t>
      </w:r>
    </w:p>
    <w:p>
      <w:pPr>
        <w:ind w:left="360"/>
        <w:spacing w:before="20" w:after="20" w:line="264" w:lineRule="auto"/>
        <w:rPr>
          <w:sz w:val="22"/>
          <w:szCs w:val="22"/>
        </w:rPr>
      </w:pPr>
      <w:r>
        <w:rPr>
          <w:sz w:val="22"/>
          <w:szCs w:val="22"/>
        </w:rPr>
        <w:t xml:space="preserve">3.  All six exclusions appear, in this order: destination freight charge, tax, title, license, dealer fees, optional equipment.</w:t>
      </w:r>
    </w:p>
    <w:p>
      <w:pPr>
        <w:ind w:left="360"/>
        <w:spacing w:before="20" w:after="20" w:line="264" w:lineRule="auto"/>
        <w:rPr>
          <w:sz w:val="22"/>
          <w:szCs w:val="22"/>
        </w:rPr>
      </w:pPr>
      <w:r>
        <w:rPr>
          <w:sz w:val="22"/>
          <w:szCs w:val="22"/>
        </w:rPr>
        <w:t xml:space="preserve">4.  The closing sentence "Dealer sets final price." is present and unabbreviated.</w:t>
      </w:r>
    </w:p>
    <w:p>
      <w:pPr>
        <w:ind w:left="360"/>
        <w:spacing w:before="20" w:after="20" w:line="264" w:lineRule="auto"/>
        <w:rPr>
          <w:sz w:val="22"/>
          <w:szCs w:val="22"/>
        </w:rPr>
      </w:pPr>
      <w:r>
        <w:rPr>
          <w:sz w:val="22"/>
          <w:szCs w:val="22"/>
        </w:rPr>
        <w:t xml:space="preserve">5.  The disclaimer is rendered as visible text on page load — not hidden behind a tooltip, accordion, modal or "read more" toggle.</w:t>
      </w:r>
    </w:p>
    <w:sectPr>
      <w:pgSz w:w="12240" w:h="15840"/>
      <w:pgMar w:top="1080" w:right="1080" w:bottom="1080" w:left="1080"/>
    </w:sectPr>
  </w:body>
</w:document>
</file>

<file path=word/styles.xml><?xml version="1.0" encoding="utf-8"?>
<w:styles xmlns:w="http://schemas.openxmlformats.org/wordprocessingml/2006/main">
  <w:docDefaults>
    <w:rPrDefault>
      <w:rPr>
        <w:rFonts w:ascii="Calibri" w:hAnsi="Calibri" w:cs="Calibri"/>
        <w:sz w:val="22"/>
        <w:szCs w:val="22"/>
        <w:color w:val="1A1A1A"/>
      </w:rPr>
    </w:r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