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Control(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input [3:0]opcod,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RegDest,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ALUSrc,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MemToReg,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RegWrite,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MemWrite,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Branch,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ALUop2,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ALUop1,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ALUop0,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output Jump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temp1;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temp2;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temp3;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temp4;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 N1(RegDest, opcod[3]);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A1(ALUSrc, opcod[3], ~opcod[2]);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 N2(MemToReg, ~opcod[3]);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or  OR(RegWrite, ~opcod[3], ~opcod[1]);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A2(temp1, opcod[3], ~opcod[2]);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A3(MemWrite, temp1, opcod[1]);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A4(Branch, opcod[3], opcod[2]);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A5(ALUop2, ~opcod[3], ~opcod[1]);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A6(temp2, opcod[1], ~opcod[0]);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A7(temp3, ~opcod[1], opcod[0]);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or  O1(temp4, temp2, temp3);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or  O2(ALUop1, opcod[3], temp4);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 N4(ALUop0, ~opcod[2]);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and A8(Jump, opcod[3], opcod[0]);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