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54AA" w14:textId="77777777" w:rsidR="009E1535" w:rsidRDefault="009E1535" w:rsidP="009E1535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2840F536" w14:textId="77777777" w:rsidR="009E1535" w:rsidRDefault="009E1535" w:rsidP="009E1535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6739317F" w14:textId="77777777" w:rsidR="009E1535" w:rsidRDefault="009E1535" w:rsidP="009E1535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058F1B01" w14:textId="77777777" w:rsidR="009E1535" w:rsidRDefault="009E1535" w:rsidP="009E1535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00DA6BF6" w14:textId="77777777" w:rsidR="009E1535" w:rsidRDefault="009E1535" w:rsidP="009E1535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5E737CB3" w14:textId="5E0BAC36" w:rsidR="009E1535" w:rsidRPr="00CF6D45" w:rsidRDefault="009E1535" w:rsidP="009E1535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  <w:r w:rsidRPr="00CF6D45">
        <w:rPr>
          <w:rFonts w:asciiTheme="minorHAnsi" w:hAnsiTheme="minorHAnsi" w:cstheme="minorHAnsi"/>
        </w:rPr>
        <w:t>D2</w:t>
      </w:r>
      <w:r>
        <w:rPr>
          <w:rFonts w:asciiTheme="minorHAnsi" w:hAnsiTheme="minorHAnsi" w:cstheme="minorHAnsi"/>
        </w:rPr>
        <w:t>10 Representation and Reporting</w:t>
      </w:r>
      <w:r w:rsidRPr="00CF6D45">
        <w:rPr>
          <w:rFonts w:asciiTheme="minorHAnsi" w:hAnsiTheme="minorHAnsi" w:cstheme="minorHAnsi"/>
        </w:rPr>
        <w:t xml:space="preserve"> Performance Assessment</w:t>
      </w:r>
    </w:p>
    <w:p w14:paraId="0F83C0E3" w14:textId="14D5A52A" w:rsidR="009E1535" w:rsidRPr="008435EF" w:rsidRDefault="009E1535" w:rsidP="009E1535">
      <w:pPr>
        <w:spacing w:line="480" w:lineRule="auto"/>
        <w:jc w:val="center"/>
        <w:rPr>
          <w:sz w:val="24"/>
          <w:szCs w:val="24"/>
        </w:rPr>
      </w:pPr>
      <w:r w:rsidRPr="008435EF">
        <w:rPr>
          <w:sz w:val="24"/>
          <w:szCs w:val="24"/>
        </w:rPr>
        <w:t xml:space="preserve">Part </w:t>
      </w:r>
      <w:r>
        <w:rPr>
          <w:sz w:val="24"/>
          <w:szCs w:val="24"/>
        </w:rPr>
        <w:t>3</w:t>
      </w:r>
      <w:r w:rsidRPr="008435EF">
        <w:rPr>
          <w:sz w:val="24"/>
          <w:szCs w:val="24"/>
        </w:rPr>
        <w:t xml:space="preserve">: </w:t>
      </w:r>
      <w:r>
        <w:rPr>
          <w:sz w:val="24"/>
          <w:szCs w:val="24"/>
        </w:rPr>
        <w:t>Reflection Paper</w:t>
      </w:r>
    </w:p>
    <w:p w14:paraId="4C8B807B" w14:textId="77777777" w:rsidR="009E1535" w:rsidRPr="00CF6D45" w:rsidRDefault="009E1535" w:rsidP="009E1535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  <w:r w:rsidRPr="00CF6D45">
        <w:rPr>
          <w:rFonts w:asciiTheme="minorHAnsi" w:hAnsiTheme="minorHAnsi" w:cstheme="minorHAnsi"/>
        </w:rPr>
        <w:t>Author:  Eric Colwell</w:t>
      </w:r>
    </w:p>
    <w:p w14:paraId="1ECCDB7B" w14:textId="77777777" w:rsidR="009E1535" w:rsidRDefault="009E1535" w:rsidP="009E1535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  <w:r w:rsidRPr="00CF6D45">
        <w:rPr>
          <w:rFonts w:asciiTheme="minorHAnsi" w:hAnsiTheme="minorHAnsi" w:cstheme="minorHAnsi"/>
        </w:rPr>
        <w:t>Western Governors University</w:t>
      </w:r>
    </w:p>
    <w:p w14:paraId="02E8A57E" w14:textId="632DE7F0" w:rsidR="0035089A" w:rsidRDefault="0035089A"/>
    <w:p w14:paraId="7327DE6A" w14:textId="5B8C8EDA" w:rsidR="009E1535" w:rsidRDefault="009E1535"/>
    <w:p w14:paraId="3A513543" w14:textId="58750CAD" w:rsidR="009E1535" w:rsidRDefault="009E1535"/>
    <w:p w14:paraId="1D7431AD" w14:textId="0DA271BF" w:rsidR="009E1535" w:rsidRDefault="009E1535"/>
    <w:p w14:paraId="2BF27332" w14:textId="0F3A1198" w:rsidR="009E1535" w:rsidRDefault="009E1535"/>
    <w:p w14:paraId="41C1B22F" w14:textId="3EDD973B" w:rsidR="009E1535" w:rsidRDefault="009E1535"/>
    <w:p w14:paraId="55FF8A53" w14:textId="476A6E77" w:rsidR="009E1535" w:rsidRDefault="009E1535"/>
    <w:p w14:paraId="591C9CAD" w14:textId="39B383B2" w:rsidR="009E1535" w:rsidRDefault="009E1535"/>
    <w:p w14:paraId="36D01E41" w14:textId="69256E3D" w:rsidR="009E1535" w:rsidRDefault="009E1535"/>
    <w:p w14:paraId="5C031710" w14:textId="7D98B925" w:rsidR="009E1535" w:rsidRDefault="009E1535"/>
    <w:p w14:paraId="6703B5B4" w14:textId="145E9E93" w:rsidR="009E1535" w:rsidRDefault="009E1535"/>
    <w:p w14:paraId="0CF61B43" w14:textId="5880931C" w:rsidR="009E1535" w:rsidRDefault="009E1535"/>
    <w:p w14:paraId="579874BC" w14:textId="0EC328CA" w:rsidR="009E1535" w:rsidRDefault="009E1535"/>
    <w:p w14:paraId="700094B6" w14:textId="61560752" w:rsidR="009E1535" w:rsidRDefault="009E1535"/>
    <w:p w14:paraId="3C63C2B6" w14:textId="3A4D017F" w:rsidR="009E1535" w:rsidRPr="00851200" w:rsidRDefault="002335F9" w:rsidP="00F7210C">
      <w:pPr>
        <w:spacing w:after="0" w:line="480" w:lineRule="auto"/>
        <w:rPr>
          <w:b/>
          <w:bCs/>
          <w:sz w:val="24"/>
          <w:szCs w:val="24"/>
        </w:rPr>
      </w:pPr>
      <w:r w:rsidRPr="00851200">
        <w:rPr>
          <w:b/>
          <w:bCs/>
          <w:sz w:val="24"/>
          <w:szCs w:val="24"/>
        </w:rPr>
        <w:lastRenderedPageBreak/>
        <w:t>C1:</w:t>
      </w:r>
    </w:p>
    <w:p w14:paraId="373F40B3" w14:textId="5787DFB7" w:rsidR="002335F9" w:rsidRDefault="0071664E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9B5285">
        <w:rPr>
          <w:sz w:val="24"/>
          <w:szCs w:val="24"/>
        </w:rPr>
        <w:t xml:space="preserve">churn data dictionary </w:t>
      </w:r>
      <w:r w:rsidR="003240AB">
        <w:rPr>
          <w:sz w:val="24"/>
          <w:szCs w:val="24"/>
        </w:rPr>
        <w:t xml:space="preserve">explains the need to </w:t>
      </w:r>
      <w:r w:rsidR="002B56CB">
        <w:rPr>
          <w:sz w:val="24"/>
          <w:szCs w:val="24"/>
        </w:rPr>
        <w:t>retain customers. The</w:t>
      </w:r>
      <w:r w:rsidR="00BA79AB">
        <w:rPr>
          <w:sz w:val="24"/>
          <w:szCs w:val="24"/>
        </w:rPr>
        <w:t xml:space="preserve"> purpose and function of the</w:t>
      </w:r>
      <w:r w:rsidR="002B56CB">
        <w:rPr>
          <w:sz w:val="24"/>
          <w:szCs w:val="24"/>
        </w:rPr>
        <w:t xml:space="preserve"> </w:t>
      </w:r>
      <w:r w:rsidR="00F7210C">
        <w:rPr>
          <w:sz w:val="24"/>
          <w:szCs w:val="24"/>
        </w:rPr>
        <w:t>interactive Tableau dashboard</w:t>
      </w:r>
      <w:r w:rsidR="00CE4373">
        <w:rPr>
          <w:sz w:val="24"/>
          <w:szCs w:val="24"/>
        </w:rPr>
        <w:t xml:space="preserve"> aligns with this need. </w:t>
      </w:r>
      <w:r w:rsidR="008A335A">
        <w:rPr>
          <w:sz w:val="24"/>
          <w:szCs w:val="24"/>
        </w:rPr>
        <w:t xml:space="preserve">The dashboard allows </w:t>
      </w:r>
      <w:r w:rsidR="001B6053">
        <w:rPr>
          <w:sz w:val="24"/>
          <w:szCs w:val="24"/>
        </w:rPr>
        <w:t xml:space="preserve">the executive leaders in the company to </w:t>
      </w:r>
      <w:r w:rsidR="002A7941">
        <w:rPr>
          <w:sz w:val="24"/>
          <w:szCs w:val="24"/>
        </w:rPr>
        <w:t xml:space="preserve">gain insight from </w:t>
      </w:r>
      <w:r w:rsidR="00A32965">
        <w:rPr>
          <w:sz w:val="24"/>
          <w:szCs w:val="24"/>
        </w:rPr>
        <w:t xml:space="preserve">different aspects of </w:t>
      </w:r>
      <w:r w:rsidR="00070B29">
        <w:rPr>
          <w:sz w:val="24"/>
          <w:szCs w:val="24"/>
        </w:rPr>
        <w:t>the datasets.</w:t>
      </w:r>
      <w:r w:rsidR="001A1F10">
        <w:rPr>
          <w:sz w:val="24"/>
          <w:szCs w:val="24"/>
        </w:rPr>
        <w:t xml:space="preserve"> Average Monthly Charge and Average Tenure </w:t>
      </w:r>
      <w:r w:rsidR="00D72327">
        <w:rPr>
          <w:sz w:val="24"/>
          <w:szCs w:val="24"/>
        </w:rPr>
        <w:t>are in</w:t>
      </w:r>
      <w:r w:rsidR="001A1F10">
        <w:rPr>
          <w:sz w:val="24"/>
          <w:szCs w:val="24"/>
        </w:rPr>
        <w:t xml:space="preserve"> the K</w:t>
      </w:r>
      <w:r w:rsidR="000E60EB">
        <w:rPr>
          <w:sz w:val="24"/>
          <w:szCs w:val="24"/>
        </w:rPr>
        <w:t>ey Performance Indicator</w:t>
      </w:r>
      <w:r w:rsidR="001A1F10">
        <w:rPr>
          <w:sz w:val="24"/>
          <w:szCs w:val="24"/>
        </w:rPr>
        <w:t xml:space="preserve"> portion of the dashboard</w:t>
      </w:r>
      <w:r w:rsidR="00C431C7">
        <w:rPr>
          <w:sz w:val="24"/>
          <w:szCs w:val="24"/>
        </w:rPr>
        <w:t xml:space="preserve">. These are </w:t>
      </w:r>
      <w:r w:rsidR="00D72327">
        <w:rPr>
          <w:sz w:val="24"/>
          <w:szCs w:val="24"/>
        </w:rPr>
        <w:t>just two of the important outputs of the dashboard.</w:t>
      </w:r>
    </w:p>
    <w:p w14:paraId="5B62CDC3" w14:textId="2F5F3AE7" w:rsidR="00D72327" w:rsidRPr="00D72327" w:rsidRDefault="00D72327" w:rsidP="00F7210C">
      <w:pPr>
        <w:spacing w:after="0" w:line="480" w:lineRule="auto"/>
        <w:rPr>
          <w:b/>
          <w:bCs/>
          <w:sz w:val="24"/>
          <w:szCs w:val="24"/>
        </w:rPr>
      </w:pPr>
      <w:r w:rsidRPr="00D72327">
        <w:rPr>
          <w:b/>
          <w:bCs/>
          <w:sz w:val="24"/>
          <w:szCs w:val="24"/>
        </w:rPr>
        <w:t>C2:</w:t>
      </w:r>
    </w:p>
    <w:p w14:paraId="736384A9" w14:textId="79684E27" w:rsidR="00D72327" w:rsidRDefault="00D72327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778F6">
        <w:rPr>
          <w:sz w:val="24"/>
          <w:szCs w:val="24"/>
        </w:rPr>
        <w:t xml:space="preserve">The variables used </w:t>
      </w:r>
      <w:r w:rsidR="00DD7B15">
        <w:rPr>
          <w:sz w:val="24"/>
          <w:szCs w:val="24"/>
        </w:rPr>
        <w:t>in the additional dataset</w:t>
      </w:r>
      <w:r w:rsidR="00F010D2">
        <w:rPr>
          <w:sz w:val="24"/>
          <w:szCs w:val="24"/>
        </w:rPr>
        <w:t xml:space="preserve"> show a sizeable gap between </w:t>
      </w:r>
      <w:r w:rsidR="00316513">
        <w:rPr>
          <w:sz w:val="24"/>
          <w:szCs w:val="24"/>
        </w:rPr>
        <w:t>the median household income by state</w:t>
      </w:r>
      <w:r w:rsidR="009D3F58">
        <w:rPr>
          <w:sz w:val="24"/>
          <w:szCs w:val="24"/>
        </w:rPr>
        <w:t xml:space="preserve"> when compared to the median household income by state in the given</w:t>
      </w:r>
      <w:r w:rsidR="002B6D47">
        <w:rPr>
          <w:sz w:val="24"/>
          <w:szCs w:val="24"/>
        </w:rPr>
        <w:t xml:space="preserve"> churn dataset. </w:t>
      </w:r>
      <w:r w:rsidR="00110352">
        <w:rPr>
          <w:sz w:val="24"/>
          <w:szCs w:val="24"/>
        </w:rPr>
        <w:t xml:space="preserve">The churn data dictionary </w:t>
      </w:r>
      <w:r w:rsidR="007B05F0">
        <w:rPr>
          <w:sz w:val="24"/>
          <w:szCs w:val="24"/>
        </w:rPr>
        <w:t>does not include dates</w:t>
      </w:r>
      <w:r w:rsidR="00BE17E9">
        <w:rPr>
          <w:sz w:val="24"/>
          <w:szCs w:val="24"/>
        </w:rPr>
        <w:t xml:space="preserve">. Since dates are not </w:t>
      </w:r>
      <w:r w:rsidR="00303E0F">
        <w:rPr>
          <w:sz w:val="24"/>
          <w:szCs w:val="24"/>
        </w:rPr>
        <w:t>included,</w:t>
      </w:r>
      <w:r w:rsidR="00BE17E9">
        <w:rPr>
          <w:sz w:val="24"/>
          <w:szCs w:val="24"/>
        </w:rPr>
        <w:t xml:space="preserve"> I b</w:t>
      </w:r>
      <w:r w:rsidR="009E3F49">
        <w:rPr>
          <w:sz w:val="24"/>
          <w:szCs w:val="24"/>
        </w:rPr>
        <w:t xml:space="preserve">elieve the given dataset is years behind the Census information. </w:t>
      </w:r>
      <w:r w:rsidR="00EF3E8F">
        <w:rPr>
          <w:sz w:val="24"/>
          <w:szCs w:val="24"/>
        </w:rPr>
        <w:t xml:space="preserve">An insight that can be drawn from this would be </w:t>
      </w:r>
      <w:r w:rsidR="00F725CE">
        <w:rPr>
          <w:sz w:val="24"/>
          <w:szCs w:val="24"/>
        </w:rPr>
        <w:t xml:space="preserve">to </w:t>
      </w:r>
      <w:r w:rsidR="00E805E7">
        <w:rPr>
          <w:sz w:val="24"/>
          <w:szCs w:val="24"/>
        </w:rPr>
        <w:t xml:space="preserve">update </w:t>
      </w:r>
      <w:r w:rsidR="000E4549">
        <w:rPr>
          <w:sz w:val="24"/>
          <w:szCs w:val="24"/>
        </w:rPr>
        <w:t>existing customer data on a yearly basis</w:t>
      </w:r>
      <w:r w:rsidR="009239B7">
        <w:rPr>
          <w:sz w:val="24"/>
          <w:szCs w:val="24"/>
        </w:rPr>
        <w:t xml:space="preserve"> and to </w:t>
      </w:r>
      <w:r w:rsidR="006C113C">
        <w:rPr>
          <w:sz w:val="24"/>
          <w:szCs w:val="24"/>
        </w:rPr>
        <w:t>include month, data</w:t>
      </w:r>
      <w:r w:rsidR="001679A4">
        <w:rPr>
          <w:sz w:val="24"/>
          <w:szCs w:val="24"/>
        </w:rPr>
        <w:t xml:space="preserve">, and year for all customers in the database. This </w:t>
      </w:r>
      <w:r w:rsidR="0020064E">
        <w:rPr>
          <w:sz w:val="24"/>
          <w:szCs w:val="24"/>
        </w:rPr>
        <w:t xml:space="preserve">extra </w:t>
      </w:r>
      <w:r w:rsidR="00F725CE">
        <w:rPr>
          <w:sz w:val="24"/>
          <w:szCs w:val="24"/>
        </w:rPr>
        <w:t xml:space="preserve">gathered </w:t>
      </w:r>
      <w:r w:rsidR="0020064E">
        <w:rPr>
          <w:sz w:val="24"/>
          <w:szCs w:val="24"/>
        </w:rPr>
        <w:t xml:space="preserve">and updated information may lead to more insightful information that </w:t>
      </w:r>
      <w:r w:rsidR="00303E0F">
        <w:rPr>
          <w:sz w:val="24"/>
          <w:szCs w:val="24"/>
        </w:rPr>
        <w:t>is presently possible.</w:t>
      </w:r>
    </w:p>
    <w:p w14:paraId="4AC27B39" w14:textId="623BC920" w:rsidR="00303E0F" w:rsidRPr="00303E0F" w:rsidRDefault="00303E0F" w:rsidP="00F7210C">
      <w:pPr>
        <w:spacing w:after="0" w:line="480" w:lineRule="auto"/>
        <w:rPr>
          <w:b/>
          <w:bCs/>
          <w:sz w:val="24"/>
          <w:szCs w:val="24"/>
        </w:rPr>
      </w:pPr>
      <w:r w:rsidRPr="00303E0F">
        <w:rPr>
          <w:b/>
          <w:bCs/>
          <w:sz w:val="24"/>
          <w:szCs w:val="24"/>
        </w:rPr>
        <w:t>C3:</w:t>
      </w:r>
    </w:p>
    <w:p w14:paraId="2A9FC092" w14:textId="67B14EF7" w:rsidR="00303E0F" w:rsidRDefault="00303E0F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B1615">
        <w:rPr>
          <w:sz w:val="24"/>
          <w:szCs w:val="24"/>
        </w:rPr>
        <w:t xml:space="preserve">Two different </w:t>
      </w:r>
      <w:r w:rsidR="00017AC9">
        <w:rPr>
          <w:sz w:val="24"/>
          <w:szCs w:val="24"/>
        </w:rPr>
        <w:t>data representations in the dashboard are in the KPI panel</w:t>
      </w:r>
      <w:r w:rsidR="00BE3086">
        <w:rPr>
          <w:sz w:val="24"/>
          <w:szCs w:val="24"/>
        </w:rPr>
        <w:t xml:space="preserve">. Without filtering anything an executive </w:t>
      </w:r>
      <w:r w:rsidR="00F84146">
        <w:rPr>
          <w:sz w:val="24"/>
          <w:szCs w:val="24"/>
        </w:rPr>
        <w:t xml:space="preserve">leader can view the average tenure for </w:t>
      </w:r>
      <w:r w:rsidR="009E48DD">
        <w:rPr>
          <w:sz w:val="24"/>
          <w:szCs w:val="24"/>
        </w:rPr>
        <w:t>loyal customers is 42 months compared to churned customers at 13 months</w:t>
      </w:r>
      <w:r w:rsidR="00EC406D">
        <w:rPr>
          <w:sz w:val="24"/>
          <w:szCs w:val="24"/>
        </w:rPr>
        <w:t>.</w:t>
      </w:r>
      <w:r w:rsidR="00D53BB5">
        <w:rPr>
          <w:sz w:val="24"/>
          <w:szCs w:val="24"/>
        </w:rPr>
        <w:t xml:space="preserve"> The other data representation is the average monthly charge </w:t>
      </w:r>
      <w:r w:rsidR="00383B4C">
        <w:rPr>
          <w:sz w:val="24"/>
          <w:szCs w:val="24"/>
        </w:rPr>
        <w:t>for churned customers is $199 compared to loyal customers</w:t>
      </w:r>
      <w:r w:rsidR="00EC2F68">
        <w:rPr>
          <w:sz w:val="24"/>
          <w:szCs w:val="24"/>
        </w:rPr>
        <w:t xml:space="preserve"> at $169. That is </w:t>
      </w:r>
      <w:r w:rsidR="009C09D2">
        <w:rPr>
          <w:sz w:val="24"/>
          <w:szCs w:val="24"/>
        </w:rPr>
        <w:t>approximately</w:t>
      </w:r>
      <w:r w:rsidR="00491514">
        <w:rPr>
          <w:sz w:val="24"/>
          <w:szCs w:val="24"/>
        </w:rPr>
        <w:t xml:space="preserve"> 20% higher. </w:t>
      </w:r>
      <w:r w:rsidR="00205A11">
        <w:rPr>
          <w:sz w:val="24"/>
          <w:szCs w:val="24"/>
        </w:rPr>
        <w:t xml:space="preserve">Executive leaders could use this information for creating a marketing plan that targets customers </w:t>
      </w:r>
      <w:r w:rsidR="00FC06E7">
        <w:rPr>
          <w:sz w:val="24"/>
          <w:szCs w:val="24"/>
        </w:rPr>
        <w:t xml:space="preserve">at 12 months of tenure that have a </w:t>
      </w:r>
      <w:r w:rsidR="002C65A5">
        <w:rPr>
          <w:sz w:val="24"/>
          <w:szCs w:val="24"/>
        </w:rPr>
        <w:t xml:space="preserve">monthly charge that is </w:t>
      </w:r>
      <w:r w:rsidR="00A967B2">
        <w:rPr>
          <w:sz w:val="24"/>
          <w:szCs w:val="24"/>
        </w:rPr>
        <w:t xml:space="preserve">substantially higher than </w:t>
      </w:r>
      <w:r w:rsidR="00070FE5">
        <w:rPr>
          <w:sz w:val="24"/>
          <w:szCs w:val="24"/>
        </w:rPr>
        <w:t>$163.</w:t>
      </w:r>
    </w:p>
    <w:p w14:paraId="5D9D47BF" w14:textId="2A4DD23F" w:rsidR="00070FE5" w:rsidRPr="00070FE5" w:rsidRDefault="00070FE5" w:rsidP="00F7210C">
      <w:pPr>
        <w:spacing w:after="0" w:line="480" w:lineRule="auto"/>
        <w:rPr>
          <w:b/>
          <w:bCs/>
          <w:sz w:val="24"/>
          <w:szCs w:val="24"/>
        </w:rPr>
      </w:pPr>
      <w:r w:rsidRPr="00070FE5">
        <w:rPr>
          <w:b/>
          <w:bCs/>
          <w:sz w:val="24"/>
          <w:szCs w:val="24"/>
        </w:rPr>
        <w:lastRenderedPageBreak/>
        <w:t>C4:</w:t>
      </w:r>
    </w:p>
    <w:p w14:paraId="06878A64" w14:textId="4FFED3AE" w:rsidR="00070FE5" w:rsidRDefault="00070FE5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64364">
        <w:rPr>
          <w:sz w:val="24"/>
          <w:szCs w:val="24"/>
        </w:rPr>
        <w:t xml:space="preserve">Two of the interactive controls </w:t>
      </w:r>
      <w:r w:rsidR="00FE7865">
        <w:rPr>
          <w:sz w:val="24"/>
          <w:szCs w:val="24"/>
        </w:rPr>
        <w:t xml:space="preserve">that can be utilized in this dashboard </w:t>
      </w:r>
      <w:r w:rsidR="00FD7653">
        <w:rPr>
          <w:sz w:val="24"/>
          <w:szCs w:val="24"/>
        </w:rPr>
        <w:t>include</w:t>
      </w:r>
      <w:r w:rsidR="00FE7865">
        <w:rPr>
          <w:sz w:val="24"/>
          <w:szCs w:val="24"/>
        </w:rPr>
        <w:t xml:space="preserve"> the U.S. map</w:t>
      </w:r>
      <w:r w:rsidR="006F7DCE">
        <w:rPr>
          <w:sz w:val="24"/>
          <w:szCs w:val="24"/>
        </w:rPr>
        <w:t xml:space="preserve"> and the Churn by Gender panels. With these controls executive leaders </w:t>
      </w:r>
      <w:r w:rsidR="00C56D8F">
        <w:rPr>
          <w:sz w:val="24"/>
          <w:szCs w:val="24"/>
        </w:rPr>
        <w:t>can</w:t>
      </w:r>
      <w:r w:rsidR="002B57AA">
        <w:rPr>
          <w:sz w:val="24"/>
          <w:szCs w:val="24"/>
        </w:rPr>
        <w:t xml:space="preserve"> drill down further </w:t>
      </w:r>
      <w:r w:rsidR="003B2CC5">
        <w:rPr>
          <w:sz w:val="24"/>
          <w:szCs w:val="24"/>
        </w:rPr>
        <w:t>into the information by state and gender.</w:t>
      </w:r>
      <w:r w:rsidR="00743306">
        <w:rPr>
          <w:sz w:val="24"/>
          <w:szCs w:val="24"/>
        </w:rPr>
        <w:t xml:space="preserve"> For example, the user </w:t>
      </w:r>
      <w:r w:rsidR="00A26975">
        <w:rPr>
          <w:sz w:val="24"/>
          <w:szCs w:val="24"/>
        </w:rPr>
        <w:t>can click on the State of Indiana</w:t>
      </w:r>
      <w:r w:rsidR="00C77542">
        <w:rPr>
          <w:sz w:val="24"/>
          <w:szCs w:val="24"/>
        </w:rPr>
        <w:t xml:space="preserve"> then click on</w:t>
      </w:r>
      <w:r w:rsidR="00DC384A">
        <w:rPr>
          <w:sz w:val="24"/>
          <w:szCs w:val="24"/>
        </w:rPr>
        <w:t xml:space="preserve"> Male in the Churn by Gender panel to see that the average monthly charge</w:t>
      </w:r>
      <w:r w:rsidR="00FC43F9">
        <w:rPr>
          <w:sz w:val="24"/>
          <w:szCs w:val="24"/>
        </w:rPr>
        <w:t xml:space="preserve"> is </w:t>
      </w:r>
      <w:r w:rsidR="002D7ED4">
        <w:rPr>
          <w:sz w:val="24"/>
          <w:szCs w:val="24"/>
        </w:rPr>
        <w:t>$208,</w:t>
      </w:r>
      <w:r w:rsidR="00FC43F9">
        <w:rPr>
          <w:sz w:val="24"/>
          <w:szCs w:val="24"/>
        </w:rPr>
        <w:t xml:space="preserve"> and the average tenure is 9 months</w:t>
      </w:r>
      <w:r w:rsidR="00D65D79">
        <w:rPr>
          <w:sz w:val="24"/>
          <w:szCs w:val="24"/>
        </w:rPr>
        <w:t>.</w:t>
      </w:r>
    </w:p>
    <w:p w14:paraId="1FF6E6F1" w14:textId="7E0B8789" w:rsidR="002D7ED4" w:rsidRPr="002D7ED4" w:rsidRDefault="002D7ED4" w:rsidP="00F7210C">
      <w:pPr>
        <w:spacing w:after="0" w:line="480" w:lineRule="auto"/>
        <w:rPr>
          <w:b/>
          <w:bCs/>
          <w:sz w:val="24"/>
          <w:szCs w:val="24"/>
        </w:rPr>
      </w:pPr>
      <w:r w:rsidRPr="002D7ED4">
        <w:rPr>
          <w:b/>
          <w:bCs/>
          <w:sz w:val="24"/>
          <w:szCs w:val="24"/>
        </w:rPr>
        <w:t>C5:</w:t>
      </w:r>
    </w:p>
    <w:p w14:paraId="1B5B7DFF" w14:textId="230A94AE" w:rsidR="002D7ED4" w:rsidRDefault="002D7ED4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96616">
        <w:rPr>
          <w:sz w:val="24"/>
          <w:szCs w:val="24"/>
        </w:rPr>
        <w:t xml:space="preserve">The interactive Tableau dashboard </w:t>
      </w:r>
      <w:r w:rsidR="009E3210">
        <w:rPr>
          <w:sz w:val="24"/>
          <w:szCs w:val="24"/>
        </w:rPr>
        <w:t xml:space="preserve">consists of colors and color </w:t>
      </w:r>
      <w:r w:rsidR="003E5AB5">
        <w:rPr>
          <w:sz w:val="24"/>
          <w:szCs w:val="24"/>
        </w:rPr>
        <w:t>palettes</w:t>
      </w:r>
      <w:r w:rsidR="009E3210">
        <w:rPr>
          <w:sz w:val="24"/>
          <w:szCs w:val="24"/>
        </w:rPr>
        <w:t xml:space="preserve"> that are friendly </w:t>
      </w:r>
      <w:r w:rsidR="003E5AB5">
        <w:rPr>
          <w:sz w:val="24"/>
          <w:szCs w:val="24"/>
        </w:rPr>
        <w:t>to those</w:t>
      </w:r>
      <w:r w:rsidR="0083048A">
        <w:rPr>
          <w:sz w:val="24"/>
          <w:szCs w:val="24"/>
        </w:rPr>
        <w:t xml:space="preserve"> individuals </w:t>
      </w:r>
      <w:r w:rsidR="001F46E7">
        <w:rPr>
          <w:sz w:val="24"/>
          <w:szCs w:val="24"/>
        </w:rPr>
        <w:t xml:space="preserve">with colorblindness. </w:t>
      </w:r>
      <w:r w:rsidR="00276A3B">
        <w:rPr>
          <w:sz w:val="24"/>
          <w:szCs w:val="24"/>
        </w:rPr>
        <w:t xml:space="preserve">According to </w:t>
      </w:r>
      <w:r w:rsidR="009C09D2">
        <w:rPr>
          <w:sz w:val="24"/>
          <w:szCs w:val="24"/>
        </w:rPr>
        <w:t>Shaffer (</w:t>
      </w:r>
      <w:r w:rsidR="00AE1A36">
        <w:rPr>
          <w:sz w:val="24"/>
          <w:szCs w:val="24"/>
        </w:rPr>
        <w:t xml:space="preserve">2016), </w:t>
      </w:r>
      <w:r w:rsidR="00D16909">
        <w:rPr>
          <w:sz w:val="24"/>
          <w:szCs w:val="24"/>
        </w:rPr>
        <w:t xml:space="preserve">the colors </w:t>
      </w:r>
      <w:r w:rsidR="00BC796F">
        <w:rPr>
          <w:sz w:val="24"/>
          <w:szCs w:val="24"/>
        </w:rPr>
        <w:t xml:space="preserve">orange and blue </w:t>
      </w:r>
      <w:r w:rsidR="00AE7DD8">
        <w:rPr>
          <w:sz w:val="24"/>
          <w:szCs w:val="24"/>
        </w:rPr>
        <w:t>are distinguishable</w:t>
      </w:r>
      <w:r w:rsidR="00AE1A36">
        <w:rPr>
          <w:sz w:val="24"/>
          <w:szCs w:val="24"/>
        </w:rPr>
        <w:t>.</w:t>
      </w:r>
      <w:r w:rsidR="00AE7DD8">
        <w:rPr>
          <w:sz w:val="24"/>
          <w:szCs w:val="24"/>
        </w:rPr>
        <w:t xml:space="preserve"> Tableau </w:t>
      </w:r>
      <w:r w:rsidR="00AB0A90">
        <w:rPr>
          <w:sz w:val="24"/>
          <w:szCs w:val="24"/>
        </w:rPr>
        <w:t xml:space="preserve">includes a </w:t>
      </w:r>
      <w:r w:rsidR="003D4689">
        <w:rPr>
          <w:sz w:val="24"/>
          <w:szCs w:val="24"/>
        </w:rPr>
        <w:t>color-blind</w:t>
      </w:r>
      <w:r w:rsidR="00AB0A90">
        <w:rPr>
          <w:sz w:val="24"/>
          <w:szCs w:val="24"/>
        </w:rPr>
        <w:t xml:space="preserve"> palette </w:t>
      </w:r>
      <w:r w:rsidR="00C47896">
        <w:rPr>
          <w:sz w:val="24"/>
          <w:szCs w:val="24"/>
        </w:rPr>
        <w:t>that works well for the U.S. map.</w:t>
      </w:r>
    </w:p>
    <w:p w14:paraId="26E2CA97" w14:textId="0E784B6B" w:rsidR="002D7ED4" w:rsidRPr="003D4689" w:rsidRDefault="003D4689" w:rsidP="00F7210C">
      <w:pPr>
        <w:spacing w:after="0" w:line="480" w:lineRule="auto"/>
        <w:rPr>
          <w:b/>
          <w:bCs/>
          <w:sz w:val="24"/>
          <w:szCs w:val="24"/>
        </w:rPr>
      </w:pPr>
      <w:r w:rsidRPr="003D4689">
        <w:rPr>
          <w:b/>
          <w:bCs/>
          <w:sz w:val="24"/>
          <w:szCs w:val="24"/>
        </w:rPr>
        <w:t>C6:</w:t>
      </w:r>
    </w:p>
    <w:p w14:paraId="37F1EFA9" w14:textId="758C03BA" w:rsidR="003D4689" w:rsidRDefault="003D4689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F2E23">
        <w:rPr>
          <w:sz w:val="24"/>
          <w:szCs w:val="24"/>
        </w:rPr>
        <w:t xml:space="preserve">The </w:t>
      </w:r>
      <w:r w:rsidR="00BC6AB5">
        <w:rPr>
          <w:sz w:val="24"/>
          <w:szCs w:val="24"/>
        </w:rPr>
        <w:t xml:space="preserve">churn </w:t>
      </w:r>
      <w:r w:rsidR="009F2E23">
        <w:rPr>
          <w:sz w:val="24"/>
          <w:szCs w:val="24"/>
        </w:rPr>
        <w:t xml:space="preserve">data dictionary </w:t>
      </w:r>
      <w:r w:rsidR="00BC6AB5">
        <w:rPr>
          <w:sz w:val="24"/>
          <w:szCs w:val="24"/>
        </w:rPr>
        <w:t>states that it costs the company 10 times</w:t>
      </w:r>
      <w:r w:rsidR="00DB0E34">
        <w:rPr>
          <w:sz w:val="24"/>
          <w:szCs w:val="24"/>
        </w:rPr>
        <w:t xml:space="preserve"> more to acquire a new customer than it does to retain </w:t>
      </w:r>
      <w:r w:rsidR="005C7D8B">
        <w:rPr>
          <w:sz w:val="24"/>
          <w:szCs w:val="24"/>
        </w:rPr>
        <w:t xml:space="preserve">an existing </w:t>
      </w:r>
      <w:r w:rsidR="00DB0E34">
        <w:rPr>
          <w:sz w:val="24"/>
          <w:szCs w:val="24"/>
        </w:rPr>
        <w:t xml:space="preserve">one. </w:t>
      </w:r>
      <w:r w:rsidR="006822A3">
        <w:rPr>
          <w:sz w:val="24"/>
          <w:szCs w:val="24"/>
        </w:rPr>
        <w:t>With a churn rate above 25%</w:t>
      </w:r>
      <w:r w:rsidR="00753744">
        <w:rPr>
          <w:sz w:val="24"/>
          <w:szCs w:val="24"/>
        </w:rPr>
        <w:t xml:space="preserve"> there is good reason to investigate which customers are more likely to churn</w:t>
      </w:r>
      <w:r w:rsidR="00857ED9">
        <w:rPr>
          <w:sz w:val="24"/>
          <w:szCs w:val="24"/>
        </w:rPr>
        <w:t xml:space="preserve"> and develop a marketing plan to target these individuals</w:t>
      </w:r>
      <w:r w:rsidR="00EB68B4">
        <w:rPr>
          <w:sz w:val="24"/>
          <w:szCs w:val="24"/>
        </w:rPr>
        <w:t xml:space="preserve">. The difference in average monthly charge and </w:t>
      </w:r>
      <w:r w:rsidR="001D345A">
        <w:rPr>
          <w:sz w:val="24"/>
          <w:szCs w:val="24"/>
        </w:rPr>
        <w:t xml:space="preserve">average tenure </w:t>
      </w:r>
      <w:r w:rsidR="00FC58BE">
        <w:rPr>
          <w:sz w:val="24"/>
          <w:szCs w:val="24"/>
        </w:rPr>
        <w:t>supports</w:t>
      </w:r>
      <w:r w:rsidR="00594E53">
        <w:rPr>
          <w:sz w:val="24"/>
          <w:szCs w:val="24"/>
        </w:rPr>
        <w:t xml:space="preserve"> </w:t>
      </w:r>
      <w:r w:rsidR="00B25165">
        <w:rPr>
          <w:sz w:val="24"/>
          <w:szCs w:val="24"/>
        </w:rPr>
        <w:t xml:space="preserve">the story the dashboard </w:t>
      </w:r>
      <w:r w:rsidR="003A41C2">
        <w:rPr>
          <w:sz w:val="24"/>
          <w:szCs w:val="24"/>
        </w:rPr>
        <w:t>demonstrates</w:t>
      </w:r>
      <w:r w:rsidR="00B25165">
        <w:rPr>
          <w:sz w:val="24"/>
          <w:szCs w:val="24"/>
        </w:rPr>
        <w:t>.</w:t>
      </w:r>
    </w:p>
    <w:p w14:paraId="1F859BF3" w14:textId="309D72EB" w:rsidR="00B25165" w:rsidRPr="00B25165" w:rsidRDefault="00B25165" w:rsidP="00F7210C">
      <w:pPr>
        <w:spacing w:after="0" w:line="480" w:lineRule="auto"/>
        <w:rPr>
          <w:b/>
          <w:bCs/>
          <w:sz w:val="24"/>
          <w:szCs w:val="24"/>
        </w:rPr>
      </w:pPr>
      <w:r w:rsidRPr="00B25165">
        <w:rPr>
          <w:b/>
          <w:bCs/>
          <w:sz w:val="24"/>
          <w:szCs w:val="24"/>
        </w:rPr>
        <w:t>C7:</w:t>
      </w:r>
    </w:p>
    <w:p w14:paraId="234E78D1" w14:textId="51EBF09D" w:rsidR="00B25165" w:rsidRDefault="00B25165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E176B">
        <w:rPr>
          <w:sz w:val="24"/>
          <w:szCs w:val="24"/>
        </w:rPr>
        <w:t>The audience for this analysis consists of</w:t>
      </w:r>
      <w:r w:rsidR="00806793">
        <w:rPr>
          <w:sz w:val="24"/>
          <w:szCs w:val="24"/>
        </w:rPr>
        <w:t xml:space="preserve"> the Senior Vice President for Customer Experience (SVP), </w:t>
      </w:r>
      <w:r w:rsidR="00791D1D">
        <w:rPr>
          <w:sz w:val="24"/>
          <w:szCs w:val="24"/>
        </w:rPr>
        <w:t xml:space="preserve">the Executive Vice President of Sales (EVP), the Panel of </w:t>
      </w:r>
      <w:r w:rsidR="006D0832">
        <w:rPr>
          <w:sz w:val="24"/>
          <w:szCs w:val="24"/>
        </w:rPr>
        <w:t xml:space="preserve">Regional Vice Presidents (Regional VP), and Data Analytics Peers. </w:t>
      </w:r>
      <w:r w:rsidR="00CA5AEB">
        <w:rPr>
          <w:sz w:val="24"/>
          <w:szCs w:val="24"/>
        </w:rPr>
        <w:t>After reviewing the</w:t>
      </w:r>
      <w:r w:rsidR="0074113E">
        <w:rPr>
          <w:sz w:val="24"/>
          <w:szCs w:val="24"/>
        </w:rPr>
        <w:t xml:space="preserve"> background of the audience, I created the dashboard </w:t>
      </w:r>
      <w:r w:rsidR="004F54B9">
        <w:rPr>
          <w:sz w:val="24"/>
          <w:szCs w:val="24"/>
        </w:rPr>
        <w:t xml:space="preserve">so that all can benefit from the output. </w:t>
      </w:r>
      <w:r w:rsidR="00D630AE">
        <w:rPr>
          <w:sz w:val="24"/>
          <w:szCs w:val="24"/>
        </w:rPr>
        <w:t xml:space="preserve">For the </w:t>
      </w:r>
      <w:r w:rsidR="00314868">
        <w:rPr>
          <w:sz w:val="24"/>
          <w:szCs w:val="24"/>
        </w:rPr>
        <w:t xml:space="preserve">SVP, the </w:t>
      </w:r>
      <w:r w:rsidR="00B874D0">
        <w:rPr>
          <w:sz w:val="24"/>
          <w:szCs w:val="24"/>
        </w:rPr>
        <w:t>large-scale</w:t>
      </w:r>
      <w:r w:rsidR="00314868">
        <w:rPr>
          <w:sz w:val="24"/>
          <w:szCs w:val="24"/>
        </w:rPr>
        <w:t xml:space="preserve"> </w:t>
      </w:r>
      <w:r w:rsidR="00B24E74">
        <w:rPr>
          <w:sz w:val="24"/>
          <w:szCs w:val="24"/>
        </w:rPr>
        <w:t>output for the whole country can be viewed</w:t>
      </w:r>
      <w:r w:rsidR="00704EFB">
        <w:rPr>
          <w:sz w:val="24"/>
          <w:szCs w:val="24"/>
        </w:rPr>
        <w:t xml:space="preserve">. The EVP </w:t>
      </w:r>
      <w:r w:rsidR="00B874D0">
        <w:rPr>
          <w:sz w:val="24"/>
          <w:szCs w:val="24"/>
        </w:rPr>
        <w:t xml:space="preserve">and Regional VP’s can drill </w:t>
      </w:r>
      <w:r w:rsidR="00B874D0">
        <w:rPr>
          <w:sz w:val="24"/>
          <w:szCs w:val="24"/>
        </w:rPr>
        <w:lastRenderedPageBreak/>
        <w:t xml:space="preserve">down to a regional or state level for more in depth output. </w:t>
      </w:r>
      <w:r w:rsidR="009E0781">
        <w:rPr>
          <w:sz w:val="24"/>
          <w:szCs w:val="24"/>
        </w:rPr>
        <w:t>The Data Analytics Peers</w:t>
      </w:r>
      <w:r w:rsidR="00ED1733">
        <w:rPr>
          <w:sz w:val="24"/>
          <w:szCs w:val="24"/>
        </w:rPr>
        <w:t xml:space="preserve"> may gain insights from any level of the output</w:t>
      </w:r>
      <w:r w:rsidR="00E86BF6">
        <w:rPr>
          <w:sz w:val="24"/>
          <w:szCs w:val="24"/>
        </w:rPr>
        <w:t xml:space="preserve"> and create </w:t>
      </w:r>
      <w:r w:rsidR="00BA272F">
        <w:rPr>
          <w:sz w:val="24"/>
          <w:szCs w:val="24"/>
        </w:rPr>
        <w:t>an</w:t>
      </w:r>
      <w:r w:rsidR="000C34D2">
        <w:rPr>
          <w:sz w:val="24"/>
          <w:szCs w:val="24"/>
        </w:rPr>
        <w:t xml:space="preserve"> additional</w:t>
      </w:r>
      <w:r w:rsidR="00BA272F">
        <w:rPr>
          <w:sz w:val="24"/>
          <w:szCs w:val="24"/>
        </w:rPr>
        <w:t xml:space="preserve"> dashboard that contains information</w:t>
      </w:r>
      <w:r w:rsidR="00B04FEC">
        <w:rPr>
          <w:sz w:val="24"/>
          <w:szCs w:val="24"/>
        </w:rPr>
        <w:t xml:space="preserve"> regarding the services offered by the company</w:t>
      </w:r>
      <w:r w:rsidR="00ED46B0">
        <w:rPr>
          <w:sz w:val="24"/>
          <w:szCs w:val="24"/>
        </w:rPr>
        <w:t>.</w:t>
      </w:r>
    </w:p>
    <w:p w14:paraId="50317384" w14:textId="13FA09AB" w:rsidR="00ED46B0" w:rsidRPr="00ED46B0" w:rsidRDefault="00ED46B0" w:rsidP="00F7210C">
      <w:pPr>
        <w:spacing w:after="0" w:line="480" w:lineRule="auto"/>
        <w:rPr>
          <w:b/>
          <w:bCs/>
          <w:sz w:val="24"/>
          <w:szCs w:val="24"/>
        </w:rPr>
      </w:pPr>
      <w:r w:rsidRPr="00ED46B0">
        <w:rPr>
          <w:b/>
          <w:bCs/>
          <w:sz w:val="24"/>
          <w:szCs w:val="24"/>
        </w:rPr>
        <w:t>C8:</w:t>
      </w:r>
    </w:p>
    <w:p w14:paraId="7A51AD93" w14:textId="102BAC0C" w:rsidR="00ED46B0" w:rsidRDefault="00ED46B0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F4E65">
        <w:rPr>
          <w:sz w:val="24"/>
          <w:szCs w:val="24"/>
        </w:rPr>
        <w:t xml:space="preserve">This dashboard was created </w:t>
      </w:r>
      <w:r w:rsidR="00DF1CD3">
        <w:rPr>
          <w:sz w:val="24"/>
          <w:szCs w:val="24"/>
        </w:rPr>
        <w:t>to provide universal access for all audiences</w:t>
      </w:r>
      <w:r w:rsidR="002C4D88">
        <w:rPr>
          <w:sz w:val="24"/>
          <w:szCs w:val="24"/>
        </w:rPr>
        <w:t>. The controls are easily understood</w:t>
      </w:r>
      <w:r w:rsidR="00F165F1">
        <w:rPr>
          <w:sz w:val="24"/>
          <w:szCs w:val="24"/>
        </w:rPr>
        <w:t xml:space="preserve">, </w:t>
      </w:r>
      <w:r w:rsidR="002C4D88">
        <w:rPr>
          <w:sz w:val="24"/>
          <w:szCs w:val="24"/>
        </w:rPr>
        <w:t xml:space="preserve">the output </w:t>
      </w:r>
      <w:r w:rsidR="009D5516">
        <w:rPr>
          <w:sz w:val="24"/>
          <w:szCs w:val="24"/>
        </w:rPr>
        <w:t>is informative</w:t>
      </w:r>
      <w:r w:rsidR="00F165F1">
        <w:rPr>
          <w:sz w:val="24"/>
          <w:szCs w:val="24"/>
        </w:rPr>
        <w:t>, and</w:t>
      </w:r>
      <w:r w:rsidR="008F419D">
        <w:rPr>
          <w:sz w:val="24"/>
          <w:szCs w:val="24"/>
        </w:rPr>
        <w:t xml:space="preserve"> it</w:t>
      </w:r>
      <w:r w:rsidR="00F165F1">
        <w:rPr>
          <w:sz w:val="24"/>
          <w:szCs w:val="24"/>
        </w:rPr>
        <w:t xml:space="preserve"> is accessible simply by clicking on th</w:t>
      </w:r>
      <w:r w:rsidR="00E3301B">
        <w:rPr>
          <w:sz w:val="24"/>
          <w:szCs w:val="24"/>
        </w:rPr>
        <w:t>e link to the dashboard.</w:t>
      </w:r>
    </w:p>
    <w:p w14:paraId="1F1C456E" w14:textId="231C8864" w:rsidR="00E3301B" w:rsidRPr="00E3301B" w:rsidRDefault="00E3301B" w:rsidP="00F7210C">
      <w:pPr>
        <w:spacing w:after="0" w:line="480" w:lineRule="auto"/>
        <w:rPr>
          <w:b/>
          <w:bCs/>
          <w:sz w:val="24"/>
          <w:szCs w:val="24"/>
        </w:rPr>
      </w:pPr>
      <w:r w:rsidRPr="00E3301B">
        <w:rPr>
          <w:b/>
          <w:bCs/>
          <w:sz w:val="24"/>
          <w:szCs w:val="24"/>
        </w:rPr>
        <w:t>C9:</w:t>
      </w:r>
    </w:p>
    <w:p w14:paraId="18A91BC7" w14:textId="55AF2AF5" w:rsidR="00E3301B" w:rsidRDefault="00E3301B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05891">
        <w:rPr>
          <w:sz w:val="24"/>
          <w:szCs w:val="24"/>
        </w:rPr>
        <w:t>Two elements of effective storytelling</w:t>
      </w:r>
      <w:r w:rsidR="003B6200">
        <w:rPr>
          <w:sz w:val="24"/>
          <w:szCs w:val="24"/>
        </w:rPr>
        <w:t xml:space="preserve"> that I implemented in this presentation include</w:t>
      </w:r>
      <w:r w:rsidR="00B306C6">
        <w:rPr>
          <w:sz w:val="24"/>
          <w:szCs w:val="24"/>
        </w:rPr>
        <w:t xml:space="preserve"> engaging the </w:t>
      </w:r>
      <w:r w:rsidR="00202951">
        <w:rPr>
          <w:sz w:val="24"/>
          <w:szCs w:val="24"/>
        </w:rPr>
        <w:t xml:space="preserve">audience members by explaining </w:t>
      </w:r>
      <w:r w:rsidR="00AD0277">
        <w:rPr>
          <w:sz w:val="24"/>
          <w:szCs w:val="24"/>
        </w:rPr>
        <w:t xml:space="preserve">how the dashboard could help them </w:t>
      </w:r>
      <w:r w:rsidR="00117028">
        <w:rPr>
          <w:sz w:val="24"/>
          <w:szCs w:val="24"/>
        </w:rPr>
        <w:t>easily determine target demographics</w:t>
      </w:r>
      <w:r w:rsidR="00BC4725">
        <w:rPr>
          <w:sz w:val="24"/>
          <w:szCs w:val="24"/>
        </w:rPr>
        <w:t xml:space="preserve"> and retain </w:t>
      </w:r>
      <w:r w:rsidR="00A775DB">
        <w:rPr>
          <w:sz w:val="24"/>
          <w:szCs w:val="24"/>
        </w:rPr>
        <w:t>customers</w:t>
      </w:r>
      <w:r w:rsidR="008F419D">
        <w:rPr>
          <w:sz w:val="24"/>
          <w:szCs w:val="24"/>
        </w:rPr>
        <w:t>,</w:t>
      </w:r>
      <w:r w:rsidR="00A775DB">
        <w:rPr>
          <w:sz w:val="24"/>
          <w:szCs w:val="24"/>
        </w:rPr>
        <w:t xml:space="preserve"> and</w:t>
      </w:r>
      <w:r w:rsidR="00BC4725">
        <w:rPr>
          <w:sz w:val="24"/>
          <w:szCs w:val="24"/>
        </w:rPr>
        <w:t xml:space="preserve"> </w:t>
      </w:r>
      <w:r w:rsidR="00143AC0">
        <w:rPr>
          <w:sz w:val="24"/>
          <w:szCs w:val="24"/>
        </w:rPr>
        <w:t>being interactive</w:t>
      </w:r>
      <w:r w:rsidR="008F419D">
        <w:rPr>
          <w:sz w:val="24"/>
          <w:szCs w:val="24"/>
        </w:rPr>
        <w:t xml:space="preserve"> with my audience</w:t>
      </w:r>
      <w:r w:rsidR="00143AC0">
        <w:rPr>
          <w:sz w:val="24"/>
          <w:szCs w:val="24"/>
        </w:rPr>
        <w:t xml:space="preserve"> by explaining how this information</w:t>
      </w:r>
      <w:r w:rsidR="00CE5929">
        <w:rPr>
          <w:sz w:val="24"/>
          <w:szCs w:val="24"/>
        </w:rPr>
        <w:t xml:space="preserve"> can benefit the company’s profit margin</w:t>
      </w:r>
      <w:r w:rsidR="003C1F70">
        <w:rPr>
          <w:sz w:val="24"/>
          <w:szCs w:val="24"/>
        </w:rPr>
        <w:t xml:space="preserve"> (</w:t>
      </w:r>
      <w:r w:rsidR="00D81404">
        <w:rPr>
          <w:sz w:val="24"/>
          <w:szCs w:val="24"/>
        </w:rPr>
        <w:t>Indeed</w:t>
      </w:r>
      <w:r w:rsidR="001C5210">
        <w:rPr>
          <w:sz w:val="24"/>
          <w:szCs w:val="24"/>
        </w:rPr>
        <w:t>, 2020</w:t>
      </w:r>
      <w:r w:rsidR="00696733">
        <w:rPr>
          <w:sz w:val="24"/>
          <w:szCs w:val="24"/>
        </w:rPr>
        <w:t>)</w:t>
      </w:r>
      <w:r w:rsidR="00CE5929">
        <w:rPr>
          <w:sz w:val="24"/>
          <w:szCs w:val="24"/>
        </w:rPr>
        <w:t>.</w:t>
      </w:r>
    </w:p>
    <w:p w14:paraId="63739F99" w14:textId="65BE918A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5AE2369E" w14:textId="33564349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0F6012FA" w14:textId="73C4B0EC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5BC43F19" w14:textId="12B59B8B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5C1CE7D4" w14:textId="5BF6A307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1FD93CC7" w14:textId="6BFD7415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755B4901" w14:textId="4A0CA379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61E83963" w14:textId="24EE8267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6D0D716C" w14:textId="37C52B6E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221FE3B8" w14:textId="3C6FCBA2" w:rsidR="00867949" w:rsidRDefault="00867949" w:rsidP="00F7210C">
      <w:pPr>
        <w:spacing w:after="0" w:line="480" w:lineRule="auto"/>
        <w:rPr>
          <w:sz w:val="24"/>
          <w:szCs w:val="24"/>
        </w:rPr>
      </w:pPr>
    </w:p>
    <w:p w14:paraId="27E3CBC3" w14:textId="7CA94552" w:rsidR="00867949" w:rsidRDefault="00F963DD" w:rsidP="004223A0">
      <w:pPr>
        <w:spacing w:after="0" w:line="480" w:lineRule="auto"/>
        <w:jc w:val="center"/>
        <w:rPr>
          <w:sz w:val="24"/>
          <w:szCs w:val="24"/>
          <w:u w:val="single"/>
        </w:rPr>
      </w:pPr>
      <w:r w:rsidRPr="004223A0">
        <w:rPr>
          <w:sz w:val="24"/>
          <w:szCs w:val="24"/>
          <w:u w:val="single"/>
        </w:rPr>
        <w:lastRenderedPageBreak/>
        <w:t>References</w:t>
      </w:r>
    </w:p>
    <w:p w14:paraId="04D55779" w14:textId="2A01119D" w:rsidR="004223A0" w:rsidRPr="00241DB1" w:rsidRDefault="00CB77B8" w:rsidP="004223A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Indeed Editorial Team (September 10, </w:t>
      </w:r>
      <w:r w:rsidR="00C776B2">
        <w:rPr>
          <w:sz w:val="24"/>
          <w:szCs w:val="24"/>
        </w:rPr>
        <w:t>2020) Storytelling: Elements of a good story and how to develop your process</w:t>
      </w:r>
      <w:r w:rsidR="00C61171">
        <w:rPr>
          <w:sz w:val="24"/>
          <w:szCs w:val="24"/>
        </w:rPr>
        <w:t>. Retrieved from</w:t>
      </w:r>
    </w:p>
    <w:p w14:paraId="401B1371" w14:textId="683F1DAB" w:rsidR="004223A0" w:rsidRPr="003A77BF" w:rsidRDefault="00000000" w:rsidP="004223A0">
      <w:pPr>
        <w:spacing w:after="0" w:line="480" w:lineRule="auto"/>
        <w:rPr>
          <w:sz w:val="24"/>
          <w:szCs w:val="24"/>
          <w:u w:val="single"/>
        </w:rPr>
      </w:pPr>
      <w:hyperlink r:id="rId4" w:anchor=":~:text=Stories%20should%3A%201%20Be%20interactive.%20Even%20when%20a,Introduce%20conflict.%20...%206%20Provide%20a%20resolution.%20" w:history="1">
        <w:r w:rsidR="004223A0" w:rsidRPr="003A77BF">
          <w:rPr>
            <w:rStyle w:val="Hyperlink"/>
            <w:sz w:val="24"/>
            <w:szCs w:val="24"/>
          </w:rPr>
          <w:t>Storytelling: Elements of a Good Story and How To Develop Your Process | Indeed.com</w:t>
        </w:r>
      </w:hyperlink>
    </w:p>
    <w:p w14:paraId="46FA1164" w14:textId="57D679BE" w:rsidR="00A775DB" w:rsidRDefault="00111784" w:rsidP="00F7210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Shaffer</w:t>
      </w:r>
      <w:r w:rsidR="00F73DAF">
        <w:rPr>
          <w:sz w:val="24"/>
          <w:szCs w:val="24"/>
        </w:rPr>
        <w:t>, J. (April 20, 2016).</w:t>
      </w:r>
      <w:r w:rsidR="00FB2F3A">
        <w:rPr>
          <w:sz w:val="24"/>
          <w:szCs w:val="24"/>
        </w:rPr>
        <w:t xml:space="preserve"> 5 Tips on designing colorblind-friendly visualizations</w:t>
      </w:r>
      <w:r w:rsidR="003A77BF">
        <w:rPr>
          <w:sz w:val="24"/>
          <w:szCs w:val="24"/>
        </w:rPr>
        <w:t>. Retrieved from</w:t>
      </w:r>
    </w:p>
    <w:p w14:paraId="5A09593F" w14:textId="251E1B0D" w:rsidR="003A77BF" w:rsidRDefault="00000000" w:rsidP="00F7210C">
      <w:pPr>
        <w:spacing w:after="0" w:line="480" w:lineRule="auto"/>
        <w:rPr>
          <w:sz w:val="24"/>
          <w:szCs w:val="24"/>
        </w:rPr>
      </w:pPr>
      <w:hyperlink r:id="rId5" w:anchor=":~:text=For%20example%2C%20blue%2Forange%20is%20a%20common%20colorblind-friendly%20palette.,would%20generally%20look%20blue%20to%20someone%20with%20CVD." w:history="1">
        <w:r w:rsidR="003A77BF" w:rsidRPr="003A77BF">
          <w:rPr>
            <w:rStyle w:val="Hyperlink"/>
            <w:sz w:val="24"/>
            <w:szCs w:val="24"/>
          </w:rPr>
          <w:t>5 Tips on Designing Colorblind-Friendly Visualizations (tableau.com)</w:t>
        </w:r>
      </w:hyperlink>
    </w:p>
    <w:p w14:paraId="0F0097E5" w14:textId="77777777" w:rsidR="003A77BF" w:rsidRPr="003A77BF" w:rsidRDefault="003A77BF" w:rsidP="00F7210C">
      <w:pPr>
        <w:spacing w:after="0" w:line="480" w:lineRule="auto"/>
        <w:rPr>
          <w:sz w:val="24"/>
          <w:szCs w:val="24"/>
        </w:rPr>
      </w:pPr>
    </w:p>
    <w:sectPr w:rsidR="003A77BF" w:rsidRPr="003A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BF"/>
    <w:rsid w:val="00005891"/>
    <w:rsid w:val="00017AC9"/>
    <w:rsid w:val="00070B29"/>
    <w:rsid w:val="00070FE5"/>
    <w:rsid w:val="000B2D10"/>
    <w:rsid w:val="000C34D2"/>
    <w:rsid w:val="000E4549"/>
    <w:rsid w:val="000E60EB"/>
    <w:rsid w:val="00110352"/>
    <w:rsid w:val="00111784"/>
    <w:rsid w:val="00117028"/>
    <w:rsid w:val="00143AC0"/>
    <w:rsid w:val="001679A4"/>
    <w:rsid w:val="001778F6"/>
    <w:rsid w:val="001A1F10"/>
    <w:rsid w:val="001B6053"/>
    <w:rsid w:val="001C5210"/>
    <w:rsid w:val="001D345A"/>
    <w:rsid w:val="001F46E7"/>
    <w:rsid w:val="0020064E"/>
    <w:rsid w:val="00202951"/>
    <w:rsid w:val="00205A11"/>
    <w:rsid w:val="002335F9"/>
    <w:rsid w:val="00235FBF"/>
    <w:rsid w:val="00241DB1"/>
    <w:rsid w:val="00276A3B"/>
    <w:rsid w:val="002A7941"/>
    <w:rsid w:val="002B56CB"/>
    <w:rsid w:val="002B57AA"/>
    <w:rsid w:val="002B6D47"/>
    <w:rsid w:val="002C4D88"/>
    <w:rsid w:val="002C65A5"/>
    <w:rsid w:val="002D7ED4"/>
    <w:rsid w:val="00303E0F"/>
    <w:rsid w:val="00314868"/>
    <w:rsid w:val="00316513"/>
    <w:rsid w:val="003240AB"/>
    <w:rsid w:val="0035089A"/>
    <w:rsid w:val="00383B4C"/>
    <w:rsid w:val="00396616"/>
    <w:rsid w:val="003A41C2"/>
    <w:rsid w:val="003A77BF"/>
    <w:rsid w:val="003B2CC5"/>
    <w:rsid w:val="003B6200"/>
    <w:rsid w:val="003C1F70"/>
    <w:rsid w:val="003D4689"/>
    <w:rsid w:val="003E5AB5"/>
    <w:rsid w:val="004223A0"/>
    <w:rsid w:val="00491514"/>
    <w:rsid w:val="004F54B9"/>
    <w:rsid w:val="00577404"/>
    <w:rsid w:val="00594E53"/>
    <w:rsid w:val="005C7D8B"/>
    <w:rsid w:val="00664364"/>
    <w:rsid w:val="00670234"/>
    <w:rsid w:val="006822A3"/>
    <w:rsid w:val="00696733"/>
    <w:rsid w:val="006C113C"/>
    <w:rsid w:val="006D0832"/>
    <w:rsid w:val="006F4E65"/>
    <w:rsid w:val="006F7DCE"/>
    <w:rsid w:val="00703395"/>
    <w:rsid w:val="00704EFB"/>
    <w:rsid w:val="0071664E"/>
    <w:rsid w:val="0074113E"/>
    <w:rsid w:val="00743306"/>
    <w:rsid w:val="00753744"/>
    <w:rsid w:val="00791D1D"/>
    <w:rsid w:val="007B05F0"/>
    <w:rsid w:val="00806793"/>
    <w:rsid w:val="0083048A"/>
    <w:rsid w:val="008470A4"/>
    <w:rsid w:val="00851200"/>
    <w:rsid w:val="00857ED9"/>
    <w:rsid w:val="00867949"/>
    <w:rsid w:val="008A335A"/>
    <w:rsid w:val="008F419D"/>
    <w:rsid w:val="009239B7"/>
    <w:rsid w:val="009B5285"/>
    <w:rsid w:val="009C09D2"/>
    <w:rsid w:val="009D3F58"/>
    <w:rsid w:val="009D5516"/>
    <w:rsid w:val="009E0781"/>
    <w:rsid w:val="009E1535"/>
    <w:rsid w:val="009E176B"/>
    <w:rsid w:val="009E3210"/>
    <w:rsid w:val="009E3F49"/>
    <w:rsid w:val="009E48DD"/>
    <w:rsid w:val="009F2E23"/>
    <w:rsid w:val="00A26975"/>
    <w:rsid w:val="00A32965"/>
    <w:rsid w:val="00A4028E"/>
    <w:rsid w:val="00A775DB"/>
    <w:rsid w:val="00A967B2"/>
    <w:rsid w:val="00AB0A90"/>
    <w:rsid w:val="00AD0277"/>
    <w:rsid w:val="00AE1A36"/>
    <w:rsid w:val="00AE7DD8"/>
    <w:rsid w:val="00B04FEC"/>
    <w:rsid w:val="00B24E74"/>
    <w:rsid w:val="00B25165"/>
    <w:rsid w:val="00B306C6"/>
    <w:rsid w:val="00B874D0"/>
    <w:rsid w:val="00BA272F"/>
    <w:rsid w:val="00BA79AB"/>
    <w:rsid w:val="00BC4725"/>
    <w:rsid w:val="00BC6AB5"/>
    <w:rsid w:val="00BC796F"/>
    <w:rsid w:val="00BE17E9"/>
    <w:rsid w:val="00BE3086"/>
    <w:rsid w:val="00C05F91"/>
    <w:rsid w:val="00C40FD3"/>
    <w:rsid w:val="00C431C7"/>
    <w:rsid w:val="00C47896"/>
    <w:rsid w:val="00C56D8F"/>
    <w:rsid w:val="00C61171"/>
    <w:rsid w:val="00C77542"/>
    <w:rsid w:val="00C776B2"/>
    <w:rsid w:val="00CA5AEB"/>
    <w:rsid w:val="00CB77B8"/>
    <w:rsid w:val="00CE4373"/>
    <w:rsid w:val="00CE5929"/>
    <w:rsid w:val="00D0604A"/>
    <w:rsid w:val="00D16909"/>
    <w:rsid w:val="00D53BB5"/>
    <w:rsid w:val="00D630AE"/>
    <w:rsid w:val="00D65D79"/>
    <w:rsid w:val="00D72327"/>
    <w:rsid w:val="00D81404"/>
    <w:rsid w:val="00DB0E34"/>
    <w:rsid w:val="00DC384A"/>
    <w:rsid w:val="00DD7B15"/>
    <w:rsid w:val="00DF1CD3"/>
    <w:rsid w:val="00E3301B"/>
    <w:rsid w:val="00E805E7"/>
    <w:rsid w:val="00E86BF6"/>
    <w:rsid w:val="00EB68B4"/>
    <w:rsid w:val="00EC2F68"/>
    <w:rsid w:val="00EC406D"/>
    <w:rsid w:val="00ED1733"/>
    <w:rsid w:val="00ED46B0"/>
    <w:rsid w:val="00EF3E8F"/>
    <w:rsid w:val="00F010D2"/>
    <w:rsid w:val="00F165F1"/>
    <w:rsid w:val="00F7210C"/>
    <w:rsid w:val="00F725CE"/>
    <w:rsid w:val="00F73DAF"/>
    <w:rsid w:val="00F84146"/>
    <w:rsid w:val="00F963DD"/>
    <w:rsid w:val="00FB1615"/>
    <w:rsid w:val="00FB2F3A"/>
    <w:rsid w:val="00FC06E7"/>
    <w:rsid w:val="00FC43F9"/>
    <w:rsid w:val="00FC58BE"/>
    <w:rsid w:val="00FD7653"/>
    <w:rsid w:val="00F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336"/>
  <w15:chartTrackingRefBased/>
  <w15:docId w15:val="{FBDF2286-01BB-40AD-9946-FC61CAD3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Info">
    <w:name w:val="Author Info"/>
    <w:basedOn w:val="Normal"/>
    <w:rsid w:val="009E1535"/>
    <w:pPr>
      <w:tabs>
        <w:tab w:val="right" w:pos="8640"/>
      </w:tabs>
      <w:spacing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OfPaperCover">
    <w:name w:val="TitleOfPaper_Cover"/>
    <w:basedOn w:val="Normal"/>
    <w:rsid w:val="009E1535"/>
    <w:pPr>
      <w:keepNext/>
      <w:keepLines/>
      <w:tabs>
        <w:tab w:val="right" w:pos="8640"/>
      </w:tabs>
      <w:spacing w:line="480" w:lineRule="auto"/>
      <w:jc w:val="center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422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bleau.com/blog/examining-data-viz-rules-dont-use-red-green-together" TargetMode="External"/><Relationship Id="rId4" Type="http://schemas.openxmlformats.org/officeDocument/2006/relationships/hyperlink" Target="https://www.indeed.com/career-advice/career-development/storyt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colwell</dc:creator>
  <cp:keywords/>
  <dc:description/>
  <cp:lastModifiedBy>eric colwell</cp:lastModifiedBy>
  <cp:revision>155</cp:revision>
  <cp:lastPrinted>2023-01-07T22:44:00Z</cp:lastPrinted>
  <dcterms:created xsi:type="dcterms:W3CDTF">2023-01-07T19:09:00Z</dcterms:created>
  <dcterms:modified xsi:type="dcterms:W3CDTF">2023-01-09T18:21:00Z</dcterms:modified>
</cp:coreProperties>
</file>