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669F52B3" wp14:editId="093479A4">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rsidR="003F554D" w:rsidRPr="003F554D" w:rsidRDefault="003F554D" w:rsidP="00B828AC">
      <w:pPr>
        <w:contextualSpacing/>
        <w:jc w:val="center"/>
        <w:rPr>
          <w:color w:val="2F5496" w:themeColor="accent5" w:themeShade="BF"/>
          <w:sz w:val="18"/>
        </w:rPr>
      </w:pPr>
    </w:p>
    <w:p w:rsidR="00D51018" w:rsidRPr="003F554D" w:rsidRDefault="00D51018" w:rsidP="00D51018">
      <w:pPr>
        <w:contextualSpacing/>
        <w:rPr>
          <w:rFonts w:ascii="Bookman Old Style" w:hAnsi="Bookman Old Style"/>
          <w:sz w:val="18"/>
        </w:rPr>
      </w:pPr>
    </w:p>
    <w:p w:rsidR="00D51018"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FA4857" w:rsidRPr="005262FB">
        <w:rPr>
          <w:rFonts w:ascii="Bookman Old Style" w:hAnsi="Bookman Old Style"/>
          <w:sz w:val="24"/>
          <w:szCs w:val="24"/>
        </w:rPr>
        <w:t>d</w:t>
      </w:r>
      <w:r w:rsidRPr="005262FB">
        <w:rPr>
          <w:rFonts w:ascii="Bookman Old Style" w:hAnsi="Bookman Old Style"/>
          <w:sz w:val="24"/>
          <w:szCs w:val="24"/>
        </w:rPr>
        <w:t>ate</w:t>
      </w:r>
      <w:r w:rsidR="00FA4857" w:rsidRPr="005262FB">
        <w:rPr>
          <w:rFonts w:ascii="Bookman Old Style" w:hAnsi="Bookman Old Style"/>
          <w:sz w:val="24"/>
          <w:szCs w:val="24"/>
        </w:rPr>
        <w:t>g</w:t>
      </w:r>
      <w:r w:rsidRPr="005262FB">
        <w:rPr>
          <w:rFonts w:ascii="Bookman Old Style" w:hAnsi="Bookman Old Style"/>
          <w:sz w:val="24"/>
          <w:szCs w:val="24"/>
        </w:rPr>
        <w:t>enerated</w:t>
      </w:r>
      <w:proofErr w:type="spellEnd"/>
      <w:r w:rsidRPr="005262FB">
        <w:rPr>
          <w:rFonts w:ascii="Bookman Old Style" w:hAnsi="Bookman Old Style"/>
          <w:sz w:val="24"/>
          <w:szCs w:val="24"/>
        </w:rPr>
        <w:t>%</w:t>
      </w:r>
    </w:p>
    <w:p w:rsidR="00D82511" w:rsidRPr="005262FB"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rsidR="00FE60B5" w:rsidRDefault="00FE60B5" w:rsidP="00FE60B5">
      <w:pPr>
        <w:spacing w:line="240" w:lineRule="auto"/>
        <w:contextualSpacing/>
        <w:rPr>
          <w:rFonts w:ascii="Bookman Old Style" w:hAnsi="Bookman Old Style"/>
          <w:b/>
          <w:sz w:val="24"/>
          <w:szCs w:val="24"/>
        </w:rPr>
      </w:pPr>
    </w:p>
    <w:p w:rsidR="00FE60B5" w:rsidRPr="00FE60B5" w:rsidRDefault="00FE60B5" w:rsidP="00FE60B5">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rsidR="00FE60B5" w:rsidRPr="00C92BE5" w:rsidRDefault="00FE60B5" w:rsidP="00FE60B5">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p</w:t>
      </w:r>
      <w:r w:rsidRPr="005262FB">
        <w:rPr>
          <w:rFonts w:ascii="Bookman Old Style" w:hAnsi="Bookman Old Style"/>
          <w:b/>
          <w:sz w:val="24"/>
          <w:szCs w:val="24"/>
        </w:rPr>
        <w:t>roponent</w:t>
      </w:r>
      <w:r w:rsidR="00FA4857" w:rsidRPr="005262FB">
        <w:rPr>
          <w:rFonts w:ascii="Bookman Old Style" w:hAnsi="Bookman Old Style"/>
          <w:b/>
          <w:sz w:val="24"/>
          <w:szCs w:val="24"/>
        </w:rPr>
        <w:t>n</w:t>
      </w:r>
      <w:r w:rsidRPr="005262FB">
        <w:rPr>
          <w:rFonts w:ascii="Bookman Old Style" w:hAnsi="Bookman Old Style"/>
          <w:b/>
          <w:sz w:val="24"/>
          <w:szCs w:val="24"/>
        </w:rPr>
        <w:t>ame</w:t>
      </w:r>
      <w:proofErr w:type="spellEnd"/>
      <w:r w:rsidRPr="005262FB">
        <w:rPr>
          <w:rFonts w:ascii="Bookman Old Style" w:hAnsi="Bookman Old Style"/>
          <w:b/>
          <w:sz w:val="24"/>
          <w:szCs w:val="24"/>
        </w:rPr>
        <w:t>%</w:t>
      </w: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00A96193" w:rsidRPr="005262FB">
        <w:rPr>
          <w:rFonts w:ascii="Bookman Old Style" w:hAnsi="Bookman Old Style"/>
          <w:sz w:val="24"/>
          <w:szCs w:val="24"/>
        </w:rPr>
        <w:t>proponenta</w:t>
      </w:r>
      <w:r w:rsidRPr="005262FB">
        <w:rPr>
          <w:rFonts w:ascii="Bookman Old Style" w:hAnsi="Bookman Old Style"/>
          <w:sz w:val="24"/>
          <w:szCs w:val="24"/>
        </w:rPr>
        <w:t>ddress</w:t>
      </w:r>
      <w:proofErr w:type="spellEnd"/>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A96193" w:rsidRPr="005262FB" w:rsidRDefault="00A96193" w:rsidP="00D51018">
      <w:pPr>
        <w:spacing w:line="240" w:lineRule="auto"/>
        <w:contextualSpacing/>
        <w:rPr>
          <w:rFonts w:ascii="Bookman Old Style" w:hAnsi="Bookman Old Style"/>
          <w:sz w:val="24"/>
          <w:szCs w:val="24"/>
        </w:rPr>
      </w:pPr>
    </w:p>
    <w:p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rsidR="00496D07" w:rsidRPr="005262FB" w:rsidRDefault="00496D07" w:rsidP="00D51018">
      <w:pPr>
        <w:spacing w:line="240" w:lineRule="auto"/>
        <w:contextualSpacing/>
        <w:rPr>
          <w:rFonts w:ascii="Bookman Old Style" w:hAnsi="Bookman Old Style"/>
          <w:sz w:val="24"/>
          <w:szCs w:val="24"/>
        </w:rPr>
      </w:pP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1906CC" w:rsidRPr="005262FB">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1906CC" w:rsidRPr="005262FB">
        <w:rPr>
          <w:rFonts w:ascii="Bookman Old Style" w:eastAsia="Times New Roman" w:hAnsi="Bookman Old Style"/>
          <w:sz w:val="24"/>
          <w:szCs w:val="24"/>
        </w:rPr>
        <w:t>%.</w:t>
      </w:r>
    </w:p>
    <w:p w:rsidR="00496D07" w:rsidRPr="005262FB" w:rsidRDefault="00496D07" w:rsidP="00496D07">
      <w:pPr>
        <w:spacing w:after="0" w:line="240" w:lineRule="auto"/>
        <w:rPr>
          <w:rFonts w:ascii="Bookman Old Style" w:eastAsia="Times New Roman" w:hAnsi="Bookman Old Style"/>
          <w:sz w:val="24"/>
          <w:szCs w:val="24"/>
        </w:rPr>
      </w:pPr>
    </w:p>
    <w:p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rsidR="005262FB" w:rsidRDefault="005262FB" w:rsidP="00496D07">
      <w:pPr>
        <w:spacing w:after="0" w:line="240" w:lineRule="auto"/>
        <w:jc w:val="both"/>
        <w:rPr>
          <w:rFonts w:ascii="Bookman Old Style" w:eastAsia="Times New Roman" w:hAnsi="Bookman Old Style"/>
          <w:sz w:val="24"/>
          <w:szCs w:val="24"/>
        </w:rPr>
      </w:pPr>
    </w:p>
    <w:p w:rsidR="00496D07"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You may proceed with the project implementation after securing all the necessary permits from other pertinent Government agencies.  This Office will be monitoring the project periodically to ensure your compliance with stipulations cited in the attached ECC.</w:t>
      </w:r>
    </w:p>
    <w:p w:rsidR="00201779" w:rsidRDefault="00201779" w:rsidP="00496D07">
      <w:pPr>
        <w:spacing w:after="0" w:line="240" w:lineRule="auto"/>
        <w:rPr>
          <w:rFonts w:ascii="Bookman Old Style" w:eastAsia="Times New Roman" w:hAnsi="Bookman Old Style"/>
          <w:sz w:val="24"/>
          <w:szCs w:val="24"/>
        </w:rPr>
      </w:pPr>
    </w:p>
    <w:p w:rsidR="002046B7" w:rsidRDefault="002046B7" w:rsidP="002046B7">
      <w:pPr>
        <w:spacing w:after="0" w:line="240" w:lineRule="auto"/>
        <w:jc w:val="both"/>
        <w:rPr>
          <w:rFonts w:ascii="Bookman Old Style" w:eastAsia="Times New Roman" w:hAnsi="Bookman Old Style"/>
          <w:sz w:val="24"/>
          <w:szCs w:val="24"/>
        </w:rPr>
      </w:pPr>
      <w:bookmarkStart w:id="0" w:name="_GoBack"/>
      <w:r w:rsidRPr="002046B7">
        <w:rPr>
          <w:rFonts w:ascii="Bookman Old Style" w:eastAsia="Times New Roman" w:hAnsi="Bookman Old Style"/>
          <w:sz w:val="24"/>
          <w:szCs w:val="24"/>
        </w:rPr>
        <w:t xml:space="preserve">This Certificate does not create any right nor be used as an authorization to implement the </w:t>
      </w:r>
      <w:proofErr w:type="gramStart"/>
      <w:r w:rsidRPr="002046B7">
        <w:rPr>
          <w:rFonts w:ascii="Bookman Old Style" w:eastAsia="Times New Roman" w:hAnsi="Bookman Old Style"/>
          <w:sz w:val="24"/>
          <w:szCs w:val="24"/>
        </w:rPr>
        <w:t>project,</w:t>
      </w:r>
      <w:proofErr w:type="gramEnd"/>
      <w:r w:rsidRPr="002046B7">
        <w:rPr>
          <w:rFonts w:ascii="Bookman Old Style" w:eastAsia="Times New Roman" w:hAnsi="Bookman Old Style"/>
          <w:sz w:val="24"/>
          <w:szCs w:val="24"/>
        </w:rPr>
        <w:t xml:space="preserve">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bookmarkEnd w:id="0"/>
    <w:p w:rsidR="002B77F5" w:rsidRPr="005262FB" w:rsidRDefault="002B77F5" w:rsidP="002046B7">
      <w:pPr>
        <w:spacing w:after="0" w:line="240" w:lineRule="auto"/>
        <w:jc w:val="both"/>
        <w:rPr>
          <w:rFonts w:ascii="Bookman Old Style" w:eastAsia="Times New Roman" w:hAnsi="Bookman Old Style"/>
          <w:sz w:val="24"/>
          <w:szCs w:val="24"/>
        </w:rPr>
      </w:pPr>
    </w:p>
    <w:p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rsidR="00D51018" w:rsidRPr="005262FB" w:rsidRDefault="00BA6FB0" w:rsidP="00D51018">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5408" behindDoc="1" locked="0" layoutInCell="1" allowOverlap="1" wp14:anchorId="743DF866" wp14:editId="086F447D">
            <wp:simplePos x="0" y="0"/>
            <wp:positionH relativeFrom="column">
              <wp:posOffset>19050</wp:posOffset>
            </wp:positionH>
            <wp:positionV relativeFrom="paragraph">
              <wp:posOffset>117475</wp:posOffset>
            </wp:positionV>
            <wp:extent cx="1438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rsidR="00D51018" w:rsidRPr="005262FB" w:rsidRDefault="008F564E" w:rsidP="008F564E">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rsidR="00D51018" w:rsidRPr="005262FB" w:rsidRDefault="00D51018" w:rsidP="00D51018">
      <w:pPr>
        <w:spacing w:line="240" w:lineRule="auto"/>
        <w:contextualSpacing/>
        <w:jc w:val="both"/>
        <w:rPr>
          <w:rFonts w:ascii="Bookman Old Style" w:hAnsi="Bookman Old Style"/>
          <w:sz w:val="24"/>
          <w:szCs w:val="24"/>
        </w:rPr>
      </w:pPr>
    </w:p>
    <w:p w:rsidR="00B828AC" w:rsidRDefault="00B828AC" w:rsidP="00D51018">
      <w:pPr>
        <w:spacing w:line="240" w:lineRule="auto"/>
        <w:contextualSpacing/>
        <w:jc w:val="both"/>
        <w:rPr>
          <w:rFonts w:ascii="Bookman Old Style" w:hAnsi="Bookman Old Style"/>
          <w:b/>
          <w:sz w:val="24"/>
          <w:szCs w:val="24"/>
        </w:rPr>
      </w:pPr>
    </w:p>
    <w:p w:rsidR="00D51018" w:rsidRPr="005262FB" w:rsidRDefault="00D51018" w:rsidP="00D51018">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w:t>
      </w:r>
      <w:r w:rsidR="007339B1" w:rsidRPr="005262FB">
        <w:rPr>
          <w:rFonts w:ascii="Bookman Old Style" w:hAnsi="Bookman Old Style"/>
          <w:b/>
          <w:sz w:val="24"/>
          <w:szCs w:val="24"/>
        </w:rPr>
        <w:t>approver</w:t>
      </w:r>
      <w:r w:rsidRPr="005262FB">
        <w:rPr>
          <w:rFonts w:ascii="Bookman Old Style" w:hAnsi="Bookman Old Style"/>
          <w:b/>
          <w:sz w:val="24"/>
          <w:szCs w:val="24"/>
        </w:rPr>
        <w:t>%</w:t>
      </w:r>
    </w:p>
    <w:p w:rsidR="00D82511"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99CCE51" wp14:editId="4FA3DE81">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15ED3BF2" wp14:editId="4921741A">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rsidR="005D0855" w:rsidRDefault="005D0855" w:rsidP="00D745D9">
      <w:pPr>
        <w:spacing w:after="0" w:line="240" w:lineRule="auto"/>
        <w:contextualSpacing/>
        <w:jc w:val="center"/>
        <w:rPr>
          <w:rFonts w:ascii="Bookman Old Style" w:eastAsia="Times New Roman" w:hAnsi="Bookman Old Style"/>
          <w:b/>
          <w:sz w:val="24"/>
          <w:szCs w:val="24"/>
        </w:rPr>
      </w:pPr>
    </w:p>
    <w:p w:rsidR="00D745D9" w:rsidRDefault="00D745D9" w:rsidP="00D745D9">
      <w:pPr>
        <w:spacing w:after="0" w:line="240" w:lineRule="auto"/>
        <w:contextualSpacing/>
        <w:jc w:val="center"/>
        <w:rPr>
          <w:rFonts w:ascii="Bookman Old Style" w:eastAsia="Times New Roman" w:hAnsi="Bookman Old Style"/>
          <w:b/>
          <w:sz w:val="24"/>
          <w:szCs w:val="24"/>
        </w:rPr>
      </w:pPr>
    </w:p>
    <w:p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rsidR="0078684F" w:rsidRPr="005262FB"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rsidR="0078684F" w:rsidRPr="005262FB" w:rsidRDefault="0078684F" w:rsidP="0078684F">
      <w:pPr>
        <w:spacing w:after="0" w:line="240" w:lineRule="auto"/>
        <w:rPr>
          <w:rFonts w:ascii="Bookman Old Style" w:eastAsia="Times New Roman" w:hAnsi="Bookman Old Style"/>
          <w:sz w:val="24"/>
          <w:szCs w:val="24"/>
        </w:rPr>
      </w:pPr>
    </w:p>
    <w:p w:rsidR="00456FC0" w:rsidRPr="005262FB" w:rsidRDefault="00456FC0" w:rsidP="00456FC0">
      <w:pPr>
        <w:rPr>
          <w:rFonts w:ascii="Bookman Old Style" w:hAnsi="Bookman Old Style"/>
          <w:sz w:val="24"/>
          <w:szCs w:val="24"/>
        </w:rPr>
      </w:pPr>
    </w:p>
    <w:p w:rsidR="00264AB5"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proponentname</w:t>
      </w:r>
      <w:proofErr w:type="spellEnd"/>
      <w:r w:rsidR="00A96193" w:rsidRPr="005262FB">
        <w:rPr>
          <w:rFonts w:ascii="Bookman Old Style" w:eastAsia="Times New Roman"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representativedesignation</w:t>
      </w:r>
      <w:proofErr w:type="spellEnd"/>
      <w:r w:rsidR="00A96193"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96193" w:rsidRPr="005262FB">
        <w:rPr>
          <w:rFonts w:ascii="Bookman Old Style" w:eastAsia="Times New Roman" w:hAnsi="Bookman Old Style"/>
          <w:sz w:val="24"/>
          <w:szCs w:val="24"/>
        </w:rPr>
        <w:t>%representative%</w:t>
      </w:r>
      <w:r w:rsidRPr="005262FB">
        <w:rPr>
          <w:rFonts w:ascii="Bookman Old Style" w:eastAsia="Times New Roman" w:hAnsi="Bookman Old Style"/>
          <w:sz w:val="24"/>
          <w:szCs w:val="24"/>
        </w:rPr>
        <w:t xml:space="preserve">, is granted this Environmental Compliance Certificate (ECC), for the proposed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7339B1" w:rsidRPr="005262F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rsidR="00264AB5" w:rsidRDefault="00264AB5" w:rsidP="00456FC0">
      <w:pPr>
        <w:spacing w:after="0" w:line="240" w:lineRule="auto"/>
        <w:jc w:val="both"/>
        <w:rPr>
          <w:rFonts w:ascii="Bookman Old Style" w:eastAsia="Times New Roman" w:hAnsi="Bookman Old Style"/>
          <w:sz w:val="24"/>
          <w:szCs w:val="24"/>
        </w:rPr>
      </w:pPr>
    </w:p>
    <w:p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rsidR="00456FC0" w:rsidRPr="005262FB" w:rsidRDefault="00456FC0" w:rsidP="00456FC0">
      <w:pPr>
        <w:spacing w:after="0" w:line="240" w:lineRule="auto"/>
        <w:rPr>
          <w:rFonts w:ascii="Bookman Old Style" w:eastAsia="Times New Roman" w:hAnsi="Bookman Old Style"/>
          <w:sz w:val="24"/>
          <w:szCs w:val="24"/>
        </w:rPr>
      </w:pPr>
    </w:p>
    <w:p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rsidR="00E07DDF" w:rsidRDefault="00E07DDF" w:rsidP="00456FC0">
      <w:pPr>
        <w:jc w:val="center"/>
        <w:rPr>
          <w:rFonts w:ascii="Bookman Old Style" w:hAnsi="Bookman Old Style"/>
          <w:b/>
          <w:color w:val="000000" w:themeColor="text1"/>
          <w:sz w:val="24"/>
          <w:szCs w:val="24"/>
        </w:rPr>
      </w:pPr>
    </w:p>
    <w:p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The ECC covers the proposed %</w:t>
      </w:r>
      <w:proofErr w:type="spellStart"/>
      <w:r w:rsidRPr="00590A82">
        <w:rPr>
          <w:rFonts w:ascii="Bookman Old Style" w:hAnsi="Bookman Old Style"/>
          <w:i/>
          <w:color w:val="000000" w:themeColor="text1"/>
          <w:sz w:val="24"/>
          <w:szCs w:val="24"/>
        </w:rPr>
        <w:t>projectname</w:t>
      </w:r>
      <w:proofErr w:type="spellEnd"/>
      <w:r w:rsidRPr="00590A82">
        <w:rPr>
          <w:rFonts w:ascii="Bookman Old Style" w:hAnsi="Bookman Old Style"/>
          <w:i/>
          <w:color w:val="000000" w:themeColor="text1"/>
          <w:sz w:val="24"/>
          <w:szCs w:val="24"/>
        </w:rPr>
        <w:t>% with an area of %</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Pr="00590A82">
        <w:rPr>
          <w:rFonts w:ascii="Bookman Old Style" w:hAnsi="Bookman Old Style"/>
          <w:i/>
          <w:color w:val="000000" w:themeColor="text1"/>
          <w:sz w:val="24"/>
          <w:szCs w:val="24"/>
        </w:rPr>
        <w:t>% to be located in %</w:t>
      </w:r>
      <w:proofErr w:type="spellStart"/>
      <w:r w:rsidRPr="00590A82">
        <w:rPr>
          <w:rFonts w:ascii="Bookman Old Style" w:hAnsi="Bookman Old Style"/>
          <w:i/>
          <w:color w:val="000000" w:themeColor="text1"/>
          <w:sz w:val="24"/>
          <w:szCs w:val="24"/>
        </w:rPr>
        <w:t>projectaddress</w:t>
      </w:r>
      <w:proofErr w:type="spellEnd"/>
      <w:r w:rsidRPr="00590A82">
        <w:rPr>
          <w:rFonts w:ascii="Bookman Old Style" w:hAnsi="Bookman Old Style"/>
          <w:i/>
          <w:color w:val="000000" w:themeColor="text1"/>
          <w:sz w:val="24"/>
          <w:szCs w:val="24"/>
        </w:rPr>
        <w:t>%, Region %region%.</w:t>
      </w:r>
    </w:p>
    <w:p w:rsidR="005C7A4F" w:rsidRPr="00590A82" w:rsidRDefault="005C7A4F" w:rsidP="00590A82">
      <w:pPr>
        <w:ind w:left="72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projectdescription</w:t>
      </w:r>
      <w:proofErr w:type="spellEnd"/>
      <w:r w:rsidRPr="00590A82">
        <w:rPr>
          <w:rFonts w:ascii="Bookman Old Style" w:hAnsi="Bookman Old Style"/>
          <w:i/>
          <w:color w:val="000000" w:themeColor="text1"/>
          <w:sz w:val="24"/>
          <w:szCs w:val="24"/>
        </w:rPr>
        <w:t>%</w:t>
      </w:r>
    </w:p>
    <w:p w:rsidR="00456FC0" w:rsidRPr="005262FB" w:rsidRDefault="00456FC0" w:rsidP="00456FC0">
      <w:pPr>
        <w:rPr>
          <w:rFonts w:ascii="Bookman Old Style" w:hAnsi="Bookman Old Style"/>
          <w:sz w:val="24"/>
          <w:szCs w:val="24"/>
        </w:rPr>
      </w:pPr>
    </w:p>
    <w:p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rsidR="00E07DDF" w:rsidRDefault="00E07DDF" w:rsidP="00E07DDF">
      <w:pPr>
        <w:spacing w:after="0" w:line="240" w:lineRule="auto"/>
        <w:jc w:val="both"/>
        <w:rPr>
          <w:rFonts w:ascii="Bookman Old Style" w:hAnsi="Bookman Old Style"/>
          <w:sz w:val="24"/>
          <w:szCs w:val="24"/>
        </w:rPr>
      </w:pPr>
    </w:p>
    <w:p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proofErr w:type="gramStart"/>
      <w:r w:rsidR="00F06E22">
        <w:rPr>
          <w:rFonts w:ascii="Bookman Old Style" w:hAnsi="Bookman Old Style"/>
          <w:sz w:val="24"/>
          <w:szCs w:val="24"/>
        </w:rPr>
        <w:t>Issued at EMB-%region%, %</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Pr>
          <w:rFonts w:ascii="Bookman Old Style" w:hAnsi="Bookman Old Style"/>
          <w:sz w:val="24"/>
          <w:szCs w:val="24"/>
        </w:rPr>
        <w:t xml:space="preserve">% this </w:t>
      </w:r>
      <w:r w:rsidR="00417231" w:rsidRPr="004D42CF">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17231" w:rsidRPr="004D42CF">
        <w:rPr>
          <w:rFonts w:ascii="Bookman Old Style" w:hAnsi="Bookman Old Style"/>
          <w:sz w:val="24"/>
          <w:szCs w:val="24"/>
          <w:u w:val="single"/>
        </w:rPr>
        <w:t>%.</w:t>
      </w:r>
      <w:proofErr w:type="gramEnd"/>
    </w:p>
    <w:p w:rsidR="001C586E" w:rsidRDefault="001C586E" w:rsidP="00E07DDF">
      <w:pPr>
        <w:spacing w:after="0" w:line="240" w:lineRule="auto"/>
        <w:jc w:val="both"/>
        <w:rPr>
          <w:rFonts w:ascii="Bookman Old Style" w:hAnsi="Bookman Old Style"/>
          <w:sz w:val="24"/>
          <w:szCs w:val="24"/>
        </w:rPr>
      </w:pPr>
    </w:p>
    <w:p w:rsidR="00AA1CD5" w:rsidRDefault="00AA1CD5"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rsidR="00657C55" w:rsidRDefault="002245E8"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20F2ECB6" wp14:editId="226FB5BF">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rsidR="00A42AA8" w:rsidRDefault="00A42AA8" w:rsidP="00E07DDF">
      <w:pPr>
        <w:spacing w:after="0" w:line="240" w:lineRule="auto"/>
        <w:jc w:val="both"/>
        <w:rPr>
          <w:rFonts w:ascii="Bookman Old Style" w:hAnsi="Bookman Old Style"/>
          <w:sz w:val="24"/>
          <w:szCs w:val="24"/>
        </w:rPr>
      </w:pPr>
    </w:p>
    <w:p w:rsidR="00A42AA8" w:rsidRDefault="00A42AA8" w:rsidP="00E07DDF">
      <w:pPr>
        <w:spacing w:after="0" w:line="240" w:lineRule="auto"/>
        <w:jc w:val="both"/>
        <w:rPr>
          <w:rFonts w:ascii="Bookman Old Style" w:hAnsi="Bookman Old Style"/>
          <w:sz w:val="24"/>
          <w:szCs w:val="24"/>
        </w:rPr>
      </w:pPr>
    </w:p>
    <w:p w:rsidR="001C586E" w:rsidRDefault="001C586E" w:rsidP="006A15A9">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p>
    <w:p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rsidR="001C586E" w:rsidRDefault="001C586E" w:rsidP="00E07DDF">
      <w:pPr>
        <w:spacing w:after="0" w:line="240" w:lineRule="auto"/>
        <w:jc w:val="both"/>
        <w:rPr>
          <w:rFonts w:ascii="Bookman Old Style" w:hAnsi="Bookman Old Style"/>
          <w:sz w:val="24"/>
          <w:szCs w:val="24"/>
        </w:rPr>
      </w:pPr>
    </w:p>
    <w:p w:rsidR="00B17E4A" w:rsidRDefault="00B17E4A"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rsidR="001C586E" w:rsidRDefault="00BA6FB0"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024075DF" wp14:editId="7DF69691">
            <wp:simplePos x="0" y="0"/>
            <wp:positionH relativeFrom="column">
              <wp:posOffset>3124200</wp:posOffset>
            </wp:positionH>
            <wp:positionV relativeFrom="paragraph">
              <wp:posOffset>132079</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708BE">
        <w:rPr>
          <w:rFonts w:ascii="Bookman Old Style" w:hAnsi="Bookman Old Style"/>
          <w:b/>
          <w:sz w:val="24"/>
          <w:szCs w:val="24"/>
        </w:rPr>
        <w:t>%approver%</w:t>
      </w:r>
    </w:p>
    <w:p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p w:rsidR="00033491" w:rsidRDefault="00033491" w:rsidP="004C2F8A">
      <w:pPr>
        <w:jc w:val="center"/>
        <w:rPr>
          <w:rFonts w:ascii="Bookman Old Style" w:hAnsi="Bookman Old Style"/>
          <w:b/>
          <w:bCs/>
          <w:sz w:val="23"/>
          <w:szCs w:val="23"/>
        </w:rPr>
      </w:pPr>
    </w:p>
    <w:p w:rsidR="00033491" w:rsidRPr="00033491" w:rsidRDefault="00033491" w:rsidP="004C2F8A">
      <w:pPr>
        <w:jc w:val="center"/>
        <w:rPr>
          <w:rFonts w:ascii="Bookman Old Style" w:hAnsi="Bookman Old Style"/>
          <w:b/>
          <w:bCs/>
          <w:sz w:val="24"/>
          <w:szCs w:val="24"/>
        </w:rPr>
      </w:pPr>
    </w:p>
    <w:p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rsidR="004C2F8A" w:rsidRPr="00033491" w:rsidRDefault="004C2F8A" w:rsidP="004C2F8A">
      <w:pPr>
        <w:jc w:val="center"/>
        <w:rPr>
          <w:rFonts w:ascii="Bookman Old Style" w:hAnsi="Bookman Old Style"/>
          <w:b/>
          <w:bCs/>
          <w:sz w:val="24"/>
          <w:szCs w:val="24"/>
        </w:rPr>
      </w:pPr>
    </w:p>
    <w:p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 xml:space="preserve">-%region% </w:t>
      </w:r>
      <w:r w:rsidRPr="007C3C3D">
        <w:rPr>
          <w:rFonts w:ascii="Bookman Old Style" w:hAnsi="Bookman Old Style"/>
          <w:sz w:val="24"/>
          <w:szCs w:val="24"/>
        </w:rPr>
        <w:t>prior to project construction;</w:t>
      </w:r>
    </w:p>
    <w:p w:rsidR="007C3C3D" w:rsidRPr="007C3C3D" w:rsidRDefault="007C3C3D" w:rsidP="007C3C3D">
      <w:pPr>
        <w:pStyle w:val="ListParagrap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lastRenderedPageBreak/>
        <w:t>Ensure that monitoring and submissions of reports to EMB  are carried out as required;</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rsidTr="007C3C3D">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rsidTr="006305FA">
        <w:tc>
          <w:tcPr>
            <w:tcW w:w="4675" w:type="dxa"/>
          </w:tcPr>
          <w:p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rsidTr="007C3C3D">
        <w:tc>
          <w:tcPr>
            <w:tcW w:w="4675" w:type="dxa"/>
          </w:tcPr>
          <w:p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rsidTr="00921D91">
        <w:tc>
          <w:tcPr>
            <w:tcW w:w="9350" w:type="dxa"/>
            <w:gridSpan w:val="2"/>
          </w:tcPr>
          <w:p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rsidTr="00813C8B">
        <w:tc>
          <w:tcPr>
            <w:tcW w:w="9350" w:type="dxa"/>
            <w:gridSpan w:val="2"/>
          </w:tcPr>
          <w:p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rsidR="007C3C3D" w:rsidRDefault="00CF320D" w:rsidP="007C3C3D">
      <w:pPr>
        <w:rPr>
          <w:rFonts w:ascii="Bookman Old Style" w:hAnsi="Bookman Old Style"/>
          <w:sz w:val="24"/>
          <w:szCs w:val="24"/>
        </w:rPr>
      </w:pPr>
      <w:r>
        <w:rPr>
          <w:rFonts w:ascii="Bookman Old Style" w:hAnsi="Bookman Old Style"/>
          <w:sz w:val="24"/>
          <w:szCs w:val="24"/>
        </w:rPr>
        <w:t xml:space="preserve"> </w:t>
      </w:r>
    </w:p>
    <w:p w:rsidR="00CF320D" w:rsidRDefault="00C64F46" w:rsidP="00352AE1">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63AEBB03" wp14:editId="41495F38">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70521BCC" wp14:editId="1901588C">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352AE1">
        <w:rPr>
          <w:rFonts w:ascii="Bookman Old Style" w:hAnsi="Bookman Old Style"/>
          <w:sz w:val="24"/>
          <w:szCs w:val="24"/>
        </w:rPr>
        <w:tab/>
      </w:r>
    </w:p>
    <w:p w:rsidR="009315C9" w:rsidRDefault="009315C9" w:rsidP="007C3C3D">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rsidTr="009315C9">
        <w:tc>
          <w:tcPr>
            <w:tcW w:w="559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rsidTr="009315C9">
        <w:tc>
          <w:tcPr>
            <w:tcW w:w="5598" w:type="dxa"/>
          </w:tcPr>
          <w:p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rsidR="00CF320D" w:rsidRDefault="00CF320D" w:rsidP="00CF320D">
      <w:pPr>
        <w:contextualSpacing/>
        <w:rPr>
          <w:rFonts w:ascii="Bookman Old Style" w:hAnsi="Bookman Old Style"/>
          <w:sz w:val="24"/>
          <w:szCs w:val="24"/>
        </w:rPr>
      </w:pPr>
    </w:p>
    <w:p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1"/>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0D4" w:rsidRDefault="00CE20D4" w:rsidP="005D0592">
      <w:pPr>
        <w:spacing w:after="0" w:line="240" w:lineRule="auto"/>
      </w:pPr>
      <w:r>
        <w:separator/>
      </w:r>
    </w:p>
  </w:endnote>
  <w:endnote w:type="continuationSeparator" w:id="0">
    <w:p w:rsidR="00CE20D4" w:rsidRDefault="00CE20D4"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816" w:rsidRDefault="00C84816" w:rsidP="00AB3A8A">
    <w:pPr>
      <w:pStyle w:val="Footer"/>
      <w:tabs>
        <w:tab w:val="clear" w:pos="4680"/>
        <w:tab w:val="clear" w:pos="9360"/>
        <w:tab w:val="left" w:pos="1080"/>
      </w:tabs>
    </w:pPr>
  </w:p>
  <w:p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42A87C7B" wp14:editId="54BC60F6">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rsidR="00AB3A8A" w:rsidRDefault="00AB3A8A" w:rsidP="00AB3A8A">
    <w:pPr>
      <w:pStyle w:val="Footer"/>
      <w:tabs>
        <w:tab w:val="clear" w:pos="4680"/>
        <w:tab w:val="clear" w:pos="9360"/>
        <w:tab w:val="left" w:pos="1080"/>
      </w:tabs>
    </w:pPr>
    <w:r>
      <w:t>%</w:t>
    </w:r>
    <w:proofErr w:type="spellStart"/>
    <w:r>
      <w:t>projectname</w:t>
    </w:r>
    <w:proofErr w:type="spellEnd"/>
    <w:r>
      <w:t>%</w:t>
    </w:r>
  </w:p>
  <w:p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rsidR="00AB3A8A" w:rsidRPr="00AB3A8A" w:rsidRDefault="00AB3A8A" w:rsidP="00AB3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0D4" w:rsidRDefault="00CE20D4" w:rsidP="005D0592">
      <w:pPr>
        <w:spacing w:after="0" w:line="240" w:lineRule="auto"/>
      </w:pPr>
      <w:r>
        <w:separator/>
      </w:r>
    </w:p>
  </w:footnote>
  <w:footnote w:type="continuationSeparator" w:id="0">
    <w:p w:rsidR="00CE20D4" w:rsidRDefault="00CE20D4" w:rsidP="005D0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4A"/>
    <w:rsid w:val="00033491"/>
    <w:rsid w:val="00040E60"/>
    <w:rsid w:val="00053183"/>
    <w:rsid w:val="00055B84"/>
    <w:rsid w:val="00077AC4"/>
    <w:rsid w:val="00086D2D"/>
    <w:rsid w:val="000A07BF"/>
    <w:rsid w:val="000C334C"/>
    <w:rsid w:val="000F0735"/>
    <w:rsid w:val="000F0C98"/>
    <w:rsid w:val="00120313"/>
    <w:rsid w:val="00134A83"/>
    <w:rsid w:val="001432A5"/>
    <w:rsid w:val="0016118A"/>
    <w:rsid w:val="001638CC"/>
    <w:rsid w:val="00172134"/>
    <w:rsid w:val="0018336C"/>
    <w:rsid w:val="001906CC"/>
    <w:rsid w:val="00195D3B"/>
    <w:rsid w:val="001C3C61"/>
    <w:rsid w:val="001C586E"/>
    <w:rsid w:val="00201779"/>
    <w:rsid w:val="0020253C"/>
    <w:rsid w:val="002046B7"/>
    <w:rsid w:val="002245E8"/>
    <w:rsid w:val="002337F5"/>
    <w:rsid w:val="0023793B"/>
    <w:rsid w:val="00261CC2"/>
    <w:rsid w:val="00264AB5"/>
    <w:rsid w:val="002771AA"/>
    <w:rsid w:val="002A0037"/>
    <w:rsid w:val="002B77F5"/>
    <w:rsid w:val="002C7D1B"/>
    <w:rsid w:val="002F4C63"/>
    <w:rsid w:val="00352AE1"/>
    <w:rsid w:val="00375216"/>
    <w:rsid w:val="003C5DEB"/>
    <w:rsid w:val="003E3F6F"/>
    <w:rsid w:val="003F554D"/>
    <w:rsid w:val="004050A1"/>
    <w:rsid w:val="00417231"/>
    <w:rsid w:val="00420098"/>
    <w:rsid w:val="00421A27"/>
    <w:rsid w:val="00443AFF"/>
    <w:rsid w:val="00456FC0"/>
    <w:rsid w:val="00496D07"/>
    <w:rsid w:val="004A3E05"/>
    <w:rsid w:val="004B1EE9"/>
    <w:rsid w:val="004C2F8A"/>
    <w:rsid w:val="004D42CF"/>
    <w:rsid w:val="004F2E21"/>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F0089"/>
    <w:rsid w:val="006F0D15"/>
    <w:rsid w:val="006F55AE"/>
    <w:rsid w:val="006F58FF"/>
    <w:rsid w:val="007102B4"/>
    <w:rsid w:val="00731F72"/>
    <w:rsid w:val="007339B1"/>
    <w:rsid w:val="00737CFE"/>
    <w:rsid w:val="007505CB"/>
    <w:rsid w:val="00775486"/>
    <w:rsid w:val="0078684F"/>
    <w:rsid w:val="007B53DF"/>
    <w:rsid w:val="007C3C3D"/>
    <w:rsid w:val="007F6B2E"/>
    <w:rsid w:val="008059CC"/>
    <w:rsid w:val="00811258"/>
    <w:rsid w:val="00834DA4"/>
    <w:rsid w:val="008430A6"/>
    <w:rsid w:val="008904FC"/>
    <w:rsid w:val="008B70FE"/>
    <w:rsid w:val="008D2163"/>
    <w:rsid w:val="008E1A78"/>
    <w:rsid w:val="008F564E"/>
    <w:rsid w:val="0091522F"/>
    <w:rsid w:val="009169DC"/>
    <w:rsid w:val="009315C9"/>
    <w:rsid w:val="0097286E"/>
    <w:rsid w:val="00985984"/>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Administrator</cp:lastModifiedBy>
  <cp:revision>126</cp:revision>
  <dcterms:created xsi:type="dcterms:W3CDTF">2015-05-10T10:31:00Z</dcterms:created>
  <dcterms:modified xsi:type="dcterms:W3CDTF">2017-05-26T03:40:00Z</dcterms:modified>
</cp:coreProperties>
</file>