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right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31C4EE69" w14:textId="77777777" w:rsidR="004A5010" w:rsidRPr="008D6889" w:rsidRDefault="004A5010" w:rsidP="003861E9">
      <w:pPr>
        <w:jc w:val="both"/>
        <w:rPr>
          <w:rFonts w:ascii="Bookman Old Style" w:hAnsi="Bookman Old Style"/>
          <w:b/>
          <w:color w:val="FF0000"/>
          <w:sz w:val="24"/>
          <w:szCs w:val="24"/>
        </w:rPr>
      </w:pP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08F9B239" w14:textId="77777777" w:rsidR="000C0D70" w:rsidRPr="000414DF" w:rsidRDefault="000C0D70" w:rsidP="000C0D70">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Pr>
                <w:rFonts w:ascii="Bookman Old Style" w:hAnsi="Bookman Old Style"/>
                <w:sz w:val="24"/>
                <w:szCs w:val="24"/>
              </w:rPr>
              <w:t xml:space="preserve"> with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Pr>
                <w:rFonts w:ascii="Bookman Old Style" w:hAnsi="Bookman Old Style"/>
                <w:i/>
                <w:sz w:val="24"/>
                <w:szCs w:val="24"/>
              </w:rPr>
              <w:t xml:space="preserve">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Pr>
                <w:rFonts w:ascii="Bookman Old Style" w:hAnsi="Bookman Old Style"/>
                <w:i/>
                <w:sz w:val="24"/>
                <w:szCs w:val="24"/>
              </w:rPr>
              <w:t xml:space="preserve"> </w:t>
            </w:r>
            <w:r w:rsidRPr="000414DF">
              <w:rPr>
                <w:rFonts w:ascii="Bookman Old Style" w:hAnsi="Bookman Old Style"/>
                <w:i/>
                <w:sz w:val="24"/>
                <w:szCs w:val="24"/>
              </w:rPr>
              <w:t>%</w:t>
            </w:r>
            <w:proofErr w:type="spellStart"/>
            <w:r>
              <w:rPr>
                <w:rFonts w:ascii="Bookman Old Style" w:hAnsi="Bookman Old Style"/>
                <w:i/>
                <w:sz w:val="24"/>
                <w:szCs w:val="24"/>
              </w:rPr>
              <w:t>unitofmeasure</w:t>
            </w:r>
            <w:proofErr w:type="spellEnd"/>
            <w:r w:rsidRPr="000414DF">
              <w:rPr>
                <w:rFonts w:ascii="Bookman Old Style" w:hAnsi="Bookman Old Style"/>
                <w:i/>
                <w:sz w:val="24"/>
                <w:szCs w:val="24"/>
              </w:rPr>
              <w:t>%</w:t>
            </w:r>
            <w:r>
              <w:rPr>
                <w:rFonts w:ascii="Bookman Old Style" w:hAnsi="Bookman Old Style"/>
                <w:i/>
                <w:sz w:val="24"/>
                <w:szCs w:val="24"/>
              </w:rPr>
              <w:t xml:space="preserve"> and shall have the following facilities:</w:t>
            </w:r>
          </w:p>
          <w:p w14:paraId="6E36E782" w14:textId="77777777" w:rsidR="000C0D70" w:rsidRPr="000414DF" w:rsidRDefault="000C0D70" w:rsidP="000C0D70">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64004649" w14:textId="77777777" w:rsidR="000C0D70" w:rsidRDefault="000C0D70" w:rsidP="008F5FEF">
      <w:pPr>
        <w:jc w:val="both"/>
        <w:rPr>
          <w:rFonts w:ascii="Bookman Old Style" w:hAnsi="Bookman Old Style"/>
          <w:sz w:val="24"/>
          <w:szCs w:val="24"/>
        </w:rPr>
      </w:pPr>
    </w:p>
    <w:p w14:paraId="32EB7602" w14:textId="0D21C7F2"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B3AA26C" w14:textId="77777777" w:rsidR="007C3C3D" w:rsidRPr="007C3C3D" w:rsidRDefault="007C3C3D" w:rsidP="007C3C3D">
      <w:pPr>
        <w:spacing w:after="0" w:line="240" w:lineRule="auto"/>
        <w:jc w:val="both"/>
        <w:rPr>
          <w:rFonts w:ascii="Bookman Old Style" w:hAnsi="Bookman Old Style"/>
          <w:sz w:val="24"/>
          <w:szCs w:val="24"/>
        </w:rPr>
      </w:pPr>
    </w:p>
    <w:p w14:paraId="6A25F35A" w14:textId="77777777" w:rsidR="001470CE" w:rsidRPr="00675A06" w:rsidRDefault="001470CE" w:rsidP="001470CE">
      <w:pPr>
        <w:jc w:val="right"/>
        <w:rPr>
          <w:rFonts w:ascii="Bookman Old Style" w:hAnsi="Bookman Old Style"/>
          <w:b/>
          <w:caps/>
          <w:sz w:val="24"/>
          <w:szCs w:val="24"/>
        </w:rPr>
      </w:pPr>
      <w:r w:rsidRPr="00675A06">
        <w:rPr>
          <w:rFonts w:ascii="Bookman Old Style" w:hAnsi="Bookman Old Style"/>
          <w:b/>
          <w:caps/>
          <w:sz w:val="24"/>
          <w:szCs w:val="24"/>
        </w:rPr>
        <w:t>Annex A</w:t>
      </w:r>
    </w:p>
    <w:p w14:paraId="4CF5A63A" w14:textId="77777777" w:rsidR="001470CE" w:rsidRPr="00675A06" w:rsidRDefault="001470CE" w:rsidP="001470CE">
      <w:pPr>
        <w:rPr>
          <w:rFonts w:ascii="Bookman Old Style" w:hAnsi="Bookman Old Style"/>
          <w:sz w:val="24"/>
          <w:szCs w:val="24"/>
        </w:rPr>
      </w:pPr>
    </w:p>
    <w:p w14:paraId="06F6D372" w14:textId="77777777" w:rsidR="001470CE" w:rsidRPr="00675A06" w:rsidRDefault="001470CE" w:rsidP="001470CE">
      <w:pPr>
        <w:numPr>
          <w:ilvl w:val="0"/>
          <w:numId w:val="25"/>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461A5DC2" w14:textId="77777777" w:rsidR="001470CE" w:rsidRPr="00675A06" w:rsidRDefault="001470CE" w:rsidP="001470CE">
      <w:pPr>
        <w:jc w:val="both"/>
        <w:rPr>
          <w:rFonts w:ascii="Bookman Old Style" w:hAnsi="Bookman Old Style"/>
          <w:sz w:val="24"/>
          <w:szCs w:val="24"/>
        </w:rPr>
      </w:pPr>
    </w:p>
    <w:p w14:paraId="7C8BAECB" w14:textId="77777777" w:rsidR="001470CE" w:rsidRPr="00675A06" w:rsidRDefault="001470CE" w:rsidP="001470CE">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particularly in the Environmental Management and Monitoring Plan (</w:t>
      </w:r>
      <w:proofErr w:type="spellStart"/>
      <w:r w:rsidRPr="00675A06">
        <w:rPr>
          <w:rFonts w:ascii="Bookman Old Style" w:hAnsi="Bookman Old Style"/>
          <w:sz w:val="24"/>
          <w:szCs w:val="24"/>
        </w:rPr>
        <w:t>EMMoP</w:t>
      </w:r>
      <w:proofErr w:type="spellEnd"/>
      <w:r w:rsidRPr="00675A06">
        <w:rPr>
          <w:rFonts w:ascii="Bookman Old Style" w:hAnsi="Bookman Old Style"/>
          <w:sz w:val="24"/>
          <w:szCs w:val="24"/>
        </w:rPr>
        <w:t xml:space="preserve">),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15BDA15A" w14:textId="77777777" w:rsidR="001470CE" w:rsidRPr="00675A06" w:rsidRDefault="001470CE" w:rsidP="001470CE">
      <w:pPr>
        <w:rPr>
          <w:rFonts w:ascii="Bookman Old Style" w:hAnsi="Bookman Old Style" w:cstheme="minorHAnsi"/>
          <w:b/>
          <w:sz w:val="24"/>
          <w:szCs w:val="24"/>
        </w:rPr>
      </w:pPr>
    </w:p>
    <w:tbl>
      <w:tblPr>
        <w:tblStyle w:val="TableGrid"/>
        <w:tblW w:w="9450" w:type="dxa"/>
        <w:jc w:val="center"/>
        <w:tblLayout w:type="fixed"/>
        <w:tblLook w:val="04A0" w:firstRow="1" w:lastRow="0" w:firstColumn="1" w:lastColumn="0" w:noHBand="0" w:noVBand="1"/>
      </w:tblPr>
      <w:tblGrid>
        <w:gridCol w:w="2875"/>
        <w:gridCol w:w="4410"/>
        <w:gridCol w:w="2165"/>
      </w:tblGrid>
      <w:tr w:rsidR="001470CE" w:rsidRPr="00F15DFC" w14:paraId="7A73E055" w14:textId="77777777" w:rsidTr="004725B4">
        <w:trPr>
          <w:jc w:val="center"/>
        </w:trPr>
        <w:tc>
          <w:tcPr>
            <w:tcW w:w="28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6E3BA10"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4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5AC6A"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bCs/>
              </w:rPr>
              <w:t>MITIGATING MEASURES</w:t>
            </w:r>
          </w:p>
        </w:tc>
        <w:tc>
          <w:tcPr>
            <w:tcW w:w="21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94259E"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bCs/>
              </w:rPr>
              <w:t>RATING/ PERFORMANCE OF MITIGATING MEASURES</w:t>
            </w:r>
          </w:p>
        </w:tc>
      </w:tr>
      <w:tr w:rsidR="001470CE" w:rsidRPr="00F15DFC" w14:paraId="15EC8ABA" w14:textId="77777777" w:rsidTr="004725B4">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4A721716" w14:textId="77777777" w:rsidR="001470CE" w:rsidRPr="00F15DFC" w:rsidRDefault="001470CE" w:rsidP="001470CE">
            <w:pPr>
              <w:pStyle w:val="ListParagraph"/>
              <w:numPr>
                <w:ilvl w:val="0"/>
                <w:numId w:val="17"/>
              </w:numPr>
              <w:spacing w:after="0" w:line="240" w:lineRule="auto"/>
              <w:contextualSpacing w:val="0"/>
              <w:rPr>
                <w:rFonts w:ascii="Bookman Old Style" w:hAnsi="Bookman Old Style"/>
                <w:b/>
                <w:bCs/>
              </w:rPr>
            </w:pPr>
            <w:r w:rsidRPr="00F15DFC">
              <w:rPr>
                <w:rFonts w:ascii="Bookman Old Style" w:hAnsi="Bookman Old Style"/>
                <w:b/>
                <w:bCs/>
              </w:rPr>
              <w:t>Construction Phase</w:t>
            </w:r>
          </w:p>
        </w:tc>
      </w:tr>
      <w:tr w:rsidR="001470CE" w:rsidRPr="00F15DFC" w14:paraId="4BDC8EAE" w14:textId="77777777" w:rsidTr="004725B4">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2E92ABFB" w14:textId="77777777" w:rsidR="001470CE" w:rsidRPr="00F15DFC" w:rsidRDefault="001470CE" w:rsidP="004725B4">
            <w:pPr>
              <w:ind w:left="-7"/>
              <w:rPr>
                <w:rFonts w:ascii="Bookman Old Style" w:hAnsi="Bookman Old Style"/>
                <w:bCs/>
              </w:rPr>
            </w:pPr>
            <w:r w:rsidRPr="00F15DFC">
              <w:rPr>
                <w:rFonts w:ascii="Bookman Old Style" w:hAnsi="Bookman Old Style"/>
                <w:bCs/>
              </w:rPr>
              <w:t>A.1 Site Development including minor excavation</w:t>
            </w:r>
          </w:p>
        </w:tc>
      </w:tr>
      <w:tr w:rsidR="001470CE" w:rsidRPr="00F15DFC" w14:paraId="5DADA3BA" w14:textId="77777777" w:rsidTr="004725B4">
        <w:trPr>
          <w:jc w:val="center"/>
        </w:trPr>
        <w:tc>
          <w:tcPr>
            <w:tcW w:w="2875" w:type="dxa"/>
            <w:tcBorders>
              <w:top w:val="single" w:sz="4" w:space="0" w:color="auto"/>
              <w:left w:val="single" w:sz="4" w:space="0" w:color="auto"/>
              <w:right w:val="single" w:sz="4" w:space="0" w:color="auto"/>
            </w:tcBorders>
          </w:tcPr>
          <w:p w14:paraId="675A8286"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rPr>
              <w:t>Generation of dust from site preparation</w:t>
            </w:r>
          </w:p>
        </w:tc>
        <w:tc>
          <w:tcPr>
            <w:tcW w:w="4410" w:type="dxa"/>
            <w:tcBorders>
              <w:top w:val="single" w:sz="4" w:space="0" w:color="auto"/>
              <w:left w:val="single" w:sz="4" w:space="0" w:color="auto"/>
              <w:bottom w:val="single" w:sz="4" w:space="0" w:color="auto"/>
              <w:right w:val="single" w:sz="4" w:space="0" w:color="auto"/>
            </w:tcBorders>
          </w:tcPr>
          <w:p w14:paraId="164E3C4D" w14:textId="77777777" w:rsidR="001470CE" w:rsidRPr="00F15DFC" w:rsidRDefault="001470CE" w:rsidP="001470CE">
            <w:pPr>
              <w:pStyle w:val="ListParagraph"/>
              <w:numPr>
                <w:ilvl w:val="0"/>
                <w:numId w:val="20"/>
              </w:numPr>
              <w:spacing w:after="0" w:line="240" w:lineRule="auto"/>
              <w:rPr>
                <w:rFonts w:ascii="Bookman Old Style" w:hAnsi="Bookman Old Style"/>
                <w:bCs/>
              </w:rPr>
            </w:pPr>
            <w:r w:rsidRPr="00F15DFC">
              <w:rPr>
                <w:rFonts w:ascii="Bookman Old Style" w:hAnsi="Bookman Old Style"/>
                <w:bCs/>
                <w:lang w:val="en-PH"/>
              </w:rPr>
              <w:t>Maintain a wet access road surface/project site by sprinkling of water at least twice (2x) a day during dry season</w:t>
            </w:r>
          </w:p>
          <w:p w14:paraId="526C25D8" w14:textId="77777777" w:rsidR="001470CE" w:rsidRPr="00F15DFC" w:rsidRDefault="001470CE" w:rsidP="001470CE">
            <w:pPr>
              <w:pStyle w:val="ListParagraph"/>
              <w:numPr>
                <w:ilvl w:val="0"/>
                <w:numId w:val="20"/>
              </w:numPr>
              <w:spacing w:after="0" w:line="240" w:lineRule="auto"/>
              <w:rPr>
                <w:rFonts w:ascii="Bookman Old Style" w:hAnsi="Bookman Old Style"/>
                <w:bCs/>
              </w:rPr>
            </w:pPr>
            <w:r w:rsidRPr="00F15DFC">
              <w:rPr>
                <w:rFonts w:ascii="Bookman Old Style" w:hAnsi="Bookman Old Style"/>
                <w:bCs/>
                <w:lang w:val="en-PH"/>
              </w:rPr>
              <w:t>Maintain sprinkling of water to access road at least twice (2x) a day during dry season</w:t>
            </w:r>
          </w:p>
        </w:tc>
        <w:tc>
          <w:tcPr>
            <w:tcW w:w="2165" w:type="dxa"/>
            <w:tcBorders>
              <w:top w:val="single" w:sz="4" w:space="0" w:color="auto"/>
              <w:left w:val="single" w:sz="4" w:space="0" w:color="auto"/>
              <w:bottom w:val="single" w:sz="4" w:space="0" w:color="auto"/>
              <w:right w:val="single" w:sz="4" w:space="0" w:color="auto"/>
            </w:tcBorders>
          </w:tcPr>
          <w:p w14:paraId="19F4C170" w14:textId="77777777" w:rsidR="001470CE" w:rsidRPr="00F15DFC" w:rsidRDefault="001470CE" w:rsidP="004725B4">
            <w:pPr>
              <w:ind w:left="-7"/>
              <w:rPr>
                <w:rFonts w:ascii="Bookman Old Style" w:hAnsi="Bookman Old Style"/>
              </w:rPr>
            </w:pPr>
            <w:r w:rsidRPr="00F15DFC">
              <w:rPr>
                <w:rFonts w:ascii="Bookman Old Style" w:hAnsi="Bookman Old Style"/>
                <w:bCs/>
              </w:rPr>
              <w:t>100% no dust generation</w:t>
            </w:r>
          </w:p>
        </w:tc>
      </w:tr>
      <w:tr w:rsidR="001470CE" w:rsidRPr="00F15DFC" w14:paraId="3378F320" w14:textId="77777777" w:rsidTr="004725B4">
        <w:trPr>
          <w:jc w:val="center"/>
        </w:trPr>
        <w:tc>
          <w:tcPr>
            <w:tcW w:w="2875" w:type="dxa"/>
            <w:tcBorders>
              <w:left w:val="single" w:sz="4" w:space="0" w:color="auto"/>
              <w:right w:val="single" w:sz="4" w:space="0" w:color="auto"/>
            </w:tcBorders>
          </w:tcPr>
          <w:p w14:paraId="696EFFB1"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lang w:val="en-AU"/>
              </w:rPr>
              <w:t>Generation of spoils (including excavated soils)</w:t>
            </w:r>
          </w:p>
        </w:tc>
        <w:tc>
          <w:tcPr>
            <w:tcW w:w="4410" w:type="dxa"/>
            <w:tcBorders>
              <w:top w:val="single" w:sz="4" w:space="0" w:color="auto"/>
              <w:left w:val="single" w:sz="4" w:space="0" w:color="auto"/>
              <w:bottom w:val="single" w:sz="4" w:space="0" w:color="auto"/>
              <w:right w:val="single" w:sz="4" w:space="0" w:color="auto"/>
            </w:tcBorders>
          </w:tcPr>
          <w:p w14:paraId="6254236F"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Re-use of spoils in the project site for covering of underground storage tanks</w:t>
            </w:r>
          </w:p>
          <w:p w14:paraId="50E03603"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Excess spoil materials will be hauled by third party hauler with approved permit/clearance from LGU</w:t>
            </w:r>
          </w:p>
          <w:p w14:paraId="4484DF04"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Trucks shall be thoroughly washed before leaving from the project site to avoid the transfer of mud/dirt on the road</w:t>
            </w:r>
          </w:p>
        </w:tc>
        <w:tc>
          <w:tcPr>
            <w:tcW w:w="2165" w:type="dxa"/>
            <w:tcBorders>
              <w:top w:val="single" w:sz="4" w:space="0" w:color="auto"/>
              <w:left w:val="single" w:sz="4" w:space="0" w:color="auto"/>
              <w:bottom w:val="single" w:sz="4" w:space="0" w:color="auto"/>
              <w:right w:val="single" w:sz="4" w:space="0" w:color="auto"/>
            </w:tcBorders>
          </w:tcPr>
          <w:p w14:paraId="386C72B2" w14:textId="77777777" w:rsidR="001470CE" w:rsidRPr="00F15DFC" w:rsidRDefault="001470CE" w:rsidP="004725B4">
            <w:pPr>
              <w:ind w:left="-7"/>
              <w:rPr>
                <w:rFonts w:ascii="Bookman Old Style" w:hAnsi="Bookman Old Style"/>
                <w:bCs/>
              </w:rPr>
            </w:pPr>
            <w:r w:rsidRPr="00F15DFC">
              <w:rPr>
                <w:rFonts w:ascii="Bookman Old Style" w:hAnsi="Bookman Old Style"/>
                <w:bCs/>
              </w:rPr>
              <w:t>100% no spoil materials will be left unattended and no mud/dirt will be transferred in the road</w:t>
            </w:r>
          </w:p>
        </w:tc>
      </w:tr>
      <w:tr w:rsidR="001470CE" w:rsidRPr="00F15DFC" w14:paraId="739A7E27" w14:textId="77777777" w:rsidTr="004725B4">
        <w:trPr>
          <w:jc w:val="center"/>
        </w:trPr>
        <w:tc>
          <w:tcPr>
            <w:tcW w:w="2875" w:type="dxa"/>
            <w:tcBorders>
              <w:left w:val="single" w:sz="4" w:space="0" w:color="auto"/>
              <w:right w:val="single" w:sz="4" w:space="0" w:color="auto"/>
            </w:tcBorders>
          </w:tcPr>
          <w:p w14:paraId="4213F202"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soil erosion</w:t>
            </w:r>
          </w:p>
        </w:tc>
        <w:tc>
          <w:tcPr>
            <w:tcW w:w="4410" w:type="dxa"/>
            <w:tcBorders>
              <w:top w:val="single" w:sz="4" w:space="0" w:color="auto"/>
              <w:left w:val="single" w:sz="4" w:space="0" w:color="auto"/>
              <w:bottom w:val="single" w:sz="4" w:space="0" w:color="auto"/>
              <w:right w:val="single" w:sz="4" w:space="0" w:color="auto"/>
            </w:tcBorders>
          </w:tcPr>
          <w:p w14:paraId="12381956"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lang w:val="en-AU"/>
              </w:rPr>
            </w:pPr>
            <w:r w:rsidRPr="00F15DFC">
              <w:rPr>
                <w:rFonts w:ascii="Bookman Old Style" w:hAnsi="Bookman Old Style"/>
              </w:rPr>
              <w:t>Provision of sediment control measures such as sediment traps, slope stabilization, etc.</w:t>
            </w:r>
          </w:p>
          <w:p w14:paraId="0D30AD38"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lang w:val="en-AU"/>
              </w:rPr>
            </w:pPr>
            <w:r w:rsidRPr="00F15DFC">
              <w:rPr>
                <w:rFonts w:ascii="Bookman Old Style" w:hAnsi="Bookman Old Style"/>
              </w:rPr>
              <w:t>Provision of an easement from water bodies at least three (3) meters in urban areas, twenty (20) meters in agricultural areas, and forty (40) meters in forest areas in compliance to the Water Code of the Philippines</w:t>
            </w:r>
          </w:p>
        </w:tc>
        <w:tc>
          <w:tcPr>
            <w:tcW w:w="2165" w:type="dxa"/>
            <w:tcBorders>
              <w:top w:val="single" w:sz="4" w:space="0" w:color="auto"/>
              <w:left w:val="single" w:sz="4" w:space="0" w:color="auto"/>
              <w:bottom w:val="single" w:sz="4" w:space="0" w:color="auto"/>
              <w:right w:val="single" w:sz="4" w:space="0" w:color="auto"/>
            </w:tcBorders>
          </w:tcPr>
          <w:p w14:paraId="1F7200EE" w14:textId="77777777" w:rsidR="001470CE" w:rsidRPr="00F15DFC" w:rsidRDefault="001470CE" w:rsidP="004725B4">
            <w:pPr>
              <w:ind w:left="-7"/>
              <w:rPr>
                <w:rFonts w:ascii="Bookman Old Style" w:hAnsi="Bookman Old Style"/>
                <w:lang w:val="en-AU"/>
              </w:rPr>
            </w:pPr>
            <w:r w:rsidRPr="00F15DFC">
              <w:rPr>
                <w:rFonts w:ascii="Bookman Old Style" w:hAnsi="Bookman Old Style"/>
              </w:rPr>
              <w:t>100% no siltation of nearby bodies of water</w:t>
            </w:r>
          </w:p>
        </w:tc>
      </w:tr>
      <w:tr w:rsidR="001470CE" w:rsidRPr="00F15DFC" w14:paraId="05DC556F" w14:textId="77777777" w:rsidTr="004725B4">
        <w:trPr>
          <w:jc w:val="center"/>
        </w:trPr>
        <w:tc>
          <w:tcPr>
            <w:tcW w:w="2875" w:type="dxa"/>
            <w:tcBorders>
              <w:left w:val="single" w:sz="4" w:space="0" w:color="auto"/>
              <w:right w:val="single" w:sz="4" w:space="0" w:color="auto"/>
            </w:tcBorders>
            <w:hideMark/>
          </w:tcPr>
          <w:p w14:paraId="08E69A41"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rPr>
              <w:t>Degradation of surface water quality due to contamination from domestic wastewater</w:t>
            </w:r>
          </w:p>
        </w:tc>
        <w:tc>
          <w:tcPr>
            <w:tcW w:w="4410" w:type="dxa"/>
            <w:tcBorders>
              <w:top w:val="single" w:sz="4" w:space="0" w:color="auto"/>
              <w:left w:val="single" w:sz="4" w:space="0" w:color="auto"/>
              <w:bottom w:val="single" w:sz="4" w:space="0" w:color="auto"/>
              <w:right w:val="single" w:sz="4" w:space="0" w:color="auto"/>
            </w:tcBorders>
          </w:tcPr>
          <w:p w14:paraId="11B85B4D"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rPr>
            </w:pPr>
            <w:r w:rsidRPr="00F15DFC">
              <w:rPr>
                <w:rFonts w:ascii="Bookman Old Style" w:hAnsi="Bookman Old Style"/>
                <w:bCs/>
              </w:rPr>
              <w:t xml:space="preserve">Provision of </w:t>
            </w:r>
            <w:r w:rsidRPr="00F15DFC">
              <w:rPr>
                <w:rFonts w:ascii="Bookman Old Style" w:hAnsi="Bookman Old Style"/>
              </w:rPr>
              <w:t>(</w:t>
            </w:r>
            <w:r w:rsidRPr="00F15DFC">
              <w:rPr>
                <w:rFonts w:ascii="Bookman Old Style" w:hAnsi="Bookman Old Style"/>
                <w:u w:val="single"/>
              </w:rPr>
              <w:t>indicate</w:t>
            </w:r>
            <w:r w:rsidRPr="00F15DFC">
              <w:rPr>
                <w:rFonts w:ascii="Bookman Old Style" w:hAnsi="Bookman Old Style"/>
              </w:rPr>
              <w:t xml:space="preserve"> </w:t>
            </w:r>
            <w:r w:rsidRPr="00F15DFC">
              <w:rPr>
                <w:rFonts w:ascii="Bookman Old Style" w:hAnsi="Bookman Old Style"/>
                <w:u w:val="single"/>
              </w:rPr>
              <w:t>number</w:t>
            </w:r>
            <w:r w:rsidRPr="00F15DFC">
              <w:rPr>
                <w:rFonts w:ascii="Bookman Old Style" w:hAnsi="Bookman Old Style"/>
              </w:rPr>
              <w:t xml:space="preserve">) </w:t>
            </w:r>
            <w:proofErr w:type="spellStart"/>
            <w:r w:rsidRPr="00F15DFC">
              <w:rPr>
                <w:rFonts w:ascii="Bookman Old Style" w:hAnsi="Bookman Old Style"/>
              </w:rPr>
              <w:t>portalets</w:t>
            </w:r>
            <w:proofErr w:type="spellEnd"/>
            <w:r w:rsidRPr="00F15DFC">
              <w:rPr>
                <w:rFonts w:ascii="Bookman Old Style" w:hAnsi="Bookman Old Style"/>
              </w:rPr>
              <w:t xml:space="preserve"> </w:t>
            </w:r>
            <w:r w:rsidRPr="00F15DFC">
              <w:rPr>
                <w:rFonts w:ascii="Bookman Old Style" w:hAnsi="Bookman Old Style"/>
                <w:bCs/>
              </w:rPr>
              <w:t>for construction workers (if necessary)</w:t>
            </w:r>
          </w:p>
          <w:p w14:paraId="6893487A" w14:textId="77777777" w:rsidR="001470CE" w:rsidRPr="00F15DFC" w:rsidRDefault="001470CE" w:rsidP="004725B4">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w:t>
            </w:r>
            <w:r w:rsidRPr="00F15DFC">
              <w:rPr>
                <w:rStyle w:val="normaltextrun"/>
                <w:rFonts w:ascii="Bookman Old Style" w:hAnsi="Bookman Old Style"/>
                <w:i/>
                <w:iCs/>
                <w:sz w:val="22"/>
                <w:szCs w:val="22"/>
                <w:lang w:val="en-US"/>
              </w:rPr>
              <w:lastRenderedPageBreak/>
              <w:t>Amending Administrative Order 111 Series of 1991)</w:t>
            </w:r>
            <w:r w:rsidRPr="00F15DFC">
              <w:rPr>
                <w:rStyle w:val="eop"/>
                <w:rFonts w:ascii="Bookman Old Style" w:hAnsi="Bookman Old Style"/>
                <w:sz w:val="22"/>
                <w:szCs w:val="22"/>
              </w:rPr>
              <w:t> </w:t>
            </w:r>
          </w:p>
          <w:p w14:paraId="7550504D" w14:textId="77777777" w:rsidR="001470CE" w:rsidRPr="00F15DFC" w:rsidRDefault="001470CE" w:rsidP="004725B4">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25258DF7" w14:textId="77777777" w:rsidR="001470CE" w:rsidRPr="00F15DFC" w:rsidRDefault="001470CE" w:rsidP="001470CE">
            <w:pPr>
              <w:pStyle w:val="ListParagraph"/>
              <w:numPr>
                <w:ilvl w:val="0"/>
                <w:numId w:val="16"/>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2CC3F71A" w14:textId="77777777" w:rsidR="001470CE" w:rsidRPr="00F15DFC" w:rsidRDefault="001470CE" w:rsidP="001470CE">
            <w:pPr>
              <w:pStyle w:val="ListParagraph"/>
              <w:numPr>
                <w:ilvl w:val="0"/>
                <w:numId w:val="16"/>
              </w:numPr>
              <w:spacing w:after="0" w:line="240" w:lineRule="auto"/>
              <w:ind w:left="277"/>
              <w:rPr>
                <w:rFonts w:ascii="Bookman Old Style" w:hAnsi="Bookman Old Style"/>
              </w:rPr>
            </w:pPr>
            <w:r w:rsidRPr="00F15DFC">
              <w:rPr>
                <w:rFonts w:ascii="Bookman Old Style" w:hAnsi="Bookman Old Style"/>
              </w:rPr>
              <w:t xml:space="preserve">Hauling of wastewater from </w:t>
            </w:r>
            <w:proofErr w:type="spellStart"/>
            <w:r w:rsidRPr="00F15DFC">
              <w:rPr>
                <w:rFonts w:ascii="Bookman Old Style" w:hAnsi="Bookman Old Style"/>
              </w:rPr>
              <w:t>portalets</w:t>
            </w:r>
            <w:proofErr w:type="spellEnd"/>
            <w:r w:rsidRPr="00F15DFC">
              <w:rPr>
                <w:rFonts w:ascii="Bookman Old Style" w:hAnsi="Bookman Old Style"/>
              </w:rPr>
              <w:t xml:space="preserve">/ septic tank by third party contractor with licensed/permit from LGU and with valid Discharge Permit for wastewater treatment facility </w:t>
            </w:r>
          </w:p>
        </w:tc>
        <w:tc>
          <w:tcPr>
            <w:tcW w:w="2165" w:type="dxa"/>
            <w:tcBorders>
              <w:top w:val="single" w:sz="4" w:space="0" w:color="auto"/>
              <w:left w:val="single" w:sz="4" w:space="0" w:color="auto"/>
              <w:bottom w:val="single" w:sz="4" w:space="0" w:color="auto"/>
              <w:right w:val="single" w:sz="4" w:space="0" w:color="auto"/>
            </w:tcBorders>
            <w:hideMark/>
          </w:tcPr>
          <w:p w14:paraId="74EB6706" w14:textId="77777777" w:rsidR="001470CE" w:rsidRPr="00F15DFC" w:rsidRDefault="001470CE" w:rsidP="004725B4">
            <w:pPr>
              <w:ind w:left="-7"/>
              <w:rPr>
                <w:rFonts w:ascii="Bookman Old Style" w:hAnsi="Bookman Old Style"/>
                <w:b/>
                <w:bCs/>
              </w:rPr>
            </w:pPr>
            <w:r w:rsidRPr="00F15DFC">
              <w:rPr>
                <w:rFonts w:ascii="Bookman Old Style" w:hAnsi="Bookman Old Style"/>
              </w:rPr>
              <w:lastRenderedPageBreak/>
              <w:t>100% no discharge of domestic wastewater to nearby bodies of water</w:t>
            </w:r>
          </w:p>
        </w:tc>
      </w:tr>
      <w:tr w:rsidR="001470CE" w:rsidRPr="00F15DFC" w14:paraId="7CE102C8" w14:textId="77777777" w:rsidTr="004725B4">
        <w:trPr>
          <w:jc w:val="center"/>
        </w:trPr>
        <w:tc>
          <w:tcPr>
            <w:tcW w:w="9450" w:type="dxa"/>
            <w:gridSpan w:val="3"/>
            <w:tcBorders>
              <w:left w:val="single" w:sz="4" w:space="0" w:color="auto"/>
              <w:right w:val="single" w:sz="4" w:space="0" w:color="auto"/>
            </w:tcBorders>
            <w:shd w:val="clear" w:color="auto" w:fill="D0CECE" w:themeFill="background2" w:themeFillShade="E6"/>
          </w:tcPr>
          <w:p w14:paraId="70C6275D" w14:textId="77777777" w:rsidR="001470CE" w:rsidRPr="00F15DFC" w:rsidRDefault="001470CE" w:rsidP="004725B4">
            <w:pPr>
              <w:ind w:left="-7"/>
              <w:rPr>
                <w:rFonts w:ascii="Bookman Old Style" w:hAnsi="Bookman Old Style"/>
              </w:rPr>
            </w:pPr>
            <w:r w:rsidRPr="00F15DFC">
              <w:rPr>
                <w:rFonts w:ascii="Bookman Old Style" w:hAnsi="Bookman Old Style"/>
              </w:rPr>
              <w:t>A.3 Construction of fuel storage facility</w:t>
            </w:r>
          </w:p>
        </w:tc>
      </w:tr>
      <w:tr w:rsidR="001470CE" w:rsidRPr="00F15DFC" w14:paraId="08CFA2A7" w14:textId="77777777" w:rsidTr="004725B4">
        <w:trPr>
          <w:trHeight w:val="2690"/>
          <w:jc w:val="center"/>
        </w:trPr>
        <w:tc>
          <w:tcPr>
            <w:tcW w:w="2875" w:type="dxa"/>
            <w:tcBorders>
              <w:left w:val="single" w:sz="4" w:space="0" w:color="auto"/>
              <w:right w:val="single" w:sz="4" w:space="0" w:color="auto"/>
            </w:tcBorders>
          </w:tcPr>
          <w:p w14:paraId="5F34B75A"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 xml:space="preserve">Generation of noise from heavy equipment </w:t>
            </w:r>
          </w:p>
        </w:tc>
        <w:tc>
          <w:tcPr>
            <w:tcW w:w="4410" w:type="dxa"/>
            <w:tcBorders>
              <w:top w:val="single" w:sz="4" w:space="0" w:color="auto"/>
              <w:left w:val="single" w:sz="4" w:space="0" w:color="auto"/>
              <w:bottom w:val="single" w:sz="4" w:space="0" w:color="auto"/>
              <w:right w:val="single" w:sz="4" w:space="0" w:color="auto"/>
            </w:tcBorders>
          </w:tcPr>
          <w:p w14:paraId="046AEBEA" w14:textId="77777777" w:rsidR="001470CE" w:rsidRPr="00F15DFC" w:rsidRDefault="001470CE" w:rsidP="004725B4">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Use of mufflers and exhaust silencers for construction equipment</w:t>
            </w:r>
          </w:p>
          <w:p w14:paraId="14E918EC" w14:textId="77777777" w:rsidR="001470CE" w:rsidRPr="00F15DFC" w:rsidRDefault="001470CE" w:rsidP="004725B4">
            <w:pPr>
              <w:pStyle w:val="ListParagraph"/>
              <w:widowControl w:val="0"/>
              <w:numPr>
                <w:ilvl w:val="0"/>
                <w:numId w:val="8"/>
              </w:numPr>
              <w:spacing w:after="200" w:line="240" w:lineRule="auto"/>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165" w:type="dxa"/>
            <w:tcBorders>
              <w:top w:val="single" w:sz="4" w:space="0" w:color="auto"/>
              <w:left w:val="single" w:sz="4" w:space="0" w:color="auto"/>
              <w:bottom w:val="single" w:sz="4" w:space="0" w:color="auto"/>
              <w:right w:val="single" w:sz="4" w:space="0" w:color="auto"/>
            </w:tcBorders>
          </w:tcPr>
          <w:p w14:paraId="4D6DCFF4" w14:textId="77777777" w:rsidR="001470CE" w:rsidRPr="00F15DFC" w:rsidRDefault="001470CE" w:rsidP="004725B4">
            <w:pPr>
              <w:ind w:left="-7"/>
              <w:rPr>
                <w:rFonts w:ascii="Bookman Old Style" w:hAnsi="Bookman Old Style"/>
              </w:rPr>
            </w:pPr>
            <w:r w:rsidRPr="00F15DFC">
              <w:rPr>
                <w:rFonts w:ascii="Bookman Old Style" w:hAnsi="Bookman Old Style"/>
              </w:rPr>
              <w:t>100% Noise within standards</w:t>
            </w:r>
          </w:p>
        </w:tc>
      </w:tr>
      <w:tr w:rsidR="001470CE" w:rsidRPr="00F15DFC" w14:paraId="45611C6C" w14:textId="77777777" w:rsidTr="004725B4">
        <w:trPr>
          <w:jc w:val="center"/>
        </w:trPr>
        <w:tc>
          <w:tcPr>
            <w:tcW w:w="2875" w:type="dxa"/>
            <w:tcBorders>
              <w:left w:val="single" w:sz="4" w:space="0" w:color="auto"/>
              <w:bottom w:val="single" w:sz="4" w:space="0" w:color="auto"/>
              <w:right w:val="single" w:sz="4" w:space="0" w:color="auto"/>
            </w:tcBorders>
            <w:vAlign w:val="center"/>
          </w:tcPr>
          <w:p w14:paraId="209FA06F"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Generation of construction debris</w:t>
            </w:r>
          </w:p>
        </w:tc>
        <w:tc>
          <w:tcPr>
            <w:tcW w:w="4410" w:type="dxa"/>
            <w:tcBorders>
              <w:top w:val="single" w:sz="4" w:space="0" w:color="auto"/>
              <w:left w:val="single" w:sz="4" w:space="0" w:color="auto"/>
              <w:bottom w:val="single" w:sz="4" w:space="0" w:color="auto"/>
              <w:right w:val="single" w:sz="4" w:space="0" w:color="auto"/>
            </w:tcBorders>
          </w:tcPr>
          <w:p w14:paraId="26DA8BE8" w14:textId="77777777" w:rsidR="001470CE" w:rsidRPr="00F15DFC" w:rsidRDefault="001470CE" w:rsidP="004725B4">
            <w:pPr>
              <w:pStyle w:val="Default"/>
              <w:numPr>
                <w:ilvl w:val="0"/>
                <w:numId w:val="8"/>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293604FF" w14:textId="77777777" w:rsidR="001470CE" w:rsidRPr="00F15DFC" w:rsidRDefault="001470CE" w:rsidP="004725B4">
            <w:pPr>
              <w:pStyle w:val="Default"/>
              <w:numPr>
                <w:ilvl w:val="0"/>
                <w:numId w:val="8"/>
              </w:numPr>
              <w:rPr>
                <w:rFonts w:ascii="Bookman Old Style" w:hAnsi="Bookman Old Style" w:cs="Times New Roman"/>
                <w:color w:val="auto"/>
                <w:sz w:val="22"/>
                <w:szCs w:val="22"/>
                <w:lang w:val="en-AU"/>
              </w:rPr>
            </w:pPr>
            <w:r w:rsidRPr="00F15DFC">
              <w:rPr>
                <w:rFonts w:ascii="Bookman Old Style" w:hAnsi="Bookman Old Style" w:cs="Times New Roman"/>
                <w:color w:val="auto"/>
                <w:sz w:val="22"/>
                <w:szCs w:val="22"/>
              </w:rPr>
              <w:t>Hauling of construction debris by 3</w:t>
            </w:r>
            <w:r w:rsidRPr="00F15DFC">
              <w:rPr>
                <w:rFonts w:ascii="Bookman Old Style" w:hAnsi="Bookman Old Style" w:cs="Times New Roman"/>
                <w:color w:val="auto"/>
                <w:sz w:val="22"/>
                <w:szCs w:val="22"/>
                <w:vertAlign w:val="superscript"/>
              </w:rPr>
              <w:t>rd</w:t>
            </w:r>
            <w:r w:rsidRPr="00F15DFC">
              <w:rPr>
                <w:rFonts w:ascii="Bookman Old Style" w:hAnsi="Bookman Old Style" w:cs="Times New Roman"/>
                <w:color w:val="auto"/>
                <w:sz w:val="22"/>
                <w:szCs w:val="22"/>
              </w:rPr>
              <w:t xml:space="preserve"> party hauler</w:t>
            </w:r>
          </w:p>
        </w:tc>
        <w:tc>
          <w:tcPr>
            <w:tcW w:w="2165" w:type="dxa"/>
            <w:tcBorders>
              <w:top w:val="single" w:sz="4" w:space="0" w:color="auto"/>
              <w:left w:val="single" w:sz="4" w:space="0" w:color="auto"/>
              <w:bottom w:val="single" w:sz="4" w:space="0" w:color="auto"/>
              <w:right w:val="single" w:sz="4" w:space="0" w:color="auto"/>
            </w:tcBorders>
          </w:tcPr>
          <w:p w14:paraId="186A6994" w14:textId="77777777" w:rsidR="001470CE" w:rsidRPr="00F15DFC" w:rsidRDefault="001470CE" w:rsidP="004725B4">
            <w:pPr>
              <w:ind w:left="-7"/>
              <w:rPr>
                <w:rFonts w:ascii="Bookman Old Style" w:hAnsi="Bookman Old Style"/>
              </w:rPr>
            </w:pPr>
            <w:r w:rsidRPr="00F15DFC">
              <w:rPr>
                <w:rFonts w:ascii="Bookman Old Style" w:hAnsi="Bookman Old Style"/>
              </w:rPr>
              <w:t>100% collected/hauled construction debris</w:t>
            </w:r>
          </w:p>
        </w:tc>
      </w:tr>
      <w:tr w:rsidR="001470CE" w:rsidRPr="00F15DFC" w14:paraId="504AA930" w14:textId="77777777" w:rsidTr="004725B4">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98C23EA" w14:textId="77777777" w:rsidR="001470CE" w:rsidRPr="00F15DFC" w:rsidRDefault="001470CE" w:rsidP="001470CE">
            <w:pPr>
              <w:pStyle w:val="ListParagraph"/>
              <w:numPr>
                <w:ilvl w:val="0"/>
                <w:numId w:val="17"/>
              </w:numPr>
              <w:spacing w:after="0" w:line="240" w:lineRule="auto"/>
              <w:contextualSpacing w:val="0"/>
              <w:rPr>
                <w:rFonts w:ascii="Bookman Old Style" w:hAnsi="Bookman Old Style"/>
                <w:b/>
                <w:lang w:val="en-AU"/>
              </w:rPr>
            </w:pPr>
            <w:r w:rsidRPr="00F15DFC">
              <w:rPr>
                <w:rFonts w:ascii="Bookman Old Style" w:hAnsi="Bookman Old Style"/>
                <w:b/>
                <w:lang w:val="en-AU"/>
              </w:rPr>
              <w:t xml:space="preserve">Operational Phase </w:t>
            </w:r>
          </w:p>
        </w:tc>
      </w:tr>
      <w:tr w:rsidR="001470CE" w:rsidRPr="00F15DFC" w14:paraId="2EC65E8A" w14:textId="77777777" w:rsidTr="004725B4">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5B4986D4" w14:textId="77777777" w:rsidR="001470CE" w:rsidRPr="00F15DFC" w:rsidRDefault="001470CE" w:rsidP="004725B4">
            <w:pPr>
              <w:ind w:left="-7"/>
              <w:rPr>
                <w:rFonts w:ascii="Bookman Old Style" w:hAnsi="Bookman Old Style"/>
              </w:rPr>
            </w:pPr>
            <w:r w:rsidRPr="00F15DFC">
              <w:rPr>
                <w:rFonts w:ascii="Bookman Old Style" w:hAnsi="Bookman Old Style"/>
              </w:rPr>
              <w:t>B.1 Operation and maintenance of facilities</w:t>
            </w:r>
          </w:p>
        </w:tc>
      </w:tr>
      <w:tr w:rsidR="001470CE" w:rsidRPr="00F15DFC" w14:paraId="05DD63CF" w14:textId="77777777" w:rsidTr="004725B4">
        <w:trPr>
          <w:trHeight w:val="854"/>
          <w:jc w:val="center"/>
        </w:trPr>
        <w:tc>
          <w:tcPr>
            <w:tcW w:w="2875" w:type="dxa"/>
            <w:tcBorders>
              <w:left w:val="single" w:sz="4" w:space="0" w:color="auto"/>
              <w:right w:val="single" w:sz="4" w:space="0" w:color="auto"/>
            </w:tcBorders>
          </w:tcPr>
          <w:p w14:paraId="0B25A0B7" w14:textId="77777777" w:rsidR="001470CE" w:rsidRPr="00F15DFC" w:rsidRDefault="001470CE" w:rsidP="004725B4">
            <w:pPr>
              <w:snapToGrid w:val="0"/>
              <w:rPr>
                <w:rFonts w:ascii="Bookman Old Style" w:hAnsi="Bookman Old Style"/>
              </w:rPr>
            </w:pPr>
            <w:r w:rsidRPr="00F15DFC">
              <w:rPr>
                <w:rFonts w:ascii="Bookman Old Style" w:hAnsi="Bookman Old Style"/>
              </w:rPr>
              <w:t xml:space="preserve">Contamination of surface water from domestic wastewater </w:t>
            </w:r>
          </w:p>
          <w:p w14:paraId="3D933205" w14:textId="77777777" w:rsidR="001470CE" w:rsidRPr="00F15DFC" w:rsidRDefault="001470CE" w:rsidP="004725B4">
            <w:pPr>
              <w:snapToGrid w:val="0"/>
              <w:ind w:left="432"/>
              <w:rPr>
                <w:rFonts w:ascii="Bookman Old Style" w:hAnsi="Bookman Old Style"/>
              </w:rPr>
            </w:pPr>
          </w:p>
        </w:tc>
        <w:tc>
          <w:tcPr>
            <w:tcW w:w="4410" w:type="dxa"/>
            <w:tcBorders>
              <w:top w:val="single" w:sz="4" w:space="0" w:color="auto"/>
              <w:left w:val="single" w:sz="4" w:space="0" w:color="auto"/>
              <w:bottom w:val="single" w:sz="4" w:space="0" w:color="auto"/>
              <w:right w:val="single" w:sz="4" w:space="0" w:color="auto"/>
            </w:tcBorders>
          </w:tcPr>
          <w:p w14:paraId="52F2C3BB" w14:textId="77777777" w:rsidR="001470CE" w:rsidRPr="00F15DFC" w:rsidRDefault="001470CE" w:rsidP="004725B4">
            <w:pPr>
              <w:widowControl w:val="0"/>
              <w:contextualSpacing/>
              <w:jc w:val="both"/>
              <w:rPr>
                <w:rFonts w:ascii="Bookman Old Style" w:hAnsi="Bookman Old Style"/>
                <w:lang w:val="en-AU"/>
              </w:rPr>
            </w:pPr>
            <w:r w:rsidRPr="00F15DFC">
              <w:rPr>
                <w:rFonts w:ascii="Bookman Old Style" w:hAnsi="Bookman Old Style"/>
                <w:lang w:val="en-AU"/>
              </w:rPr>
              <w:t>Provision of adequate Wastewater Treatment Facility (Sewage Treatment Plant) to treat the collected wastewater, whichever is applicable:</w:t>
            </w:r>
          </w:p>
          <w:p w14:paraId="464BB593" w14:textId="77777777" w:rsidR="001470CE" w:rsidRPr="00F15DFC" w:rsidRDefault="001470CE" w:rsidP="001470CE">
            <w:pPr>
              <w:pStyle w:val="ListParagraph"/>
              <w:widowControl w:val="0"/>
              <w:numPr>
                <w:ilvl w:val="0"/>
                <w:numId w:val="19"/>
              </w:numPr>
              <w:spacing w:after="0" w:line="240" w:lineRule="auto"/>
              <w:jc w:val="both"/>
              <w:rPr>
                <w:rFonts w:ascii="Bookman Old Style" w:hAnsi="Bookman Old Style"/>
                <w:lang w:val="en-AU"/>
              </w:rPr>
            </w:pPr>
            <w:r w:rsidRPr="00F15DFC">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61819DAB" w14:textId="77777777" w:rsidR="001470CE" w:rsidRPr="00F15DFC" w:rsidRDefault="001470CE" w:rsidP="001470CE">
            <w:pPr>
              <w:pStyle w:val="ListParagraph"/>
              <w:widowControl w:val="0"/>
              <w:numPr>
                <w:ilvl w:val="0"/>
                <w:numId w:val="19"/>
              </w:numPr>
              <w:spacing w:after="0" w:line="240" w:lineRule="auto"/>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448A9E16" w14:textId="77777777" w:rsidR="001470CE" w:rsidRPr="00F15DFC" w:rsidRDefault="001470CE" w:rsidP="004725B4">
            <w:pPr>
              <w:pStyle w:val="ListParagraph"/>
              <w:widowControl w:val="0"/>
              <w:ind w:left="360"/>
              <w:jc w:val="both"/>
              <w:rPr>
                <w:rFonts w:ascii="Bookman Old Style" w:hAnsi="Bookman Old Style"/>
                <w:lang w:val="en-AU"/>
              </w:rPr>
            </w:pPr>
          </w:p>
          <w:p w14:paraId="14DF7A3A" w14:textId="77777777" w:rsidR="001470CE" w:rsidRPr="00F15DFC" w:rsidRDefault="001470CE" w:rsidP="004725B4">
            <w:pPr>
              <w:widowControl w:val="0"/>
              <w:contextualSpacing/>
              <w:rPr>
                <w:rFonts w:ascii="Bookman Old Style" w:hAnsi="Bookman Old Style"/>
                <w:lang w:val="en-AU"/>
              </w:rPr>
            </w:pPr>
            <w:r w:rsidRPr="00F15DFC">
              <w:rPr>
                <w:rFonts w:ascii="Bookman Old Style" w:hAnsi="Bookman Old Style"/>
                <w:lang w:val="en-AU"/>
              </w:rPr>
              <w:t xml:space="preserve">Note: For 98L per person per day water consumption; 80% will become wastewater – hence for 300 persons; </w:t>
            </w:r>
            <w:r w:rsidRPr="00F15DFC">
              <w:rPr>
                <w:rFonts w:ascii="Bookman Old Style" w:hAnsi="Bookman Old Style"/>
                <w:lang w:val="en-AU"/>
              </w:rPr>
              <w:lastRenderedPageBreak/>
              <w:t>at least 23.52 cubic meter per day WTF capacity shall be installed and operated</w:t>
            </w:r>
          </w:p>
        </w:tc>
        <w:tc>
          <w:tcPr>
            <w:tcW w:w="2165" w:type="dxa"/>
            <w:tcBorders>
              <w:top w:val="single" w:sz="4" w:space="0" w:color="auto"/>
              <w:left w:val="single" w:sz="4" w:space="0" w:color="auto"/>
              <w:bottom w:val="single" w:sz="4" w:space="0" w:color="auto"/>
              <w:right w:val="single" w:sz="4" w:space="0" w:color="auto"/>
            </w:tcBorders>
          </w:tcPr>
          <w:p w14:paraId="5C60BA71" w14:textId="77777777" w:rsidR="001470CE" w:rsidRPr="00F15DFC" w:rsidRDefault="001470CE" w:rsidP="004725B4">
            <w:pPr>
              <w:ind w:left="-7"/>
              <w:rPr>
                <w:rFonts w:ascii="Bookman Old Style" w:hAnsi="Bookman Old Style"/>
              </w:rPr>
            </w:pPr>
            <w:r w:rsidRPr="00F15DFC">
              <w:rPr>
                <w:rFonts w:ascii="Bookman Old Style" w:hAnsi="Bookman Old Style"/>
              </w:rPr>
              <w:lastRenderedPageBreak/>
              <w:t>100% conformance to effluent standards</w:t>
            </w:r>
          </w:p>
        </w:tc>
      </w:tr>
      <w:tr w:rsidR="001470CE" w:rsidRPr="00F15DFC" w14:paraId="37637AE4" w14:textId="77777777" w:rsidTr="004725B4">
        <w:trPr>
          <w:trHeight w:val="854"/>
          <w:jc w:val="center"/>
        </w:trPr>
        <w:tc>
          <w:tcPr>
            <w:tcW w:w="2875" w:type="dxa"/>
            <w:tcBorders>
              <w:left w:val="single" w:sz="4" w:space="0" w:color="auto"/>
              <w:right w:val="single" w:sz="4" w:space="0" w:color="auto"/>
            </w:tcBorders>
          </w:tcPr>
          <w:p w14:paraId="194ABF1D" w14:textId="77777777" w:rsidR="001470CE" w:rsidRPr="00F15DFC" w:rsidRDefault="001470CE" w:rsidP="004725B4">
            <w:pPr>
              <w:snapToGrid w:val="0"/>
              <w:rPr>
                <w:rFonts w:ascii="Bookman Old Style" w:hAnsi="Bookman Old Style"/>
              </w:rPr>
            </w:pPr>
            <w:r w:rsidRPr="00F15DFC">
              <w:rPr>
                <w:rFonts w:ascii="Bookman Old Style" w:hAnsi="Bookman Old Style"/>
              </w:rPr>
              <w:t>Contamination of soil / groundwater due to accidental tank leak</w:t>
            </w:r>
          </w:p>
        </w:tc>
        <w:tc>
          <w:tcPr>
            <w:tcW w:w="4410" w:type="dxa"/>
            <w:tcBorders>
              <w:top w:val="single" w:sz="4" w:space="0" w:color="auto"/>
              <w:left w:val="single" w:sz="4" w:space="0" w:color="auto"/>
              <w:bottom w:val="single" w:sz="4" w:space="0" w:color="auto"/>
              <w:right w:val="single" w:sz="4" w:space="0" w:color="auto"/>
            </w:tcBorders>
          </w:tcPr>
          <w:p w14:paraId="639276E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secondary tank containment</w:t>
            </w:r>
          </w:p>
          <w:p w14:paraId="04E76A3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spill protection, overfill protection, and corrosion protection</w:t>
            </w:r>
          </w:p>
          <w:p w14:paraId="3CE15BC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sandbags</w:t>
            </w:r>
          </w:p>
        </w:tc>
        <w:tc>
          <w:tcPr>
            <w:tcW w:w="2165" w:type="dxa"/>
            <w:tcBorders>
              <w:top w:val="single" w:sz="4" w:space="0" w:color="auto"/>
              <w:left w:val="single" w:sz="4" w:space="0" w:color="auto"/>
              <w:bottom w:val="single" w:sz="4" w:space="0" w:color="auto"/>
              <w:right w:val="single" w:sz="4" w:space="0" w:color="auto"/>
            </w:tcBorders>
          </w:tcPr>
          <w:p w14:paraId="2C89A3F3" w14:textId="77777777" w:rsidR="001470CE" w:rsidRPr="00F15DFC" w:rsidRDefault="001470CE" w:rsidP="004725B4">
            <w:pPr>
              <w:ind w:left="-7"/>
              <w:rPr>
                <w:rFonts w:ascii="Bookman Old Style" w:hAnsi="Bookman Old Style"/>
              </w:rPr>
            </w:pPr>
            <w:r w:rsidRPr="00F15DFC">
              <w:rPr>
                <w:rFonts w:ascii="Bookman Old Style" w:hAnsi="Bookman Old Style"/>
              </w:rPr>
              <w:t>100% no contamination of soil and groundwater</w:t>
            </w:r>
          </w:p>
        </w:tc>
      </w:tr>
      <w:tr w:rsidR="001470CE" w:rsidRPr="00F15DFC" w14:paraId="0DF81DE7" w14:textId="77777777" w:rsidTr="004725B4">
        <w:trPr>
          <w:trHeight w:val="548"/>
          <w:jc w:val="center"/>
        </w:trPr>
        <w:tc>
          <w:tcPr>
            <w:tcW w:w="2875" w:type="dxa"/>
            <w:tcBorders>
              <w:left w:val="single" w:sz="4" w:space="0" w:color="auto"/>
              <w:right w:val="single" w:sz="4" w:space="0" w:color="auto"/>
            </w:tcBorders>
          </w:tcPr>
          <w:p w14:paraId="7E6E5FF4" w14:textId="77777777" w:rsidR="001470CE" w:rsidRPr="00F15DFC" w:rsidRDefault="001470CE" w:rsidP="004725B4">
            <w:pPr>
              <w:snapToGrid w:val="0"/>
              <w:rPr>
                <w:rFonts w:ascii="Bookman Old Style" w:hAnsi="Bookman Old Style"/>
              </w:rPr>
            </w:pPr>
            <w:r w:rsidRPr="00F15DFC">
              <w:rPr>
                <w:rFonts w:ascii="Bookman Old Style" w:hAnsi="Bookman Old Style"/>
              </w:rPr>
              <w:t>Generation of fumes (VOCs)</w:t>
            </w:r>
          </w:p>
        </w:tc>
        <w:tc>
          <w:tcPr>
            <w:tcW w:w="4410" w:type="dxa"/>
            <w:tcBorders>
              <w:top w:val="single" w:sz="4" w:space="0" w:color="auto"/>
              <w:left w:val="single" w:sz="4" w:space="0" w:color="auto"/>
              <w:bottom w:val="single" w:sz="4" w:space="0" w:color="auto"/>
              <w:right w:val="single" w:sz="4" w:space="0" w:color="auto"/>
            </w:tcBorders>
          </w:tcPr>
          <w:p w14:paraId="6B641FC1"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Underground storage Tanks will be equipped with VOCs trap</w:t>
            </w:r>
          </w:p>
        </w:tc>
        <w:tc>
          <w:tcPr>
            <w:tcW w:w="2165" w:type="dxa"/>
            <w:tcBorders>
              <w:top w:val="single" w:sz="4" w:space="0" w:color="auto"/>
              <w:left w:val="single" w:sz="4" w:space="0" w:color="auto"/>
              <w:bottom w:val="single" w:sz="4" w:space="0" w:color="auto"/>
              <w:right w:val="single" w:sz="4" w:space="0" w:color="auto"/>
            </w:tcBorders>
          </w:tcPr>
          <w:p w14:paraId="7B2322B9" w14:textId="77777777" w:rsidR="001470CE" w:rsidRPr="00F15DFC" w:rsidRDefault="001470CE" w:rsidP="004725B4">
            <w:pPr>
              <w:ind w:left="-7"/>
              <w:rPr>
                <w:rFonts w:ascii="Bookman Old Style" w:hAnsi="Bookman Old Style"/>
              </w:rPr>
            </w:pPr>
          </w:p>
        </w:tc>
      </w:tr>
      <w:tr w:rsidR="001470CE" w:rsidRPr="00F15DFC" w14:paraId="0EF86B7A" w14:textId="77777777" w:rsidTr="004725B4">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029FE2CA"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/service bay) and other hazardous waste materials (busted lamps, used batteries, etc)</w:t>
            </w:r>
          </w:p>
        </w:tc>
        <w:tc>
          <w:tcPr>
            <w:tcW w:w="4410" w:type="dxa"/>
            <w:tcBorders>
              <w:top w:val="single" w:sz="4" w:space="0" w:color="auto"/>
              <w:left w:val="single" w:sz="4" w:space="0" w:color="auto"/>
              <w:bottom w:val="single" w:sz="4" w:space="0" w:color="auto"/>
              <w:right w:val="single" w:sz="4" w:space="0" w:color="auto"/>
            </w:tcBorders>
          </w:tcPr>
          <w:p w14:paraId="4ACC17E1" w14:textId="77777777" w:rsidR="001470CE" w:rsidRPr="00F15DFC" w:rsidRDefault="001470CE" w:rsidP="001470CE">
            <w:pPr>
              <w:pStyle w:val="ListParagraph"/>
              <w:widowControl w:val="0"/>
              <w:numPr>
                <w:ilvl w:val="0"/>
                <w:numId w:val="21"/>
              </w:numPr>
              <w:spacing w:after="0" w:line="240" w:lineRule="auto"/>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haulers/treaters.</w:t>
            </w:r>
          </w:p>
          <w:p w14:paraId="12BCEAEF" w14:textId="77777777" w:rsidR="001470CE" w:rsidRPr="00F15DFC" w:rsidRDefault="001470CE" w:rsidP="001470CE">
            <w:pPr>
              <w:pStyle w:val="ListParagraph"/>
              <w:widowControl w:val="0"/>
              <w:numPr>
                <w:ilvl w:val="0"/>
                <w:numId w:val="21"/>
              </w:numPr>
              <w:spacing w:after="0" w:line="240" w:lineRule="auto"/>
              <w:contextualSpacing w:val="0"/>
              <w:rPr>
                <w:rFonts w:ascii="Bookman Old Style" w:hAnsi="Bookman Old Style"/>
                <w:lang w:val="en-AU"/>
              </w:rPr>
            </w:pPr>
            <w:r w:rsidRPr="00F15DFC">
              <w:rPr>
                <w:rFonts w:ascii="Bookman Old Style" w:hAnsi="Bookman Old Style"/>
                <w:lang w:val="en-AU"/>
              </w:rPr>
              <w:t>Hazardous waste generation ID shall be secured from EMB.</w:t>
            </w:r>
          </w:p>
          <w:p w14:paraId="748D9548" w14:textId="77777777" w:rsidR="001470CE" w:rsidRPr="00F15DFC" w:rsidRDefault="001470CE" w:rsidP="001470CE">
            <w:pPr>
              <w:pStyle w:val="ListParagraph"/>
              <w:widowControl w:val="0"/>
              <w:numPr>
                <w:ilvl w:val="0"/>
                <w:numId w:val="21"/>
              </w:numPr>
              <w:spacing w:after="0" w:line="240" w:lineRule="auto"/>
              <w:jc w:val="both"/>
              <w:rPr>
                <w:rFonts w:ascii="Bookman Old Style" w:hAnsi="Bookman Old Style"/>
                <w:lang w:val="en-AU"/>
              </w:rPr>
            </w:pPr>
            <w:r w:rsidRPr="00F15DFC">
              <w:rPr>
                <w:rFonts w:ascii="Bookman Old Style" w:hAnsi="Bookman Old Style"/>
                <w:lang w:val="en-AU"/>
              </w:rPr>
              <w:t>Provision of Oil and water separator / trap</w:t>
            </w:r>
          </w:p>
        </w:tc>
        <w:tc>
          <w:tcPr>
            <w:tcW w:w="2165" w:type="dxa"/>
            <w:tcBorders>
              <w:top w:val="single" w:sz="4" w:space="0" w:color="auto"/>
              <w:left w:val="single" w:sz="4" w:space="0" w:color="auto"/>
              <w:bottom w:val="single" w:sz="4" w:space="0" w:color="auto"/>
              <w:right w:val="single" w:sz="4" w:space="0" w:color="auto"/>
            </w:tcBorders>
          </w:tcPr>
          <w:p w14:paraId="76A4EFC7" w14:textId="77777777" w:rsidR="001470CE" w:rsidRPr="00F15DFC" w:rsidRDefault="001470CE" w:rsidP="004725B4">
            <w:pPr>
              <w:ind w:left="-7"/>
              <w:rPr>
                <w:rFonts w:ascii="Bookman Old Style" w:hAnsi="Bookman Old Style"/>
              </w:rPr>
            </w:pPr>
            <w:r w:rsidRPr="00F15DFC">
              <w:rPr>
                <w:rFonts w:ascii="Bookman Old Style" w:hAnsi="Bookman Old Style"/>
              </w:rPr>
              <w:t xml:space="preserve">100% compliant to RA 6969 </w:t>
            </w:r>
          </w:p>
          <w:p w14:paraId="308F929D" w14:textId="77777777" w:rsidR="001470CE" w:rsidRPr="00F15DFC" w:rsidRDefault="001470CE" w:rsidP="004725B4">
            <w:pPr>
              <w:ind w:left="-7"/>
              <w:rPr>
                <w:rFonts w:ascii="Bookman Old Style" w:hAnsi="Bookman Old Style"/>
              </w:rPr>
            </w:pPr>
          </w:p>
        </w:tc>
      </w:tr>
      <w:tr w:rsidR="001470CE" w:rsidRPr="00F15DFC" w14:paraId="5B3DC98F" w14:textId="77777777" w:rsidTr="004725B4">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6B3FE403" w14:textId="77777777" w:rsidR="001470CE" w:rsidRPr="00F15DFC" w:rsidRDefault="001470CE" w:rsidP="004725B4">
            <w:pPr>
              <w:rPr>
                <w:rFonts w:ascii="Bookman Old Style" w:hAnsi="Bookman Old Style"/>
              </w:rPr>
            </w:pPr>
            <w:r w:rsidRPr="00F15DFC">
              <w:rPr>
                <w:rFonts w:ascii="Bookman Old Style" w:hAnsi="Bookman Old Style"/>
              </w:rPr>
              <w:t xml:space="preserve">Generation of Solid Wastes </w:t>
            </w:r>
          </w:p>
        </w:tc>
        <w:tc>
          <w:tcPr>
            <w:tcW w:w="4410" w:type="dxa"/>
            <w:tcBorders>
              <w:top w:val="single" w:sz="4" w:space="0" w:color="auto"/>
              <w:left w:val="single" w:sz="4" w:space="0" w:color="auto"/>
              <w:bottom w:val="single" w:sz="4" w:space="0" w:color="auto"/>
              <w:right w:val="single" w:sz="4" w:space="0" w:color="auto"/>
            </w:tcBorders>
          </w:tcPr>
          <w:p w14:paraId="0D1B25E1"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6588D3AC"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Provision of a Materials Recovery Facility (MRF) </w:t>
            </w:r>
          </w:p>
          <w:p w14:paraId="4D2D4A65"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Hauling of solid wastes by third party hauler with permit/clearance from LGU </w:t>
            </w:r>
          </w:p>
        </w:tc>
        <w:tc>
          <w:tcPr>
            <w:tcW w:w="2165" w:type="dxa"/>
            <w:tcBorders>
              <w:top w:val="single" w:sz="4" w:space="0" w:color="auto"/>
              <w:left w:val="single" w:sz="4" w:space="0" w:color="auto"/>
              <w:bottom w:val="single" w:sz="4" w:space="0" w:color="auto"/>
              <w:right w:val="single" w:sz="4" w:space="0" w:color="auto"/>
            </w:tcBorders>
          </w:tcPr>
          <w:p w14:paraId="5D8BE785" w14:textId="77777777" w:rsidR="001470CE" w:rsidRPr="00F15DFC" w:rsidRDefault="001470CE" w:rsidP="004725B4">
            <w:pPr>
              <w:ind w:left="-7"/>
              <w:rPr>
                <w:rFonts w:ascii="Bookman Old Style" w:hAnsi="Bookman Old Style"/>
              </w:rPr>
            </w:pPr>
            <w:r w:rsidRPr="00F15DFC">
              <w:rPr>
                <w:rFonts w:ascii="Bookman Old Style" w:hAnsi="Bookman Old Style"/>
              </w:rPr>
              <w:t>100% conformance to RA 9003</w:t>
            </w:r>
          </w:p>
        </w:tc>
      </w:tr>
      <w:tr w:rsidR="001470CE" w:rsidRPr="00F15DFC" w14:paraId="6B6E7555" w14:textId="77777777" w:rsidTr="004725B4">
        <w:trPr>
          <w:trHeight w:val="854"/>
          <w:jc w:val="center"/>
        </w:trPr>
        <w:tc>
          <w:tcPr>
            <w:tcW w:w="2875" w:type="dxa"/>
            <w:tcBorders>
              <w:left w:val="single" w:sz="4" w:space="0" w:color="auto"/>
              <w:right w:val="single" w:sz="4" w:space="0" w:color="auto"/>
            </w:tcBorders>
          </w:tcPr>
          <w:p w14:paraId="6C6A5088"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Degradation of air quality due to use of generator set and Underground Tank (UGT)</w:t>
            </w:r>
            <w:r w:rsidRPr="00F15DFC">
              <w:rPr>
                <w:rFonts w:ascii="Bookman Old Style" w:hAnsi="Bookman Old Style"/>
                <w:i/>
                <w:iCs/>
                <w:lang w:val="en-AU"/>
              </w:rPr>
              <w:t xml:space="preserve"> (if any)</w:t>
            </w:r>
          </w:p>
        </w:tc>
        <w:tc>
          <w:tcPr>
            <w:tcW w:w="4410" w:type="dxa"/>
            <w:tcBorders>
              <w:top w:val="single" w:sz="4" w:space="0" w:color="auto"/>
              <w:left w:val="single" w:sz="4" w:space="0" w:color="auto"/>
              <w:bottom w:val="single" w:sz="4" w:space="0" w:color="auto"/>
              <w:right w:val="single" w:sz="4" w:space="0" w:color="auto"/>
            </w:tcBorders>
          </w:tcPr>
          <w:p w14:paraId="45A06C97"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Regular maintenance of the generator set </w:t>
            </w:r>
          </w:p>
          <w:p w14:paraId="3672A802"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Regular maintenance of the UGT Vent</w:t>
            </w:r>
          </w:p>
        </w:tc>
        <w:tc>
          <w:tcPr>
            <w:tcW w:w="2165" w:type="dxa"/>
            <w:tcBorders>
              <w:top w:val="single" w:sz="4" w:space="0" w:color="auto"/>
              <w:left w:val="single" w:sz="4" w:space="0" w:color="auto"/>
              <w:bottom w:val="single" w:sz="4" w:space="0" w:color="auto"/>
              <w:right w:val="single" w:sz="4" w:space="0" w:color="auto"/>
            </w:tcBorders>
          </w:tcPr>
          <w:p w14:paraId="67A435AF"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compliance to RA 8749</w:t>
            </w:r>
          </w:p>
          <w:p w14:paraId="21AC5610" w14:textId="77777777" w:rsidR="001470CE" w:rsidRPr="00F15DFC" w:rsidRDefault="001470CE" w:rsidP="004725B4">
            <w:pPr>
              <w:ind w:left="-7"/>
              <w:rPr>
                <w:rFonts w:ascii="Bookman Old Style" w:hAnsi="Bookman Old Style"/>
              </w:rPr>
            </w:pPr>
          </w:p>
        </w:tc>
      </w:tr>
      <w:tr w:rsidR="001470CE" w:rsidRPr="00F15DFC" w14:paraId="09001D20" w14:textId="77777777" w:rsidTr="004725B4">
        <w:trPr>
          <w:trHeight w:val="1079"/>
          <w:jc w:val="center"/>
        </w:trPr>
        <w:tc>
          <w:tcPr>
            <w:tcW w:w="2875" w:type="dxa"/>
            <w:tcBorders>
              <w:left w:val="single" w:sz="4" w:space="0" w:color="auto"/>
              <w:right w:val="single" w:sz="4" w:space="0" w:color="auto"/>
            </w:tcBorders>
          </w:tcPr>
          <w:p w14:paraId="07982FB3"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 xml:space="preserve">Generation of obnoxious or unpleasant </w:t>
            </w:r>
            <w:proofErr w:type="spellStart"/>
            <w:r w:rsidRPr="00F15DFC">
              <w:rPr>
                <w:rFonts w:ascii="Bookman Old Style" w:hAnsi="Bookman Old Style"/>
                <w:lang w:val="en-AU"/>
              </w:rPr>
              <w:t>odor</w:t>
            </w:r>
            <w:proofErr w:type="spellEnd"/>
          </w:p>
        </w:tc>
        <w:tc>
          <w:tcPr>
            <w:tcW w:w="4410" w:type="dxa"/>
            <w:tcBorders>
              <w:top w:val="single" w:sz="4" w:space="0" w:color="auto"/>
              <w:left w:val="single" w:sz="4" w:space="0" w:color="auto"/>
              <w:bottom w:val="single" w:sz="4" w:space="0" w:color="auto"/>
              <w:right w:val="single" w:sz="4" w:space="0" w:color="auto"/>
            </w:tcBorders>
          </w:tcPr>
          <w:p w14:paraId="746A9634"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Provision of air-tight tank seal/cover</w:t>
            </w:r>
          </w:p>
        </w:tc>
        <w:tc>
          <w:tcPr>
            <w:tcW w:w="2165" w:type="dxa"/>
            <w:tcBorders>
              <w:top w:val="single" w:sz="4" w:space="0" w:color="auto"/>
              <w:left w:val="single" w:sz="4" w:space="0" w:color="auto"/>
              <w:bottom w:val="single" w:sz="4" w:space="0" w:color="auto"/>
              <w:right w:val="single" w:sz="4" w:space="0" w:color="auto"/>
            </w:tcBorders>
          </w:tcPr>
          <w:p w14:paraId="3811413A"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no tanks left uncovered</w:t>
            </w:r>
          </w:p>
        </w:tc>
      </w:tr>
      <w:tr w:rsidR="001470CE" w:rsidRPr="00F15DFC" w14:paraId="2F660425" w14:textId="77777777" w:rsidTr="004725B4">
        <w:trPr>
          <w:trHeight w:val="1079"/>
          <w:jc w:val="center"/>
        </w:trPr>
        <w:tc>
          <w:tcPr>
            <w:tcW w:w="2875" w:type="dxa"/>
            <w:tcBorders>
              <w:left w:val="single" w:sz="4" w:space="0" w:color="auto"/>
              <w:right w:val="single" w:sz="4" w:space="0" w:color="auto"/>
            </w:tcBorders>
          </w:tcPr>
          <w:p w14:paraId="6469F9F0" w14:textId="77777777" w:rsidR="001470CE" w:rsidRPr="00F15DFC" w:rsidRDefault="001470CE" w:rsidP="004725B4">
            <w:pPr>
              <w:rPr>
                <w:rFonts w:ascii="Bookman Old Style" w:hAnsi="Bookman Old Style"/>
                <w:lang w:val="en-AU"/>
              </w:rPr>
            </w:pPr>
            <w:r w:rsidRPr="00F15DFC">
              <w:rPr>
                <w:rFonts w:ascii="Bookman Old Style" w:hAnsi="Bookman Old Style"/>
              </w:rPr>
              <w:t>Generation of effluents due to wastewater generation</w:t>
            </w:r>
          </w:p>
        </w:tc>
        <w:tc>
          <w:tcPr>
            <w:tcW w:w="4410" w:type="dxa"/>
            <w:tcBorders>
              <w:top w:val="single" w:sz="4" w:space="0" w:color="auto"/>
              <w:left w:val="single" w:sz="4" w:space="0" w:color="auto"/>
              <w:bottom w:val="single" w:sz="4" w:space="0" w:color="auto"/>
              <w:right w:val="single" w:sz="4" w:space="0" w:color="auto"/>
            </w:tcBorders>
          </w:tcPr>
          <w:p w14:paraId="50A6578F" w14:textId="77777777" w:rsidR="001470CE" w:rsidRPr="00F15DFC" w:rsidRDefault="001470CE" w:rsidP="004725B4">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47300, 4661):</w:t>
            </w:r>
          </w:p>
          <w:p w14:paraId="1879EDF5" w14:textId="77777777" w:rsidR="001470CE" w:rsidRPr="00F15DFC" w:rsidRDefault="001470CE" w:rsidP="004725B4">
            <w:pPr>
              <w:pStyle w:val="ListParagraph"/>
              <w:widowControl w:val="0"/>
              <w:ind w:left="360"/>
              <w:rPr>
                <w:rFonts w:ascii="Bookman Old Style" w:hAnsi="Bookman Old Style" w:cs="Arial"/>
              </w:rPr>
            </w:pPr>
          </w:p>
          <w:p w14:paraId="18AA7DCA"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FA8612F"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Oil and Grease</w:t>
            </w:r>
          </w:p>
          <w:p w14:paraId="59A527C2"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Benzene</w:t>
            </w:r>
          </w:p>
          <w:p w14:paraId="2FF31598"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Toluene</w:t>
            </w:r>
          </w:p>
          <w:p w14:paraId="1B903313"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Ethylbenzene</w:t>
            </w:r>
          </w:p>
          <w:p w14:paraId="060424FD"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Xylenes</w:t>
            </w:r>
          </w:p>
          <w:p w14:paraId="680BC384"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Benzo(a)pyrene</w:t>
            </w:r>
          </w:p>
        </w:tc>
        <w:tc>
          <w:tcPr>
            <w:tcW w:w="2165" w:type="dxa"/>
            <w:tcBorders>
              <w:top w:val="single" w:sz="4" w:space="0" w:color="auto"/>
              <w:left w:val="single" w:sz="4" w:space="0" w:color="auto"/>
              <w:bottom w:val="single" w:sz="4" w:space="0" w:color="auto"/>
              <w:right w:val="single" w:sz="4" w:space="0" w:color="auto"/>
            </w:tcBorders>
          </w:tcPr>
          <w:p w14:paraId="26589557"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77B9DB9A" w14:textId="77777777" w:rsidR="001470CE" w:rsidRPr="00E140F4" w:rsidRDefault="001470CE" w:rsidP="001470CE">
      <w:pPr>
        <w:ind w:left="360"/>
        <w:jc w:val="both"/>
        <w:rPr>
          <w:rFonts w:ascii="Bookman Old Style" w:hAnsi="Bookman Old Style" w:cs="Arial"/>
          <w:b/>
          <w:sz w:val="24"/>
          <w:szCs w:val="24"/>
        </w:rPr>
      </w:pPr>
    </w:p>
    <w:p w14:paraId="302A8CD2" w14:textId="77777777" w:rsidR="001470CE" w:rsidRPr="00E140F4" w:rsidRDefault="001470CE" w:rsidP="001470CE">
      <w:pPr>
        <w:numPr>
          <w:ilvl w:val="0"/>
          <w:numId w:val="25"/>
        </w:numPr>
        <w:spacing w:after="0" w:line="240" w:lineRule="auto"/>
        <w:jc w:val="both"/>
        <w:rPr>
          <w:rFonts w:ascii="Bookman Old Style" w:hAnsi="Bookman Old Style" w:cs="Arial"/>
          <w:b/>
          <w:sz w:val="24"/>
          <w:szCs w:val="24"/>
        </w:rPr>
      </w:pPr>
      <w:r w:rsidRPr="00E140F4">
        <w:rPr>
          <w:rFonts w:ascii="Bookman Old Style" w:hAnsi="Bookman Old Style" w:cs="Arial"/>
          <w:b/>
          <w:sz w:val="24"/>
          <w:szCs w:val="24"/>
        </w:rPr>
        <w:t>GENERAL CONDITIONS</w:t>
      </w:r>
    </w:p>
    <w:p w14:paraId="6B692117" w14:textId="77777777" w:rsidR="001470CE" w:rsidRPr="00E140F4" w:rsidRDefault="001470CE" w:rsidP="001470CE">
      <w:pPr>
        <w:pStyle w:val="ListParagraph"/>
        <w:tabs>
          <w:tab w:val="left" w:pos="1260"/>
        </w:tabs>
        <w:jc w:val="both"/>
        <w:rPr>
          <w:rFonts w:ascii="Bookman Old Style" w:hAnsi="Bookman Old Style"/>
          <w:sz w:val="24"/>
          <w:szCs w:val="24"/>
        </w:rPr>
      </w:pPr>
    </w:p>
    <w:p w14:paraId="3B27502A" w14:textId="77777777" w:rsidR="001470CE" w:rsidRDefault="001470CE" w:rsidP="001470CE">
      <w:pPr>
        <w:pStyle w:val="ListParagraph"/>
        <w:numPr>
          <w:ilvl w:val="0"/>
          <w:numId w:val="23"/>
        </w:numPr>
        <w:tabs>
          <w:tab w:val="clear" w:pos="720"/>
        </w:tabs>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Regulations; </w:t>
      </w:r>
    </w:p>
    <w:p w14:paraId="6E3B28CE" w14:textId="77777777" w:rsidR="001470CE"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w:t>
      </w:r>
      <w:r w:rsidRPr="37C9966B">
        <w:rPr>
          <w:rFonts w:ascii="Bookman Old Style" w:eastAsia="Bookman Old Style" w:hAnsi="Bookman Old Style" w:cs="Bookman Old Style"/>
          <w:color w:val="000000" w:themeColor="text1"/>
          <w:sz w:val="24"/>
          <w:szCs w:val="24"/>
        </w:rPr>
        <w:lastRenderedPageBreak/>
        <w:t>limit and conduct daily road watering. Likewise, the proponent shall ensure that emissions at all times comply with the DENR standards and with all the provisions of RA 8749, the Philippine Clean Air Act of 1999 and its Implementing Rules and Regulations;</w:t>
      </w:r>
    </w:p>
    <w:p w14:paraId="6E9966F6" w14:textId="77777777" w:rsidR="001470CE"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0E0FDC96" w14:textId="77777777" w:rsidR="001470CE" w:rsidRPr="00B84A9D"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p>
    <w:p w14:paraId="118E2BA7"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cut</w:t>
      </w:r>
      <w:r>
        <w:rPr>
          <w:rFonts w:ascii="Bookman Old Style" w:hAnsi="Bookman Old Style"/>
          <w:sz w:val="24"/>
          <w:szCs w:val="24"/>
        </w:rPr>
        <w:t>;</w:t>
      </w:r>
    </w:p>
    <w:p w14:paraId="162D723F" w14:textId="77777777" w:rsidR="001470CE" w:rsidRPr="00E140F4" w:rsidRDefault="001470CE" w:rsidP="001470CE">
      <w:pPr>
        <w:pStyle w:val="ListParagraph"/>
        <w:tabs>
          <w:tab w:val="num" w:pos="810"/>
        </w:tabs>
        <w:ind w:left="1170" w:hanging="810"/>
        <w:jc w:val="both"/>
        <w:rPr>
          <w:rFonts w:ascii="Bookman Old Style" w:hAnsi="Bookman Old Style"/>
          <w:sz w:val="24"/>
          <w:szCs w:val="24"/>
        </w:rPr>
      </w:pPr>
    </w:p>
    <w:p w14:paraId="6884A6C9" w14:textId="77777777" w:rsidR="001470CE"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A rainwater harvesting/cistern storage tank shall be installed to maximize recycling, distribution and utilization of used water and to store and capture rainwater as additional measures in water resources management, respectively</w:t>
      </w:r>
      <w:r>
        <w:rPr>
          <w:rFonts w:ascii="Bookman Old Style" w:hAnsi="Bookman Old Style"/>
          <w:sz w:val="24"/>
          <w:szCs w:val="24"/>
        </w:rPr>
        <w:t>;</w:t>
      </w:r>
    </w:p>
    <w:p w14:paraId="43FF6D4C" w14:textId="77777777" w:rsidR="001470CE" w:rsidRPr="009B7B70" w:rsidRDefault="001470CE" w:rsidP="001470CE">
      <w:pPr>
        <w:pStyle w:val="ListParagraph"/>
        <w:rPr>
          <w:rFonts w:ascii="Bookman Old Style" w:hAnsi="Bookman Old Style"/>
          <w:sz w:val="24"/>
          <w:szCs w:val="24"/>
        </w:rPr>
      </w:pPr>
    </w:p>
    <w:p w14:paraId="3910D540" w14:textId="77777777" w:rsidR="001470CE" w:rsidRPr="00190FE7" w:rsidRDefault="001470CE" w:rsidP="001470CE">
      <w:pPr>
        <w:widowControl w:val="0"/>
        <w:numPr>
          <w:ilvl w:val="0"/>
          <w:numId w:val="23"/>
        </w:numPr>
        <w:autoSpaceDE w:val="0"/>
        <w:autoSpaceDN w:val="0"/>
        <w:adjustRightInd w:val="0"/>
        <w:spacing w:after="0" w:line="240" w:lineRule="auto"/>
        <w:jc w:val="both"/>
        <w:rPr>
          <w:rFonts w:ascii="Bookman Old Style" w:eastAsia="Bookman Old Style" w:hAnsi="Bookman Old Style"/>
          <w:sz w:val="24"/>
        </w:rPr>
      </w:pPr>
      <w:r w:rsidRPr="005B6F4F">
        <w:rPr>
          <w:rFonts w:ascii="Bookman Old Style" w:hAnsi="Bookman Old Style"/>
          <w:sz w:val="24"/>
          <w:szCs w:val="24"/>
        </w:rPr>
        <w:t xml:space="preserve">The proponent shall designate a PCO and secure accreditation  at the EMB within Six (6) months from the issuance of </w:t>
      </w:r>
      <w:proofErr w:type="spellStart"/>
      <w:r w:rsidRPr="005B6F4F">
        <w:rPr>
          <w:rFonts w:ascii="Bookman Old Style" w:hAnsi="Bookman Old Style"/>
          <w:sz w:val="24"/>
          <w:szCs w:val="24"/>
        </w:rPr>
        <w:t>of</w:t>
      </w:r>
      <w:proofErr w:type="spellEnd"/>
      <w:r w:rsidRPr="005B6F4F">
        <w:rPr>
          <w:rFonts w:ascii="Bookman Old Style" w:hAnsi="Bookman Old Style"/>
          <w:sz w:val="24"/>
          <w:szCs w:val="24"/>
        </w:rPr>
        <w:t xml:space="preserve"> this ECC who shall take charge on the environmental concerns of the project;</w:t>
      </w:r>
    </w:p>
    <w:p w14:paraId="55D1CD84" w14:textId="77777777" w:rsidR="001470CE" w:rsidRDefault="001470CE" w:rsidP="001470CE">
      <w:pPr>
        <w:pStyle w:val="ListParagraph"/>
        <w:rPr>
          <w:rFonts w:ascii="Bookman Old Style" w:eastAsia="Bookman Old Style" w:hAnsi="Bookman Old Style"/>
          <w:sz w:val="24"/>
        </w:rPr>
      </w:pPr>
    </w:p>
    <w:p w14:paraId="6CC635EA" w14:textId="77777777" w:rsidR="001470CE" w:rsidRPr="00190FE7" w:rsidRDefault="001470CE" w:rsidP="001470CE">
      <w:pPr>
        <w:widowControl w:val="0"/>
        <w:numPr>
          <w:ilvl w:val="0"/>
          <w:numId w:val="2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at least six (6) months prior to project abandonment. The plan shall include rehabilitation measures/clean-up, remediation of areas affected by the project and proposed alternative projects in the area; </w:t>
      </w:r>
    </w:p>
    <w:p w14:paraId="0B0F409B" w14:textId="77777777" w:rsidR="001470CE" w:rsidRDefault="001470CE" w:rsidP="001470CE">
      <w:pPr>
        <w:jc w:val="both"/>
        <w:rPr>
          <w:highlight w:val="yellow"/>
        </w:rPr>
      </w:pPr>
    </w:p>
    <w:p w14:paraId="632E31AE" w14:textId="77777777" w:rsidR="001470CE" w:rsidRPr="009B7B70" w:rsidRDefault="001470CE" w:rsidP="001470CE">
      <w:pPr>
        <w:numPr>
          <w:ilvl w:val="0"/>
          <w:numId w:val="23"/>
        </w:numPr>
        <w:spacing w:after="0" w:line="240" w:lineRule="auto"/>
        <w:jc w:val="both"/>
        <w:rPr>
          <w:sz w:val="24"/>
          <w:szCs w:val="24"/>
        </w:rPr>
      </w:pPr>
      <w:r w:rsidRPr="009B7B70">
        <w:rPr>
          <w:rFonts w:ascii="Bookman Old Style" w:hAnsi="Bookman Old Style"/>
          <w:sz w:val="24"/>
          <w:szCs w:val="24"/>
        </w:rPr>
        <w:t xml:space="preserve">Underground fuel storage tanks shall be provided with bund walls and shall be in accordance with internationally acceptable standards. Regular checking of tanks to determine possible leaks shall be undertaken and that tanks shall be replaced upon reaching its average lifespan. Any damage to the environment particularly on ground water contamination, proponent shall properly compensate the parties affected and shall immediately stop the operation of the fuel refilling station; (suggested by </w:t>
      </w:r>
      <w:proofErr w:type="spellStart"/>
      <w:r w:rsidRPr="009B7B70">
        <w:rPr>
          <w:rFonts w:ascii="Bookman Old Style" w:hAnsi="Bookman Old Style"/>
          <w:sz w:val="24"/>
          <w:szCs w:val="24"/>
        </w:rPr>
        <w:t>Maam</w:t>
      </w:r>
      <w:proofErr w:type="spellEnd"/>
      <w:r w:rsidRPr="009B7B70">
        <w:rPr>
          <w:rFonts w:ascii="Bookman Old Style" w:hAnsi="Bookman Old Style"/>
          <w:sz w:val="24"/>
          <w:szCs w:val="24"/>
        </w:rPr>
        <w:t xml:space="preserve"> Anne)</w:t>
      </w:r>
    </w:p>
    <w:p w14:paraId="7E34C2F7" w14:textId="77777777" w:rsidR="001470CE" w:rsidRPr="009B7B70" w:rsidRDefault="001470CE" w:rsidP="001470CE">
      <w:pPr>
        <w:jc w:val="both"/>
      </w:pPr>
    </w:p>
    <w:p w14:paraId="49286701" w14:textId="77777777" w:rsidR="001470CE" w:rsidRPr="009B7B70" w:rsidRDefault="001470CE" w:rsidP="001470CE">
      <w:pPr>
        <w:numPr>
          <w:ilvl w:val="0"/>
          <w:numId w:val="23"/>
        </w:numPr>
        <w:spacing w:after="0" w:line="240" w:lineRule="auto"/>
        <w:jc w:val="both"/>
        <w:rPr>
          <w:rFonts w:asciiTheme="minorHAnsi" w:eastAsiaTheme="minorEastAsia" w:hAnsiTheme="minorHAnsi" w:cstheme="minorBidi"/>
        </w:rPr>
      </w:pPr>
      <w:r w:rsidRPr="009B7B70">
        <w:rPr>
          <w:rFonts w:ascii="Bookman Old Style" w:hAnsi="Bookman Old Style"/>
          <w:sz w:val="24"/>
          <w:szCs w:val="24"/>
        </w:rPr>
        <w:t>Perimeter drainage canal of the gasoline station project shall pass through an oil-water separator prior to its discharge to the environment. Firewall shall be constructed to protect the residential/commercial establishments immediately adjacent to the project from fire hazards;</w:t>
      </w:r>
    </w:p>
    <w:p w14:paraId="2E047325" w14:textId="77777777" w:rsidR="001470CE" w:rsidRPr="009B7B70" w:rsidRDefault="001470CE" w:rsidP="001470CE">
      <w:pPr>
        <w:pStyle w:val="ListParagraph"/>
        <w:rPr>
          <w:rFonts w:ascii="Bookman Old Style" w:hAnsi="Bookman Old Style"/>
          <w:sz w:val="24"/>
          <w:szCs w:val="24"/>
        </w:rPr>
      </w:pPr>
    </w:p>
    <w:p w14:paraId="7BC22DDA" w14:textId="77777777" w:rsidR="001470CE" w:rsidRPr="009B7B70" w:rsidRDefault="001470CE" w:rsidP="001470CE">
      <w:pPr>
        <w:numPr>
          <w:ilvl w:val="0"/>
          <w:numId w:val="23"/>
        </w:numPr>
        <w:spacing w:after="0" w:line="240" w:lineRule="auto"/>
        <w:jc w:val="both"/>
        <w:rPr>
          <w:rFonts w:asciiTheme="minorHAnsi" w:eastAsiaTheme="minorEastAsia" w:hAnsiTheme="minorHAnsi" w:cstheme="minorBidi"/>
        </w:rPr>
      </w:pPr>
      <w:r w:rsidRPr="009B7B70">
        <w:rPr>
          <w:rFonts w:ascii="Bookman Old Style" w:hAnsi="Bookman Old Style"/>
          <w:sz w:val="24"/>
          <w:szCs w:val="24"/>
        </w:rPr>
        <w:lastRenderedPageBreak/>
        <w:t>Proper mitigation measures on the generation of harmful vapor emissions shall be observed and implemented during loading/discharging operations from the fuel tank truck to the underground storage tank such as but not limited to installations of gas vents with filter membrane and hose fitting and leak at the discharge point to the underground storage tank;</w:t>
      </w:r>
    </w:p>
    <w:p w14:paraId="6365F51C" w14:textId="77777777" w:rsidR="001470CE" w:rsidRPr="00E140F4" w:rsidRDefault="001470CE" w:rsidP="001470CE">
      <w:pPr>
        <w:pStyle w:val="ListParagraph"/>
        <w:ind w:left="1440"/>
        <w:jc w:val="both"/>
        <w:rPr>
          <w:rFonts w:asciiTheme="minorHAnsi" w:eastAsiaTheme="minorEastAsia" w:hAnsiTheme="minorHAnsi" w:cstheme="minorBidi"/>
          <w:sz w:val="24"/>
          <w:szCs w:val="24"/>
        </w:rPr>
      </w:pPr>
    </w:p>
    <w:p w14:paraId="5979292F" w14:textId="77777777" w:rsidR="001470CE" w:rsidRPr="00E140F4" w:rsidRDefault="001470CE" w:rsidP="001470CE">
      <w:pPr>
        <w:numPr>
          <w:ilvl w:val="0"/>
          <w:numId w:val="25"/>
        </w:numPr>
        <w:spacing w:after="0" w:line="240" w:lineRule="auto"/>
        <w:jc w:val="both"/>
        <w:rPr>
          <w:rFonts w:ascii="Bookman Old Style" w:hAnsi="Bookman Old Style"/>
          <w:b/>
          <w:sz w:val="24"/>
          <w:szCs w:val="24"/>
        </w:rPr>
      </w:pPr>
      <w:r w:rsidRPr="00E140F4">
        <w:rPr>
          <w:rFonts w:ascii="Bookman Old Style" w:hAnsi="Bookman Old Style"/>
          <w:b/>
          <w:sz w:val="24"/>
          <w:szCs w:val="24"/>
        </w:rPr>
        <w:t>RESTRICTIONS</w:t>
      </w:r>
    </w:p>
    <w:p w14:paraId="182DCD23" w14:textId="77777777" w:rsidR="001470CE" w:rsidRPr="00E140F4" w:rsidRDefault="001470CE" w:rsidP="001470CE">
      <w:pPr>
        <w:jc w:val="both"/>
        <w:rPr>
          <w:rFonts w:ascii="Bookman Old Style" w:hAnsi="Bookman Old Style"/>
          <w:sz w:val="24"/>
          <w:szCs w:val="24"/>
        </w:rPr>
      </w:pPr>
    </w:p>
    <w:p w14:paraId="3023821F"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5D43A0E6" w14:textId="77777777" w:rsidR="001470CE" w:rsidRPr="00E140F4" w:rsidRDefault="001470CE" w:rsidP="001470CE">
      <w:pPr>
        <w:pStyle w:val="ListParagraph"/>
        <w:ind w:hanging="630"/>
        <w:jc w:val="both"/>
        <w:rPr>
          <w:rFonts w:ascii="Bookman Old Style" w:hAnsi="Bookman Old Style"/>
          <w:sz w:val="24"/>
          <w:szCs w:val="24"/>
        </w:rPr>
      </w:pPr>
    </w:p>
    <w:p w14:paraId="068075E5"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No other activities shall be undertaken other than what was stipulated in the updated IEEC document.  Any expansion or modification of the Project beyond the project description or any change in the activity shall be subject to a new EIA requirements; and</w:t>
      </w:r>
    </w:p>
    <w:p w14:paraId="0937799B" w14:textId="77777777" w:rsidR="001470CE" w:rsidRPr="00E140F4" w:rsidRDefault="001470CE" w:rsidP="001470CE">
      <w:pPr>
        <w:pStyle w:val="ListParagraph"/>
        <w:ind w:hanging="630"/>
        <w:rPr>
          <w:rFonts w:ascii="Bookman Old Style" w:hAnsi="Bookman Old Style"/>
          <w:sz w:val="24"/>
          <w:szCs w:val="24"/>
        </w:rPr>
      </w:pPr>
    </w:p>
    <w:p w14:paraId="3040F79E" w14:textId="77777777" w:rsidR="001470CE"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476826BD" w14:textId="77777777" w:rsidR="001470CE" w:rsidRPr="000019FC" w:rsidRDefault="001470CE" w:rsidP="001470CE">
      <w:pPr>
        <w:pStyle w:val="ListParagraph"/>
        <w:rPr>
          <w:rFonts w:ascii="Bookman Old Style" w:hAnsi="Bookman Old Style"/>
          <w:sz w:val="24"/>
          <w:szCs w:val="24"/>
        </w:rPr>
      </w:pPr>
    </w:p>
    <w:p w14:paraId="01A2FF4C" w14:textId="77777777" w:rsidR="001470CE" w:rsidRDefault="001470CE" w:rsidP="001470C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6528C9E5" w14:textId="77777777" w:rsidR="001470CE" w:rsidRPr="00E140F4" w:rsidRDefault="001470CE" w:rsidP="001470CE">
      <w:pPr>
        <w:ind w:left="7920"/>
        <w:rPr>
          <w:rFonts w:ascii="Bookman Old Style" w:hAnsi="Bookman Old Style"/>
          <w:b/>
          <w:caps/>
          <w:sz w:val="24"/>
          <w:szCs w:val="24"/>
        </w:rPr>
      </w:pPr>
      <w:r w:rsidRPr="00E140F4">
        <w:rPr>
          <w:rFonts w:ascii="Bookman Old Style" w:hAnsi="Bookman Old Style"/>
          <w:b/>
          <w:caps/>
          <w:sz w:val="24"/>
          <w:szCs w:val="24"/>
        </w:rPr>
        <w:lastRenderedPageBreak/>
        <w:t>Annex B</w:t>
      </w:r>
    </w:p>
    <w:p w14:paraId="68D63460" w14:textId="77777777" w:rsidR="001470CE" w:rsidRPr="00E140F4" w:rsidRDefault="001470CE" w:rsidP="001470CE">
      <w:pPr>
        <w:ind w:left="7920"/>
        <w:rPr>
          <w:rFonts w:ascii="Bookman Old Style" w:hAnsi="Bookman Old Style"/>
          <w:b/>
          <w:caps/>
          <w:sz w:val="24"/>
          <w:szCs w:val="24"/>
        </w:rPr>
      </w:pPr>
    </w:p>
    <w:p w14:paraId="7CA4388A" w14:textId="77777777" w:rsidR="001470CE" w:rsidRPr="00E140F4" w:rsidRDefault="001470CE" w:rsidP="001470CE">
      <w:pPr>
        <w:jc w:val="center"/>
        <w:rPr>
          <w:rFonts w:ascii="Bookman Old Style" w:hAnsi="Bookman Old Style"/>
          <w:b/>
          <w:sz w:val="24"/>
          <w:szCs w:val="24"/>
        </w:rPr>
      </w:pPr>
      <w:r w:rsidRPr="00E140F4">
        <w:rPr>
          <w:rFonts w:ascii="Bookman Old Style" w:hAnsi="Bookman Old Style"/>
          <w:b/>
          <w:sz w:val="24"/>
          <w:szCs w:val="24"/>
        </w:rPr>
        <w:t>PROJECT ASSESSMENT PLANNING TOOL</w:t>
      </w:r>
    </w:p>
    <w:p w14:paraId="4319F507" w14:textId="77777777" w:rsidR="001470CE" w:rsidRPr="00E140F4" w:rsidRDefault="001470CE" w:rsidP="001470CE">
      <w:pPr>
        <w:widowControl w:val="0"/>
        <w:rPr>
          <w:rFonts w:ascii="Bookman Old Style" w:hAnsi="Bookman Old Style" w:cs="Arial"/>
          <w:sz w:val="24"/>
          <w:szCs w:val="24"/>
        </w:rPr>
      </w:pPr>
    </w:p>
    <w:p w14:paraId="55D9E0CA" w14:textId="77777777" w:rsidR="001470CE" w:rsidRPr="00E140F4" w:rsidRDefault="001470CE" w:rsidP="001470CE">
      <w:pPr>
        <w:jc w:val="both"/>
        <w:rPr>
          <w:rFonts w:ascii="Bookman Old Style" w:hAnsi="Bookman Old Style" w:cs="Arial"/>
          <w:sz w:val="24"/>
          <w:szCs w:val="24"/>
        </w:rPr>
      </w:pPr>
      <w:r w:rsidRPr="00E140F4">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229177A8" w14:textId="77777777" w:rsidR="001470CE" w:rsidRPr="00E140F4" w:rsidRDefault="001470CE" w:rsidP="001470CE">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470CE" w:rsidRPr="00E140F4" w14:paraId="6BBDBEAB" w14:textId="77777777" w:rsidTr="004725B4">
        <w:trPr>
          <w:trHeight w:val="215"/>
          <w:jc w:val="center"/>
        </w:trPr>
        <w:tc>
          <w:tcPr>
            <w:tcW w:w="9360" w:type="dxa"/>
            <w:shd w:val="clear" w:color="auto" w:fill="DEEAF6" w:themeFill="accent1" w:themeFillTint="33"/>
            <w:vAlign w:val="center"/>
          </w:tcPr>
          <w:p w14:paraId="41A82C71" w14:textId="77777777" w:rsidR="001470CE" w:rsidRPr="00E140F4" w:rsidRDefault="001470CE" w:rsidP="004725B4">
            <w:pPr>
              <w:widowControl w:val="0"/>
              <w:jc w:val="center"/>
              <w:rPr>
                <w:rFonts w:ascii="Bookman Old Style" w:hAnsi="Bookman Old Style"/>
                <w:b/>
                <w:i/>
                <w:sz w:val="24"/>
                <w:szCs w:val="24"/>
              </w:rPr>
            </w:pPr>
            <w:r w:rsidRPr="00E140F4">
              <w:rPr>
                <w:rFonts w:ascii="Bookman Old Style" w:hAnsi="Bookman Old Style"/>
                <w:b/>
                <w:i/>
                <w:sz w:val="24"/>
                <w:szCs w:val="24"/>
              </w:rPr>
              <w:t>Environmental Planning Recommendations and Regulatory Requirements for the Proponent</w:t>
            </w:r>
          </w:p>
        </w:tc>
      </w:tr>
      <w:tr w:rsidR="001470CE" w:rsidRPr="00E140F4" w14:paraId="2178230B" w14:textId="77777777" w:rsidTr="004725B4">
        <w:trPr>
          <w:jc w:val="center"/>
        </w:trPr>
        <w:tc>
          <w:tcPr>
            <w:tcW w:w="9360" w:type="dxa"/>
          </w:tcPr>
          <w:p w14:paraId="69489B3B" w14:textId="77777777" w:rsidR="001470CE" w:rsidRPr="00E140F4" w:rsidRDefault="001470CE" w:rsidP="004725B4">
            <w:pPr>
              <w:jc w:val="both"/>
              <w:rPr>
                <w:rFonts w:ascii="Bookman Old Style" w:hAnsi="Bookman Old Style"/>
                <w:b/>
                <w:bCs/>
                <w:sz w:val="24"/>
                <w:szCs w:val="24"/>
              </w:rPr>
            </w:pPr>
            <w:r w:rsidRPr="00E140F4">
              <w:rPr>
                <w:rFonts w:ascii="Bookman Old Style" w:hAnsi="Bookman Old Style"/>
                <w:b/>
                <w:bCs/>
                <w:sz w:val="24"/>
                <w:szCs w:val="24"/>
              </w:rPr>
              <w:t>Local Government Unit (LGU)</w:t>
            </w:r>
          </w:p>
        </w:tc>
      </w:tr>
      <w:tr w:rsidR="001470CE" w:rsidRPr="00E140F4" w14:paraId="2894E266" w14:textId="77777777" w:rsidTr="004725B4">
        <w:trPr>
          <w:jc w:val="center"/>
        </w:trPr>
        <w:tc>
          <w:tcPr>
            <w:tcW w:w="9360" w:type="dxa"/>
          </w:tcPr>
          <w:p w14:paraId="18E51319" w14:textId="77777777" w:rsidR="001470CE" w:rsidRPr="00E140F4" w:rsidRDefault="001470CE" w:rsidP="001470CE">
            <w:pPr>
              <w:pStyle w:val="ListParagraph"/>
              <w:numPr>
                <w:ilvl w:val="0"/>
                <w:numId w:val="24"/>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271A5F1B"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comply with the Building Code and Sanitation Code of the Philippines</w:t>
            </w:r>
          </w:p>
          <w:p w14:paraId="39BF4B0D"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coordinate with the concerned LGU for the implementation of Solid Waste Management Plan</w:t>
            </w:r>
          </w:p>
          <w:p w14:paraId="7AAF0D0F"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implement the emergency response plan and disaster preparedness program in case of emergencies</w:t>
            </w:r>
          </w:p>
        </w:tc>
      </w:tr>
      <w:tr w:rsidR="001470CE" w:rsidRPr="00E140F4" w14:paraId="064CF937" w14:textId="77777777" w:rsidTr="004725B4">
        <w:trPr>
          <w:jc w:val="center"/>
        </w:trPr>
        <w:tc>
          <w:tcPr>
            <w:tcW w:w="9360" w:type="dxa"/>
          </w:tcPr>
          <w:p w14:paraId="72BE36E6" w14:textId="77777777" w:rsidR="001470CE" w:rsidRPr="00E140F4" w:rsidRDefault="001470CE" w:rsidP="004725B4">
            <w:pPr>
              <w:contextualSpacing/>
              <w:jc w:val="both"/>
              <w:rPr>
                <w:rFonts w:ascii="Bookman Old Style" w:hAnsi="Bookman Old Style"/>
                <w:b/>
                <w:sz w:val="24"/>
                <w:szCs w:val="24"/>
              </w:rPr>
            </w:pPr>
            <w:r w:rsidRPr="00E140F4">
              <w:rPr>
                <w:rFonts w:ascii="Bookman Old Style" w:hAnsi="Bookman Old Style"/>
                <w:b/>
                <w:sz w:val="24"/>
                <w:szCs w:val="24"/>
              </w:rPr>
              <w:t>DENR-Forest Management Bureau (FMB)</w:t>
            </w:r>
          </w:p>
        </w:tc>
      </w:tr>
      <w:tr w:rsidR="001470CE" w:rsidRPr="00E140F4" w14:paraId="18630398" w14:textId="77777777" w:rsidTr="004725B4">
        <w:trPr>
          <w:jc w:val="center"/>
        </w:trPr>
        <w:tc>
          <w:tcPr>
            <w:tcW w:w="9360" w:type="dxa"/>
          </w:tcPr>
          <w:p w14:paraId="52015692" w14:textId="77777777" w:rsidR="001470CE" w:rsidRPr="00E140F4" w:rsidRDefault="001470CE" w:rsidP="001470CE">
            <w:pPr>
              <w:pStyle w:val="ListParagraph"/>
              <w:numPr>
                <w:ilvl w:val="0"/>
                <w:numId w:val="24"/>
              </w:numPr>
              <w:spacing w:after="0" w:line="240" w:lineRule="auto"/>
              <w:ind w:left="405" w:hanging="389"/>
              <w:jc w:val="both"/>
              <w:rPr>
                <w:rFonts w:ascii="Bookman Old Style" w:hAnsi="Bookman Old Style"/>
                <w:sz w:val="24"/>
                <w:szCs w:val="24"/>
              </w:rPr>
            </w:pPr>
            <w:r w:rsidRPr="00E140F4">
              <w:rPr>
                <w:rFonts w:ascii="Bookman Old Style" w:hAnsi="Bookman Old Style"/>
                <w:sz w:val="24"/>
                <w:szCs w:val="24"/>
              </w:rPr>
              <w:t xml:space="preserve"> The proponent shall secure tree cutting permit if any</w:t>
            </w:r>
          </w:p>
        </w:tc>
      </w:tr>
      <w:tr w:rsidR="001470CE" w:rsidRPr="00E140F4" w14:paraId="3B7C38E6" w14:textId="77777777" w:rsidTr="004725B4">
        <w:trPr>
          <w:jc w:val="center"/>
        </w:trPr>
        <w:tc>
          <w:tcPr>
            <w:tcW w:w="9360" w:type="dxa"/>
          </w:tcPr>
          <w:p w14:paraId="298DAEEB" w14:textId="77777777" w:rsidR="001470CE" w:rsidRPr="00E140F4" w:rsidRDefault="001470CE" w:rsidP="004725B4">
            <w:pPr>
              <w:contextualSpacing/>
              <w:jc w:val="both"/>
              <w:rPr>
                <w:rFonts w:ascii="Bookman Old Style" w:hAnsi="Bookman Old Style"/>
                <w:b/>
                <w:sz w:val="24"/>
                <w:szCs w:val="24"/>
              </w:rPr>
            </w:pPr>
            <w:r w:rsidRPr="00E140F4">
              <w:rPr>
                <w:rFonts w:ascii="Bookman Old Style" w:eastAsia="Bookman Old Style" w:hAnsi="Bookman Old Style"/>
                <w:b/>
                <w:sz w:val="24"/>
                <w:szCs w:val="24"/>
              </w:rPr>
              <w:t xml:space="preserve">DOLE </w:t>
            </w:r>
            <w:r w:rsidRPr="00E140F4">
              <w:rPr>
                <w:rFonts w:ascii="Bookman Old Style" w:eastAsia="Bookman Old Style" w:hAnsi="Bookman Old Style"/>
                <w:b/>
                <w:w w:val="70"/>
                <w:sz w:val="24"/>
                <w:szCs w:val="24"/>
              </w:rPr>
              <w:t xml:space="preserve">– </w:t>
            </w:r>
            <w:r w:rsidRPr="00E140F4">
              <w:rPr>
                <w:rFonts w:ascii="Bookman Old Style" w:eastAsia="Bookman Old Style" w:hAnsi="Bookman Old Style"/>
                <w:b/>
                <w:sz w:val="24"/>
                <w:szCs w:val="24"/>
              </w:rPr>
              <w:t>Bureau of Working Condition</w:t>
            </w:r>
          </w:p>
        </w:tc>
      </w:tr>
      <w:tr w:rsidR="001470CE" w:rsidRPr="00E140F4" w14:paraId="33BC5328" w14:textId="77777777" w:rsidTr="004725B4">
        <w:trPr>
          <w:jc w:val="center"/>
        </w:trPr>
        <w:tc>
          <w:tcPr>
            <w:tcW w:w="9360" w:type="dxa"/>
          </w:tcPr>
          <w:p w14:paraId="279FACFE" w14:textId="77777777" w:rsidR="001470CE" w:rsidRPr="00E140F4" w:rsidRDefault="001470CE" w:rsidP="001470CE">
            <w:pPr>
              <w:pStyle w:val="ListParagraph"/>
              <w:numPr>
                <w:ilvl w:val="0"/>
                <w:numId w:val="24"/>
              </w:numPr>
              <w:spacing w:after="0" w:line="240" w:lineRule="auto"/>
              <w:ind w:left="405" w:hanging="389"/>
              <w:rPr>
                <w:rFonts w:ascii="Bookman Old Style" w:hAnsi="Bookman Old Style"/>
                <w:sz w:val="24"/>
                <w:szCs w:val="24"/>
              </w:rPr>
            </w:pPr>
            <w:r w:rsidRPr="00E140F4">
              <w:rPr>
                <w:rFonts w:ascii="Bookman Old Style" w:eastAsia="Bookman Old Style" w:hAnsi="Bookman Old Style"/>
                <w:spacing w:val="-2"/>
                <w:sz w:val="24"/>
                <w:szCs w:val="24"/>
              </w:rPr>
              <w:t>The proponent shall comply with the Labor Code of the Philippines</w:t>
            </w:r>
          </w:p>
        </w:tc>
      </w:tr>
      <w:tr w:rsidR="001470CE" w:rsidRPr="00E140F4" w14:paraId="51307C4E" w14:textId="77777777" w:rsidTr="004725B4">
        <w:trPr>
          <w:jc w:val="center"/>
        </w:trPr>
        <w:tc>
          <w:tcPr>
            <w:tcW w:w="9360" w:type="dxa"/>
          </w:tcPr>
          <w:p w14:paraId="5ACEF8ED" w14:textId="77777777" w:rsidR="001470CE" w:rsidRPr="00E140F4" w:rsidRDefault="001470CE" w:rsidP="004725B4">
            <w:pPr>
              <w:contextualSpacing/>
              <w:rPr>
                <w:rFonts w:ascii="Bookman Old Style" w:eastAsia="Bookman Old Style" w:hAnsi="Bookman Old Style"/>
                <w:b/>
                <w:bCs/>
                <w:spacing w:val="-2"/>
                <w:sz w:val="24"/>
                <w:szCs w:val="24"/>
              </w:rPr>
            </w:pPr>
            <w:r w:rsidRPr="00E140F4">
              <w:rPr>
                <w:rFonts w:ascii="Bookman Old Style" w:eastAsia="Bookman Old Style" w:hAnsi="Bookman Old Style"/>
                <w:b/>
                <w:bCs/>
                <w:spacing w:val="-2"/>
                <w:sz w:val="24"/>
                <w:szCs w:val="24"/>
              </w:rPr>
              <w:t>BFP – Bureau of Fire Protection</w:t>
            </w:r>
          </w:p>
        </w:tc>
      </w:tr>
      <w:tr w:rsidR="001470CE" w:rsidRPr="00E140F4" w14:paraId="27647F05" w14:textId="77777777" w:rsidTr="004725B4">
        <w:trPr>
          <w:jc w:val="center"/>
        </w:trPr>
        <w:tc>
          <w:tcPr>
            <w:tcW w:w="9360" w:type="dxa"/>
          </w:tcPr>
          <w:p w14:paraId="4C1D9EDE" w14:textId="77777777" w:rsidR="001470CE" w:rsidRPr="00E140F4" w:rsidRDefault="001470CE" w:rsidP="001470CE">
            <w:pPr>
              <w:pStyle w:val="ListParagraph"/>
              <w:numPr>
                <w:ilvl w:val="0"/>
                <w:numId w:val="24"/>
              </w:numPr>
              <w:spacing w:after="0" w:line="240" w:lineRule="auto"/>
              <w:rPr>
                <w:rFonts w:ascii="Bookman Old Style" w:eastAsia="Bookman Old Style" w:hAnsi="Bookman Old Style"/>
                <w:spacing w:val="-2"/>
                <w:sz w:val="24"/>
                <w:szCs w:val="24"/>
              </w:rPr>
            </w:pPr>
            <w:r w:rsidRPr="00E140F4">
              <w:rPr>
                <w:rFonts w:ascii="Bookman Old Style" w:eastAsia="Bookman Old Style" w:hAnsi="Bookman Old Style"/>
                <w:spacing w:val="-2"/>
                <w:sz w:val="24"/>
                <w:szCs w:val="24"/>
              </w:rPr>
              <w:t>The proponent shall comply with the fire safety protection requirements of the Fire Code of the Philippines</w:t>
            </w:r>
          </w:p>
        </w:tc>
      </w:tr>
    </w:tbl>
    <w:p w14:paraId="5569AA86" w14:textId="77777777" w:rsidR="001470CE" w:rsidRPr="00E140F4" w:rsidRDefault="001470CE" w:rsidP="001470CE">
      <w:pPr>
        <w:tabs>
          <w:tab w:val="left" w:pos="540"/>
        </w:tabs>
        <w:jc w:val="both"/>
        <w:rPr>
          <w:rFonts w:ascii="Bookman Old Style" w:hAnsi="Bookman Old Style"/>
          <w:sz w:val="24"/>
          <w:szCs w:val="24"/>
        </w:rPr>
      </w:pPr>
    </w:p>
    <w:p w14:paraId="51BFAA00" w14:textId="77777777" w:rsidR="001470CE" w:rsidRPr="00D31866" w:rsidRDefault="001470CE" w:rsidP="001470CE">
      <w:pPr>
        <w:jc w:val="both"/>
        <w:rPr>
          <w:rFonts w:ascii="Bookman Old Style" w:hAnsi="Bookman Old Style" w:cs="Arial"/>
          <w:sz w:val="24"/>
          <w:szCs w:val="24"/>
          <w:u w:val="single"/>
          <w:lang w:val="pt-BR"/>
        </w:rPr>
      </w:pPr>
      <w:r w:rsidRPr="00E140F4">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978"/>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0EB49" w14:textId="77777777" w:rsidR="008021EA" w:rsidRDefault="008021EA" w:rsidP="005D0592">
      <w:pPr>
        <w:spacing w:after="0" w:line="240" w:lineRule="auto"/>
      </w:pPr>
      <w:r>
        <w:separator/>
      </w:r>
    </w:p>
  </w:endnote>
  <w:endnote w:type="continuationSeparator" w:id="0">
    <w:p w14:paraId="28A128DE" w14:textId="77777777" w:rsidR="008021EA" w:rsidRDefault="008021EA"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729B" w14:textId="77777777" w:rsidR="008021EA" w:rsidRDefault="008021EA" w:rsidP="005D0592">
      <w:pPr>
        <w:spacing w:after="0" w:line="240" w:lineRule="auto"/>
      </w:pPr>
      <w:r>
        <w:separator/>
      </w:r>
    </w:p>
  </w:footnote>
  <w:footnote w:type="continuationSeparator" w:id="0">
    <w:p w14:paraId="0034D993" w14:textId="77777777" w:rsidR="008021EA" w:rsidRDefault="008021EA"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82AD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C1F3E08"/>
    <w:multiLevelType w:val="hybridMultilevel"/>
    <w:tmpl w:val="4FC0F6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330EFA"/>
    <w:multiLevelType w:val="hybridMultilevel"/>
    <w:tmpl w:val="8FF6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8412BF"/>
    <w:multiLevelType w:val="hybridMultilevel"/>
    <w:tmpl w:val="AAE49C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3403E8"/>
    <w:multiLevelType w:val="hybridMultilevel"/>
    <w:tmpl w:val="81B46572"/>
    <w:lvl w:ilvl="0" w:tplc="3BEE92F6">
      <w:start w:val="1"/>
      <w:numFmt w:val="decimal"/>
      <w:lvlText w:val="%1."/>
      <w:lvlJc w:val="left"/>
      <w:pPr>
        <w:tabs>
          <w:tab w:val="num" w:pos="720"/>
        </w:tabs>
        <w:ind w:left="720" w:hanging="360"/>
      </w:pPr>
      <w:rPr>
        <w:rFonts w:ascii="Bookman Old Style" w:hAnsi="Bookman Old Style"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9"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2"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5"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9" w15:restartNumberingAfterBreak="0">
    <w:nsid w:val="539A0602"/>
    <w:multiLevelType w:val="hybridMultilevel"/>
    <w:tmpl w:val="6496344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1"/>
  </w:num>
  <w:num w:numId="2" w16cid:durableId="2131430342">
    <w:abstractNumId w:val="16"/>
  </w:num>
  <w:num w:numId="3" w16cid:durableId="1722705199">
    <w:abstractNumId w:val="13"/>
  </w:num>
  <w:num w:numId="4" w16cid:durableId="1460611334">
    <w:abstractNumId w:val="9"/>
  </w:num>
  <w:num w:numId="5" w16cid:durableId="444037000">
    <w:abstractNumId w:val="15"/>
  </w:num>
  <w:num w:numId="6" w16cid:durableId="1637754919">
    <w:abstractNumId w:val="1"/>
  </w:num>
  <w:num w:numId="7" w16cid:durableId="1927110182">
    <w:abstractNumId w:val="11"/>
  </w:num>
  <w:num w:numId="8" w16cid:durableId="761100237">
    <w:abstractNumId w:val="14"/>
  </w:num>
  <w:num w:numId="9" w16cid:durableId="1374184714">
    <w:abstractNumId w:val="20"/>
  </w:num>
  <w:num w:numId="10" w16cid:durableId="1805348386">
    <w:abstractNumId w:val="10"/>
  </w:num>
  <w:num w:numId="11" w16cid:durableId="1373385392">
    <w:abstractNumId w:val="22"/>
  </w:num>
  <w:num w:numId="12" w16cid:durableId="1069690789">
    <w:abstractNumId w:val="8"/>
  </w:num>
  <w:num w:numId="13" w16cid:durableId="2125608570">
    <w:abstractNumId w:val="17"/>
  </w:num>
  <w:num w:numId="14" w16cid:durableId="1568568297">
    <w:abstractNumId w:val="24"/>
  </w:num>
  <w:num w:numId="15" w16cid:durableId="427505767">
    <w:abstractNumId w:val="18"/>
  </w:num>
  <w:num w:numId="16" w16cid:durableId="197132542">
    <w:abstractNumId w:val="23"/>
  </w:num>
  <w:num w:numId="17" w16cid:durableId="1081414576">
    <w:abstractNumId w:val="3"/>
  </w:num>
  <w:num w:numId="18" w16cid:durableId="1845126532">
    <w:abstractNumId w:val="0"/>
  </w:num>
  <w:num w:numId="19" w16cid:durableId="991831339">
    <w:abstractNumId w:val="12"/>
  </w:num>
  <w:num w:numId="20" w16cid:durableId="412750973">
    <w:abstractNumId w:val="4"/>
  </w:num>
  <w:num w:numId="21" w16cid:durableId="1122457712">
    <w:abstractNumId w:val="5"/>
  </w:num>
  <w:num w:numId="22" w16cid:durableId="1469206">
    <w:abstractNumId w:val="19"/>
  </w:num>
  <w:num w:numId="23" w16cid:durableId="1847280736">
    <w:abstractNumId w:val="7"/>
  </w:num>
  <w:num w:numId="24" w16cid:durableId="1372076717">
    <w:abstractNumId w:val="6"/>
  </w:num>
  <w:num w:numId="25" w16cid:durableId="764613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84A"/>
    <w:rsid w:val="00033491"/>
    <w:rsid w:val="00040E60"/>
    <w:rsid w:val="00053183"/>
    <w:rsid w:val="00055B84"/>
    <w:rsid w:val="00077AC4"/>
    <w:rsid w:val="00086D2D"/>
    <w:rsid w:val="000A07BF"/>
    <w:rsid w:val="000C0D70"/>
    <w:rsid w:val="000C334C"/>
    <w:rsid w:val="000F0735"/>
    <w:rsid w:val="000F0C98"/>
    <w:rsid w:val="00120313"/>
    <w:rsid w:val="00120E16"/>
    <w:rsid w:val="00134A83"/>
    <w:rsid w:val="001432A5"/>
    <w:rsid w:val="001470CE"/>
    <w:rsid w:val="0016118A"/>
    <w:rsid w:val="001638CC"/>
    <w:rsid w:val="00172134"/>
    <w:rsid w:val="0018336C"/>
    <w:rsid w:val="001906CC"/>
    <w:rsid w:val="00195D3B"/>
    <w:rsid w:val="001C3C61"/>
    <w:rsid w:val="001C586E"/>
    <w:rsid w:val="001F3800"/>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102B4"/>
    <w:rsid w:val="00731F72"/>
    <w:rsid w:val="007339B1"/>
    <w:rsid w:val="00737CFE"/>
    <w:rsid w:val="007505CB"/>
    <w:rsid w:val="00775486"/>
    <w:rsid w:val="0078684F"/>
    <w:rsid w:val="007B53DF"/>
    <w:rsid w:val="007C3C3D"/>
    <w:rsid w:val="007C6A92"/>
    <w:rsid w:val="007F0F6A"/>
    <w:rsid w:val="007F6B2E"/>
    <w:rsid w:val="008021EA"/>
    <w:rsid w:val="008059CC"/>
    <w:rsid w:val="00811258"/>
    <w:rsid w:val="00834DA4"/>
    <w:rsid w:val="008430A6"/>
    <w:rsid w:val="008904FC"/>
    <w:rsid w:val="008B70FE"/>
    <w:rsid w:val="008C5780"/>
    <w:rsid w:val="008D2163"/>
    <w:rsid w:val="008E1A78"/>
    <w:rsid w:val="008F564E"/>
    <w:rsid w:val="008F5FEF"/>
    <w:rsid w:val="0091522F"/>
    <w:rsid w:val="009169DC"/>
    <w:rsid w:val="009315C9"/>
    <w:rsid w:val="00935760"/>
    <w:rsid w:val="009509D7"/>
    <w:rsid w:val="0097286E"/>
    <w:rsid w:val="00985984"/>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1470CE"/>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Lexter Maymay</cp:lastModifiedBy>
  <cp:revision>4</cp:revision>
  <dcterms:created xsi:type="dcterms:W3CDTF">2022-06-02T04:18:00Z</dcterms:created>
  <dcterms:modified xsi:type="dcterms:W3CDTF">2022-06-02T04:20:00Z</dcterms:modified>
</cp:coreProperties>
</file>