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4E28A2D4" w14:textId="77777777" w:rsidR="008C212A" w:rsidRDefault="008C212A" w:rsidP="008C212A">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07FB7244" w14:textId="77777777" w:rsidR="008C212A" w:rsidRPr="0085474B" w:rsidRDefault="008C212A" w:rsidP="008C212A">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5043A6D7"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009D6356">
              <w:rPr>
                <w:rFonts w:ascii="Bookman Old Style" w:hAnsi="Bookman Old Style"/>
                <w:iCs/>
                <w:sz w:val="24"/>
                <w:szCs w:val="24"/>
              </w:rPr>
              <w:t xml:space="preserve">to be located at </w:t>
            </w:r>
            <w:r w:rsidR="00F76F70">
              <w:rPr>
                <w:rFonts w:ascii="Bookman Old Style" w:hAnsi="Bookman Old Style"/>
                <w:iCs/>
                <w:sz w:val="24"/>
                <w:szCs w:val="24"/>
              </w:rPr>
              <w:t>%</w:t>
            </w:r>
            <w:proofErr w:type="spellStart"/>
            <w:r w:rsidR="00F76F70">
              <w:rPr>
                <w:rFonts w:ascii="Bookman Old Style" w:hAnsi="Bookman Old Style"/>
                <w:iCs/>
                <w:sz w:val="24"/>
                <w:szCs w:val="24"/>
              </w:rPr>
              <w:t>projectaddress</w:t>
            </w:r>
            <w:proofErr w:type="spellEnd"/>
            <w:r w:rsidR="00F76F70">
              <w:rPr>
                <w:rFonts w:ascii="Bookman Old Style" w:hAnsi="Bookman Old Style"/>
                <w:iCs/>
                <w:sz w:val="24"/>
                <w:szCs w:val="24"/>
              </w:rPr>
              <w:t xml:space="preserve">% </w:t>
            </w:r>
            <w:r w:rsidR="002B7DFC">
              <w:rPr>
                <w:rFonts w:ascii="Bookman Old Style" w:hAnsi="Bookman Old Style"/>
                <w:iCs/>
                <w:sz w:val="24"/>
                <w:szCs w:val="24"/>
              </w:rPr>
              <w:t xml:space="preserve">having </w:t>
            </w:r>
            <w:r w:rsidR="00A9205F">
              <w:rPr>
                <w:rFonts w:ascii="Bookman Old Style" w:hAnsi="Bookman Old Style"/>
                <w:iCs/>
                <w:sz w:val="24"/>
                <w:szCs w:val="24"/>
              </w:rPr>
              <w:t xml:space="preserve">an aggregate </w:t>
            </w:r>
            <w:r w:rsidR="00AE63C9">
              <w:rPr>
                <w:rFonts w:ascii="Bookman Old Style" w:hAnsi="Bookman Old Style"/>
                <w:iCs/>
                <w:sz w:val="24"/>
                <w:szCs w:val="24"/>
              </w:rPr>
              <w:t xml:space="preserve">area </w:t>
            </w:r>
            <w:r w:rsidR="0070031A">
              <w:rPr>
                <w:rFonts w:ascii="Bookman Old Style" w:hAnsi="Bookman Old Style"/>
                <w:iCs/>
                <w:sz w:val="24"/>
                <w:szCs w:val="24"/>
              </w:rPr>
              <w:t xml:space="preserve">of </w:t>
            </w:r>
            <w:r w:rsidR="0070031A" w:rsidRPr="000414DF">
              <w:rPr>
                <w:rFonts w:ascii="Bookman Old Style" w:hAnsi="Bookman Old Style"/>
                <w:i/>
                <w:sz w:val="24"/>
                <w:szCs w:val="24"/>
              </w:rPr>
              <w:t>%</w:t>
            </w:r>
            <w:proofErr w:type="spellStart"/>
            <w:r w:rsidR="0070031A" w:rsidRPr="000414DF">
              <w:rPr>
                <w:rFonts w:ascii="Bookman Old Style" w:hAnsi="Bookman Old Style"/>
                <w:i/>
                <w:sz w:val="24"/>
                <w:szCs w:val="24"/>
              </w:rPr>
              <w:t>projectarea</w:t>
            </w:r>
            <w:proofErr w:type="spellEnd"/>
            <w:r w:rsidR="0070031A" w:rsidRPr="000414DF">
              <w:rPr>
                <w:rFonts w:ascii="Bookman Old Style" w:hAnsi="Bookman Old Style"/>
                <w:i/>
                <w:sz w:val="24"/>
                <w:szCs w:val="24"/>
              </w:rPr>
              <w:t>%</w:t>
            </w:r>
            <w:r w:rsidR="0070031A">
              <w:rPr>
                <w:rFonts w:ascii="Bookman Old Style" w:hAnsi="Bookman Old Style"/>
                <w:i/>
                <w:sz w:val="24"/>
                <w:szCs w:val="24"/>
              </w:rPr>
              <w:t xml:space="preserve"> hectares </w:t>
            </w:r>
            <w:r w:rsidR="00DD626E">
              <w:rPr>
                <w:rFonts w:ascii="Bookman Old Style" w:hAnsi="Bookman Old Style"/>
                <w:iCs/>
                <w:sz w:val="24"/>
                <w:szCs w:val="24"/>
              </w:rPr>
              <w:t xml:space="preserve">with </w:t>
            </w:r>
            <w:r w:rsidR="00047DF8">
              <w:rPr>
                <w:rFonts w:ascii="Bookman Old Style" w:hAnsi="Bookman Old Style"/>
                <w:sz w:val="24"/>
                <w:szCs w:val="24"/>
              </w:rPr>
              <w:t xml:space="preserve">an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proofErr w:type="spellStart"/>
            <w:r w:rsidR="000047DD">
              <w:rPr>
                <w:rFonts w:ascii="Bookman Old Style" w:hAnsi="Bookman Old Style"/>
                <w:i/>
                <w:sz w:val="24"/>
                <w:szCs w:val="24"/>
              </w:rPr>
              <w:t>unitofmeasure</w:t>
            </w:r>
            <w:proofErr w:type="spellEnd"/>
            <w:r w:rsidR="000047DD" w:rsidRPr="000414DF">
              <w:rPr>
                <w:rFonts w:ascii="Bookman Old Style" w:hAnsi="Bookman Old Style"/>
                <w:i/>
                <w:sz w:val="24"/>
                <w:szCs w:val="24"/>
              </w:rPr>
              <w:t>%</w:t>
            </w:r>
            <w:r w:rsidR="00D95E9D">
              <w:rPr>
                <w:rFonts w:ascii="Bookman Old Style" w:hAnsi="Bookman Old Style"/>
                <w:i/>
                <w:sz w:val="24"/>
                <w:szCs w:val="24"/>
              </w:rPr>
              <w:t xml:space="preserve"> </w:t>
            </w:r>
            <w:r w:rsidR="00D95E9D" w:rsidRPr="003A6E88">
              <w:rPr>
                <w:rFonts w:ascii="Bookman Old Style" w:hAnsi="Bookman Old Style"/>
                <w:iCs/>
                <w:sz w:val="24"/>
                <w:szCs w:val="24"/>
              </w:rPr>
              <w:t xml:space="preserve">based on the approved </w:t>
            </w:r>
            <w:r w:rsidR="003A6E88" w:rsidRPr="003A6E88">
              <w:rPr>
                <w:rFonts w:ascii="Bookman Old Style" w:hAnsi="Bookman Old Style"/>
                <w:iCs/>
                <w:sz w:val="24"/>
                <w:szCs w:val="24"/>
              </w:rPr>
              <w:t>Ge</w:t>
            </w:r>
            <w:r w:rsidR="003A6E88">
              <w:rPr>
                <w:rFonts w:ascii="Bookman Old Style" w:hAnsi="Bookman Old Style"/>
                <w:sz w:val="24"/>
                <w:szCs w:val="24"/>
              </w:rPr>
              <w:t>o</w:t>
            </w:r>
            <w:r w:rsidR="00C25757">
              <w:rPr>
                <w:rFonts w:ascii="Bookman Old Style" w:hAnsi="Bookman Old Style"/>
                <w:sz w:val="24"/>
                <w:szCs w:val="24"/>
              </w:rPr>
              <w:t xml:space="preserve">logical </w:t>
            </w:r>
            <w:r w:rsidR="00F65691">
              <w:rPr>
                <w:rFonts w:ascii="Bookman Old Style" w:hAnsi="Bookman Old Style"/>
                <w:sz w:val="24"/>
                <w:szCs w:val="24"/>
              </w:rPr>
              <w:t xml:space="preserve">Assessment </w:t>
            </w:r>
            <w:r w:rsidR="00EA647A">
              <w:rPr>
                <w:rFonts w:ascii="Bookman Old Style" w:hAnsi="Bookman Old Style"/>
                <w:sz w:val="24"/>
                <w:szCs w:val="24"/>
              </w:rPr>
              <w:t xml:space="preserve">Report </w:t>
            </w:r>
            <w:r w:rsidR="00490E30">
              <w:rPr>
                <w:rFonts w:ascii="Bookman Old Style" w:hAnsi="Bookman Old Style"/>
                <w:sz w:val="24"/>
                <w:szCs w:val="24"/>
              </w:rPr>
              <w:t xml:space="preserve">(GAR) </w:t>
            </w:r>
            <w:r w:rsidR="00D57F67">
              <w:rPr>
                <w:rFonts w:ascii="Bookman Old Style" w:hAnsi="Bookman Old Style"/>
                <w:sz w:val="24"/>
                <w:szCs w:val="24"/>
              </w:rPr>
              <w:t xml:space="preserve">bounded with </w:t>
            </w:r>
            <w:r w:rsidR="004A42D1">
              <w:rPr>
                <w:rFonts w:ascii="Bookman Old Style" w:hAnsi="Bookman Old Style"/>
                <w:sz w:val="24"/>
                <w:szCs w:val="24"/>
              </w:rPr>
              <w:t xml:space="preserve">the following </w:t>
            </w:r>
            <w:r w:rsidR="006E48C7">
              <w:rPr>
                <w:rFonts w:ascii="Bookman Old Style" w:hAnsi="Bookman Old Style"/>
                <w:sz w:val="24"/>
                <w:szCs w:val="24"/>
              </w:rPr>
              <w:t xml:space="preserve">geographical coordinates </w:t>
            </w:r>
            <w:r w:rsidR="00C739CA">
              <w:rPr>
                <w:rFonts w:ascii="Bookman Old Style" w:hAnsi="Bookman Old Style"/>
                <w:sz w:val="24"/>
                <w:szCs w:val="24"/>
              </w:rPr>
              <w:t xml:space="preserve">per Area Status </w:t>
            </w:r>
            <w:r w:rsidR="00B44A37">
              <w:rPr>
                <w:rFonts w:ascii="Bookman Old Style" w:hAnsi="Bookman Old Style"/>
                <w:sz w:val="24"/>
                <w:szCs w:val="24"/>
              </w:rPr>
              <w:t xml:space="preserve">Clearance </w:t>
            </w:r>
            <w:r w:rsidR="006B01BF">
              <w:rPr>
                <w:rFonts w:ascii="Bookman Old Style" w:hAnsi="Bookman Old Style"/>
                <w:sz w:val="24"/>
                <w:szCs w:val="24"/>
              </w:rPr>
              <w:t xml:space="preserve">issued by </w:t>
            </w:r>
            <w:r w:rsidR="000219D7">
              <w:rPr>
                <w:rFonts w:ascii="Bookman Old Style" w:hAnsi="Bookman Old Style"/>
                <w:sz w:val="24"/>
                <w:szCs w:val="24"/>
              </w:rPr>
              <w:t>MGB R</w:t>
            </w:r>
            <w:r w:rsidR="00B53EC3">
              <w:rPr>
                <w:rFonts w:ascii="Bookman Old Style" w:hAnsi="Bookman Old Style"/>
                <w:sz w:val="24"/>
                <w:szCs w:val="24"/>
              </w:rPr>
              <w:t>egion %</w:t>
            </w:r>
            <w:proofErr w:type="spellStart"/>
            <w:r w:rsidR="0023688C">
              <w:rPr>
                <w:rFonts w:ascii="Bookman Old Style" w:hAnsi="Bookman Old Style"/>
                <w:sz w:val="24"/>
                <w:szCs w:val="24"/>
              </w:rPr>
              <w:t>garregion</w:t>
            </w:r>
            <w:proofErr w:type="spellEnd"/>
            <w:r w:rsidR="00B53EC3">
              <w:rPr>
                <w:rFonts w:ascii="Bookman Old Style" w:hAnsi="Bookman Old Style"/>
                <w:sz w:val="24"/>
                <w:szCs w:val="24"/>
              </w:rPr>
              <w:t xml:space="preserve">% </w:t>
            </w:r>
            <w:r w:rsidR="00A3021D">
              <w:rPr>
                <w:rFonts w:ascii="Bookman Old Style" w:hAnsi="Bookman Old Style"/>
                <w:sz w:val="24"/>
                <w:szCs w:val="24"/>
              </w:rPr>
              <w:t>on %</w:t>
            </w:r>
            <w:proofErr w:type="spellStart"/>
            <w:r w:rsidR="00A3021D">
              <w:rPr>
                <w:rFonts w:ascii="Bookman Old Style" w:hAnsi="Bookman Old Style"/>
                <w:sz w:val="24"/>
                <w:szCs w:val="24"/>
              </w:rPr>
              <w:t>gardate</w:t>
            </w:r>
            <w:proofErr w:type="spellEnd"/>
            <w:r w:rsidR="00A3021D">
              <w:rPr>
                <w:rFonts w:ascii="Bookman Old Style" w:hAnsi="Bookman Old Style"/>
                <w:sz w:val="24"/>
                <w:szCs w:val="24"/>
              </w:rPr>
              <w:t>%</w:t>
            </w:r>
            <w:r w:rsidR="000F572F">
              <w:rPr>
                <w:rFonts w:ascii="Bookman Old Style" w:hAnsi="Bookman Old Style"/>
                <w:sz w:val="24"/>
                <w:szCs w:val="24"/>
              </w:rPr>
              <w:t>, to wit</w:t>
            </w:r>
            <w:r w:rsidRPr="000414DF">
              <w:rPr>
                <w:rFonts w:ascii="Bookman Old Style" w:hAnsi="Bookman Old Style"/>
                <w:sz w:val="24"/>
                <w:szCs w:val="24"/>
              </w:rPr>
              <w:t xml:space="preserve">:    </w:t>
            </w:r>
          </w:p>
          <w:p w14:paraId="44C7F47A" w14:textId="5385D6B7" w:rsidR="006F5FF8" w:rsidRPr="00FA1C70" w:rsidRDefault="008F5FEF" w:rsidP="00FA1C70">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Vehicles transporting aggregates/ construction materials should be adequately covered with tarpaulin canvass or jute sacks at all times</w:t>
            </w:r>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oil, fuel</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leaks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spill boom;</w:t>
            </w:r>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Use of sound absorbing liners (e.g.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w:t>
            </w:r>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River Bank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comply with all the provisions of RA 9275, the Philippine Clean Water Act of 2004 and its Implementing Rules and Regulations;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any other pollution at all times;</w:t>
      </w:r>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Stockpiling of aggregates shall not be allowed on the riverbed and shall be done only on the designated areas, stockpiled in low mounds and away from the riverbanks;</w:t>
      </w:r>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No diversion of the flow of the river shall be undertaken or any construction that would reduce the width of the river channel, constrict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Submit certification from DPWH/NIA that the project area is outside the 1-kilometer radius from the boundaries of reservoirs and of any public/private structures prior to project implementation;</w:t>
      </w:r>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concerns of the project</w:t>
      </w:r>
      <w:r w:rsidRPr="005136C8">
        <w:rPr>
          <w:sz w:val="24"/>
          <w:szCs w:val="24"/>
        </w:rPr>
        <w:t>;</w:t>
      </w:r>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the proponent shall conduct continuously an Information Education Communication (IEC) Campaign to the surrounding community to inform them of the environmental impacts and corresponding mitigating / enhancing measures prior and during the implementation of the proposed project;</w:t>
      </w:r>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That there shall be no screening and/or washing of quarry materials within the streambed to avoid siltation and turbidity of water. Likewise, no stockpile shall be left at the streambed during extraction to avoid obstruction of water flow;</w:t>
      </w:r>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The proponent shall provide “one entry” and “one exit” for its operation and shall install a Closed-Circuit Television (CCTV) connected to the server of EMB Regional Office concerned;</w:t>
      </w:r>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and </w:t>
      </w:r>
      <w:r w:rsidRPr="00DD6A43">
        <w:rPr>
          <w:rFonts w:ascii="Bookman Old Style" w:hAnsi="Bookman Old Style"/>
          <w:sz w:val="24"/>
          <w:szCs w:val="24"/>
        </w:rPr>
        <w:t xml:space="preserve"> shall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coordinate with the concerned LGU for the  implementation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(with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8336C"/>
    <w:rsid w:val="001906CC"/>
    <w:rsid w:val="00195D3B"/>
    <w:rsid w:val="001B1203"/>
    <w:rsid w:val="001C0C32"/>
    <w:rsid w:val="001C3C61"/>
    <w:rsid w:val="001C586E"/>
    <w:rsid w:val="001F045E"/>
    <w:rsid w:val="00201779"/>
    <w:rsid w:val="0020253C"/>
    <w:rsid w:val="002046B7"/>
    <w:rsid w:val="00210D4F"/>
    <w:rsid w:val="002245E8"/>
    <w:rsid w:val="002337F5"/>
    <w:rsid w:val="0023688C"/>
    <w:rsid w:val="0023793B"/>
    <w:rsid w:val="00254C26"/>
    <w:rsid w:val="00261CC2"/>
    <w:rsid w:val="00264AB5"/>
    <w:rsid w:val="00272D41"/>
    <w:rsid w:val="002771AA"/>
    <w:rsid w:val="00294249"/>
    <w:rsid w:val="002A0037"/>
    <w:rsid w:val="002B305F"/>
    <w:rsid w:val="002B4531"/>
    <w:rsid w:val="002B77F5"/>
    <w:rsid w:val="002B7DFC"/>
    <w:rsid w:val="002C7D1B"/>
    <w:rsid w:val="002D561F"/>
    <w:rsid w:val="002D6318"/>
    <w:rsid w:val="002E2540"/>
    <w:rsid w:val="002F110D"/>
    <w:rsid w:val="002F4C63"/>
    <w:rsid w:val="00352AE1"/>
    <w:rsid w:val="00375216"/>
    <w:rsid w:val="003861E9"/>
    <w:rsid w:val="00395BE8"/>
    <w:rsid w:val="003A6E88"/>
    <w:rsid w:val="003B4D2F"/>
    <w:rsid w:val="003C5DEB"/>
    <w:rsid w:val="003D3EB7"/>
    <w:rsid w:val="003E3F6F"/>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B01BF"/>
    <w:rsid w:val="006C0C21"/>
    <w:rsid w:val="006D2084"/>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12A"/>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9205F"/>
    <w:rsid w:val="00A96193"/>
    <w:rsid w:val="00AA121F"/>
    <w:rsid w:val="00AA1CD5"/>
    <w:rsid w:val="00AB284A"/>
    <w:rsid w:val="00AB3A8A"/>
    <w:rsid w:val="00AB3D64"/>
    <w:rsid w:val="00AD5B5B"/>
    <w:rsid w:val="00AE2A5F"/>
    <w:rsid w:val="00AE63C9"/>
    <w:rsid w:val="00AF790A"/>
    <w:rsid w:val="00B17E4A"/>
    <w:rsid w:val="00B252FC"/>
    <w:rsid w:val="00B44A37"/>
    <w:rsid w:val="00B53EC3"/>
    <w:rsid w:val="00B646C9"/>
    <w:rsid w:val="00B64EF4"/>
    <w:rsid w:val="00B70B13"/>
    <w:rsid w:val="00B828AC"/>
    <w:rsid w:val="00BA6FB0"/>
    <w:rsid w:val="00BC0292"/>
    <w:rsid w:val="00BC6E18"/>
    <w:rsid w:val="00BD3C22"/>
    <w:rsid w:val="00BF3C70"/>
    <w:rsid w:val="00BF7F25"/>
    <w:rsid w:val="00C04DA7"/>
    <w:rsid w:val="00C15433"/>
    <w:rsid w:val="00C21AE8"/>
    <w:rsid w:val="00C25757"/>
    <w:rsid w:val="00C468AB"/>
    <w:rsid w:val="00C62B8A"/>
    <w:rsid w:val="00C64F46"/>
    <w:rsid w:val="00C65B55"/>
    <w:rsid w:val="00C70FC8"/>
    <w:rsid w:val="00C72AF1"/>
    <w:rsid w:val="00C739CA"/>
    <w:rsid w:val="00C74331"/>
    <w:rsid w:val="00C84816"/>
    <w:rsid w:val="00C85CF8"/>
    <w:rsid w:val="00C90C8B"/>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32</cp:revision>
  <dcterms:created xsi:type="dcterms:W3CDTF">2022-05-11T04:52:00Z</dcterms:created>
  <dcterms:modified xsi:type="dcterms:W3CDTF">2022-05-25T09:51:00Z</dcterms:modified>
</cp:coreProperties>
</file>