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Acute Decompensated Heart Failure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Profile the patient</w:t>
      </w:r>
    </w:p>
    <w:p>
      <w:r>
        <w:rPr>
          <w:i/>
          <w:color w:val="5A6877"/>
          <w:sz w:val="20"/>
        </w:rPr>
        <w:t>The EF does not tell you the profile — the bedside exam does.</w:t>
      </w:r>
    </w:p>
    <w:p>
      <w:pPr>
        <w:pStyle w:val="ListNumber"/>
      </w:pPr>
      <w:r>
        <w:t>Draw and label the congestion × perfusion 2×2. Place 'warm-wet' and 'cold-wet' and state the first-line treatment for each.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three signs of congestion and three signs of hypoperfusion.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Decongestion</w:t>
      </w:r>
    </w:p>
    <w:p>
      <w:pPr>
        <w:pStyle w:val="ListNumber"/>
      </w:pPr>
      <w:r>
        <w:t>A patient takes torsemide 40 mg PO daily at home and is admitted wet. Write your starting IV furosemide order and justify the dose using the DOSE trial.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How and when do you confirm the diuretic dose was adequate? What do you do if it wasn't?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The creatinine rises 0.4 mg/dL on day 2 while the patient is still congested and making good urine. What do you do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GDMT</w:t>
      </w:r>
    </w:p>
    <w:p>
      <w:pPr>
        <w:pStyle w:val="ListNumber"/>
      </w:pPr>
      <w:r>
        <w:t>Name the four pillars of HFrEF guideline-directed medical therapy.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Which pillar should NOT be started while the patient is wet or cold,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Give one hold parameter for the MRA and one for the ARNI.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Precipitant &amp; discharge</w:t>
      </w:r>
    </w:p>
    <w:p>
      <w:pPr>
        <w:pStyle w:val="ListNumber"/>
      </w:pPr>
      <w:r>
        <w:t>Use the FAILURE mnemonic to list at least five precipitants of decompensation.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four elements of a discharge bundle that reduce 30-day readmission.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Profiles:  </w:t>
      </w:r>
      <w:r>
        <w:t>Warm-wet = IV loop diuretic (most ward admits). Cold-wet = diuresis + inotrope/vasodilator, higher acuity. Congestion: JVD, orthopnea, edema, weight gain, B-lines. Hypoperfusion: narrow pulse pressure, cool extremities, ↑lactate/Cr, somnolence.</w:t>
      </w:r>
    </w:p>
    <w:p>
      <w:r>
        <w:rPr>
          <w:b/>
        </w:rPr>
        <w:t xml:space="preserve">Starting diuretic:  </w:t>
      </w:r>
      <w:r>
        <w:t>≥ home daily dose given IV; DOSE high-intensity ≈ 2.5× home oral dose. Torsemide 40 PO ≈ furosemide 80 PO → ~80 mg IV BID. Reassess at 2 h (spot urine Na &gt;50–70 or UOP &gt;100–150 mL/h); double if inadequate.</w:t>
      </w:r>
    </w:p>
    <w:p>
      <w:r>
        <w:rPr>
          <w:b/>
        </w:rPr>
        <w:t xml:space="preserve">Creatinine bump:  </w:t>
      </w:r>
      <w:r>
        <w:t>Continue diuresis toward euvolemia while monitoring electrolytes — a modest Cr rise during effective decongestion (hemoconcentration/WRF) is expected; residual congestion is the worse outcome.</w:t>
      </w:r>
    </w:p>
    <w:p>
      <w:r>
        <w:rPr>
          <w:b/>
        </w:rPr>
        <w:t xml:space="preserve">Four pillars:  </w:t>
      </w:r>
      <w:r>
        <w:t>ARNI (or ACEi/ARB), evidence-based beta-blocker, MRA, SGLT2 inhibitor.</w:t>
      </w:r>
    </w:p>
    <w:p>
      <w:r>
        <w:rPr>
          <w:b/>
        </w:rPr>
        <w:t xml:space="preserve">Pillar to hold:  </w:t>
      </w:r>
      <w:r>
        <w:t>Beta-blocker — negatively inotropic; start only when euvolemic and off inotropes (continue a chronic BB if the patient is warm).</w:t>
      </w:r>
    </w:p>
    <w:p>
      <w:r>
        <w:rPr>
          <w:b/>
        </w:rPr>
        <w:t xml:space="preserve">Hold parameters:  </w:t>
      </w:r>
      <w:r>
        <w:t>MRA: K &lt;5.0, eGFR &gt;30. ARNI: SBP ≥90, K ≤5.5, no AKI, 36-h washout from an ACEi.</w:t>
      </w:r>
    </w:p>
    <w:p>
      <w:r>
        <w:rPr>
          <w:b/>
        </w:rPr>
        <w:t xml:space="preserve">FAILURE:  </w:t>
      </w:r>
      <w:r>
        <w:t>Forgot meds/Fluid, Arrhythmia, Ischemia/Infection, Lifestyle, Upregulation (thyroid/anemia/pregnancy), Renal/Rx (NSAIDs), Embolus (PE).</w:t>
      </w:r>
    </w:p>
    <w:p>
      <w:r>
        <w:rPr>
          <w:b/>
        </w:rPr>
        <w:t xml:space="preserve">Discharge bundle:  </w:t>
      </w:r>
      <w:r>
        <w:t>Euvolemic 24 h on PO diuretic; documented EF/dry weight/diuretic dose/GDMT; daily-weight and diet teaching; 7-day follow-up.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