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E6E8C"/>
          <w:sz w:val="36"/>
        </w:rPr>
        <w:t>Alcohol Withdrawal — Learner Worksheet</w:t>
      </w:r>
    </w:p>
    <w:p>
      <w:r>
        <w:rPr>
          <w:i/>
          <w:color w:val="5A6877"/>
          <w:sz w:val="21"/>
        </w:rPr>
        <w:t>Complete before/during the session. Answer key on the last page.</w:t>
      </w:r>
    </w:p>
    <w:p>
      <w:r>
        <w:rPr>
          <w:b/>
        </w:rPr>
        <w:t xml:space="preserve">Name: </w:t>
      </w:r>
      <w:r>
        <w:t xml:space="preserve">______________________________     </w:t>
      </w:r>
      <w:r>
        <w:rPr>
          <w:b/>
        </w:rPr>
        <w:t xml:space="preserve">Date: </w:t>
      </w:r>
      <w:r>
        <w:t>____________________</w:t>
      </w:r>
    </w:p>
    <w:p/>
    <w:p>
      <w:r>
        <w:rPr>
          <w:b/>
          <w:color w:val="B4530A"/>
          <w:sz w:val="26"/>
        </w:rPr>
        <w:t>1. Predict &amp; recognize</w:t>
      </w:r>
    </w:p>
    <w:p>
      <w:pPr>
        <w:pStyle w:val="ListNumber"/>
      </w:pPr>
      <w:r>
        <w:t>State the onset window for minor symptoms, withdrawal seizures, and delirium tremens.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ListNumber"/>
      </w:pPr>
      <w:r>
        <w:t>Distinguish alcoholic hallucinosis from delirium tremens.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rPr>
          <w:b/>
          <w:color w:val="B4530A"/>
          <w:sz w:val="26"/>
        </w:rPr>
        <w:t>2. Treatment</w:t>
      </w:r>
    </w:p>
    <w:p>
      <w:pPr>
        <w:pStyle w:val="ListNumber"/>
      </w:pPr>
      <w:r>
        <w:t>What is first-line pharmacotherapy, and what advantage does symptom-triggered CIWA-Ar dosing offer?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ListNumber"/>
      </w:pPr>
      <w:r>
        <w:t>Name one situation in which a CIWA-Ar score is invalid and what you should do instead.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ListNumber"/>
      </w:pPr>
      <w:r>
        <w:t>Which benzodiazepine is preferred in significant liver disease, and why?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rPr>
          <w:b/>
          <w:color w:val="B4530A"/>
          <w:sz w:val="26"/>
        </w:rPr>
        <w:t>3. Escalation</w:t>
      </w:r>
    </w:p>
    <w:p>
      <w:pPr>
        <w:pStyle w:val="ListNumber"/>
      </w:pPr>
      <w:r>
        <w:t>What agent do you escalate to for severe or benzodiazepine-resistant withdrawal, and why is it effective?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ListNumber"/>
      </w:pPr>
      <w:r>
        <w:t>Do clonidine, dexmedetomidine, and antipsychotics prevent withdrawal seizures? Explain.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rPr>
          <w:b/>
          <w:color w:val="B4530A"/>
          <w:sz w:val="26"/>
        </w:rPr>
        <w:t>4. Support</w:t>
      </w:r>
    </w:p>
    <w:p>
      <w:pPr>
        <w:pStyle w:val="ListNumber"/>
      </w:pPr>
      <w:r>
        <w:t>Why must thiamine be given before glucose, and which electrolytes do you replete?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ListNumber"/>
      </w:pPr>
      <w:r>
        <w:t>Name one discharge intervention that treats the underlying alcohol use disorder.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br w:type="page"/>
      </w:r>
    </w:p>
    <w:p>
      <w:r>
        <w:rPr>
          <w:b/>
          <w:color w:val="0E6E8C"/>
          <w:sz w:val="26"/>
        </w:rPr>
        <w:t>Answer Key</w:t>
      </w:r>
    </w:p>
    <w:p>
      <w:r>
        <w:rPr>
          <w:b/>
        </w:rPr>
        <w:t xml:space="preserve">Timeline:  </w:t>
      </w:r>
      <w:r>
        <w:t>Minor symptoms 6&amp;ndash;24 h; withdrawal seizures 12&amp;ndash;48 h; delirium tremens 48&amp;ndash;96 h (alcoholic hallucinosis 12&amp;ndash;48 h).</w:t>
      </w:r>
    </w:p>
    <w:p>
      <w:r>
        <w:rPr>
          <w:b/>
        </w:rPr>
        <w:t xml:space="preserve">Hallucinosis vs DTs:  </w:t>
      </w:r>
      <w:r>
        <w:t>Hallucinosis = hallucinations with a clear sensorium and near-normal vitals; DTs = altered sensorium plus autonomic instability (tachycardia, hypertension, fever, diaphoresis).</w:t>
      </w:r>
    </w:p>
    <w:p>
      <w:r>
        <w:rPr>
          <w:b/>
        </w:rPr>
        <w:t xml:space="preserve">First-line + CIWA benefit:  </w:t>
      </w:r>
      <w:r>
        <w:t>Benzodiazepines; symptom-triggered CIWA-Ar dosing uses less total drug and shortens treatment versus fixed schedules in patients who can be validly assessed.</w:t>
      </w:r>
    </w:p>
    <w:p>
      <w:r>
        <w:rPr>
          <w:b/>
        </w:rPr>
        <w:t xml:space="preserve">CIWA invalid:  </w:t>
      </w:r>
      <w:r>
        <w:t>In a patient who cannot communicate or whose confusion has another cause — use a fixed-dose/front-loaded or phenobarbital strategy and investigate the altered mentation.</w:t>
      </w:r>
    </w:p>
    <w:p>
      <w:r>
        <w:rPr>
          <w:b/>
        </w:rPr>
        <w:t xml:space="preserve">Liver-disease benzo:  </w:t>
      </w:r>
      <w:r>
        <w:t>Lorazepam — it lacks active metabolites and is less affected by hepatic dysfunction.</w:t>
      </w:r>
    </w:p>
    <w:p>
      <w:r>
        <w:rPr>
          <w:b/>
        </w:rPr>
        <w:t xml:space="preserve">Escalation:  </w:t>
      </w:r>
      <w:r>
        <w:t>Phenobarbital (alone or adjunctive) for severe/benzodiazepine-resistant withdrawal — long half-life, self-tapering, acts on GABA and glutamate.</w:t>
      </w:r>
    </w:p>
    <w:p>
      <w:r>
        <w:rPr>
          <w:b/>
        </w:rPr>
        <w:t xml:space="preserve">Adjuncts:  </w:t>
      </w:r>
      <w:r>
        <w:t>No — clonidine, dexmedetomidine, and antipsychotics treat autonomic and agitation symptoms but do not prevent seizures or DTs; a GABAergic agent must remain on board.</w:t>
      </w:r>
    </w:p>
    <w:p>
      <w:r>
        <w:rPr>
          <w:b/>
        </w:rPr>
        <w:t xml:space="preserve">Thiamine + electrolytes:  </w:t>
      </w:r>
      <w:r>
        <w:t>Glucose consumes thiamine and can precipitate Wernicke encephalopathy in a deficient patient, so give thiamine first/with glucose; replete magnesium, potassium, and phosphate.</w:t>
      </w:r>
    </w:p>
    <w:p>
      <w:r>
        <w:rPr>
          <w:b/>
        </w:rPr>
        <w:t xml:space="preserve">AUD discharge:  </w:t>
      </w:r>
      <w:r>
        <w:t>Offer pharmacotherapy (naltrexone or acamprosate) and link the patient to addiction treatment/counseling.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