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COPD Exacerbation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Oxygen &amp; triage</w:t>
      </w:r>
    </w:p>
    <w:p>
      <w:pPr>
        <w:pStyle w:val="ListNumber"/>
      </w:pPr>
      <w:r>
        <w:t>State the SpO2 target for a COPD exacerbation and explain the three mechanisms by which hyperoxia worsens hypercapnia.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four criteria that would prompt you to admit a COPD exacerbation.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The core bundle</w:t>
      </w:r>
    </w:p>
    <w:p>
      <w:pPr>
        <w:pStyle w:val="ListNumber"/>
      </w:pPr>
      <w:r>
        <w:t>Write the evidence-based systemic steroid regimen and cite the trial. Is IV better than oral?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the three Anthonisen cardinal symptoms and state the threshold for antibiotics.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Respiratory support</w:t>
      </w:r>
    </w:p>
    <w:p>
      <w:pPr>
        <w:pStyle w:val="ListNumber"/>
      </w:pPr>
      <w:r>
        <w:t>Give two indications to START NIV and two indications to INTUBATE instead.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Why is NIV described as the single biggest mortality lever in a severe exacerbation?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Mimics &amp; discharge</w:t>
      </w:r>
    </w:p>
    <w:p>
      <w:pPr>
        <w:pStyle w:val="ListNumber"/>
      </w:pPr>
      <w:r>
        <w:t>Name three mimics of a COPD exacerbation you must exclude, and the test for each.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List four discharge interventions that reduce recurrence or mortality.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Oxygen:  </w:t>
      </w:r>
      <w:r>
        <w:t>Target SpO2 88&amp;ndash;92%. Hyperoxia worsens hypercapnia via V/Q mismatch (release of hypoxic vasoconstriction), the Haldane effect (oxygenated Hb releases CO2), and reduced hypoxic respiratory drive.</w:t>
      </w:r>
    </w:p>
    <w:p>
      <w:r>
        <w:rPr>
          <w:b/>
        </w:rPr>
        <w:t xml:space="preserve">Admission criteria:  </w:t>
      </w:r>
      <w:r>
        <w:t>Rest dyspnea / marked symptom increase, severe underlying COPD, failed outpatient therapy, new hypoxemia or hypercapnia, altered mentation, or inadequate home support.</w:t>
      </w:r>
    </w:p>
    <w:p>
      <w:r>
        <w:rPr>
          <w:b/>
        </w:rPr>
        <w:t xml:space="preserve">Steroids:  </w:t>
      </w:r>
      <w:r>
        <w:t>Prednisone 40 mg PO daily &amp;times; 5 days, no taper (REDUCE trial); oral is equivalent to IV for patients who can take PO.</w:t>
      </w:r>
    </w:p>
    <w:p>
      <w:r>
        <w:rPr>
          <w:b/>
        </w:rPr>
        <w:t xml:space="preserve">Anthonisen:  </w:t>
      </w:r>
      <w:r>
        <w:t>Increased dyspnea, increased sputum volume, increased sputum purulence; antibiotics if &amp;ge;2 (or if mechanically ventilated); purulence is the strongest single indicator.</w:t>
      </w:r>
    </w:p>
    <w:p>
      <w:r>
        <w:rPr>
          <w:b/>
        </w:rPr>
        <w:t xml:space="preserve">NIV vs intubate:  </w:t>
      </w:r>
      <w:r>
        <w:t>Start NIV for pH &amp;le;7.35 with hypercapnia, severe dyspnea/accessory muscle use, or persistent hypoxemia. Intubate for NIV failure/falling pH, inability to protect airway, decreased consciousness, or hemodynamic instability.</w:t>
      </w:r>
    </w:p>
    <w:p>
      <w:r>
        <w:rPr>
          <w:b/>
        </w:rPr>
        <w:t xml:space="preserve">NIV benefit:  </w:t>
      </w:r>
      <w:r>
        <w:t>It directly reduces intubation rate and mortality in acute hypercapnic respiratory failure — the strongest evidence base of any intervention in a severe exacerbation.</w:t>
      </w:r>
    </w:p>
    <w:p>
      <w:r>
        <w:rPr>
          <w:b/>
        </w:rPr>
        <w:t xml:space="preserve">Mimics:  </w:t>
      </w:r>
      <w:r>
        <w:t>Pneumonia (CXR), heart failure (exam/BNP), pulmonary embolism (Wells/D-dimer/CTPA); also pneumothorax and arrhythmia (CXR/ECG).</w:t>
      </w:r>
    </w:p>
    <w:p>
      <w:r>
        <w:rPr>
          <w:b/>
        </w:rPr>
        <w:t xml:space="preserve">Discharge:  </w:t>
      </w:r>
      <w:r>
        <w:t>Inhaler technique optimization, maintenance step-up (LAMA+LABA ±ICS by eosinophils), smoking cessation, vaccinations, and pulmonary rehab referral within 4 weeks.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