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6E8C"/>
          <w:sz w:val="36"/>
        </w:rPr>
        <w:t>S. aureus Bacteremia — Learner Worksheet</w:t>
      </w:r>
    </w:p>
    <w:p>
      <w:r>
        <w:rPr>
          <w:i/>
          <w:color w:val="5A6877"/>
          <w:sz w:val="21"/>
        </w:rPr>
        <w:t>Complete before/during the session. Answer key on the last page.</w:t>
      </w:r>
    </w:p>
    <w:p>
      <w:r>
        <w:rPr>
          <w:b/>
        </w:rPr>
        <w:t xml:space="preserve">Name: </w:t>
      </w:r>
      <w:r>
        <w:t xml:space="preserve">______________________________     </w:t>
      </w:r>
      <w:r>
        <w:rPr>
          <w:b/>
        </w:rPr>
        <w:t xml:space="preserve">Date: </w:t>
      </w:r>
      <w:r>
        <w:t>____________________</w:t>
      </w:r>
    </w:p>
    <w:p/>
    <w:p>
      <w:r>
        <w:rPr>
          <w:b/>
          <w:color w:val="B4530A"/>
          <w:sz w:val="26"/>
        </w:rPr>
        <w:t>1. Take it seriously</w:t>
      </w:r>
    </w:p>
    <w:p>
      <w:pPr>
        <w:pStyle w:val="ListNumber"/>
      </w:pPr>
      <w:r>
        <w:t>Is S. aureus in a blood culture ever a contaminant? List the five core interventions.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Why is ID consultation recommended for every case?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2. Antibiotic choice</w:t>
      </w:r>
    </w:p>
    <w:p>
      <w:pPr>
        <w:pStyle w:val="ListNumber"/>
      </w:pPr>
      <w:r>
        <w:t>What empiric therapy do you start, and what do you switch to once MSSA is confirmed? Why not stay on vancomycin?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What is the preferred therapy for MRSA bacteremia?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3. Duration</w:t>
      </w:r>
    </w:p>
    <w:p>
      <w:pPr>
        <w:pStyle w:val="ListNumber"/>
      </w:pPr>
      <w:r>
        <w:t>List the four criteria that ALL must be met to call SAB uncomplicated.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State the duration for uncomplicated vs complicated SAB and the point from which you start counting.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4. Metastatic foci</w:t>
      </w:r>
    </w:p>
    <w:p>
      <w:pPr>
        <w:pStyle w:val="ListNumber"/>
      </w:pPr>
      <w:r>
        <w:t>Name four common metastatic foci of S. aureus and how you would evaluate for each.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When do you pursue TEE rather than TTE?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E6E8C"/>
          <w:sz w:val="26"/>
        </w:rPr>
        <w:t>Answer Key</w:t>
      </w:r>
    </w:p>
    <w:p>
      <w:r>
        <w:rPr>
          <w:b/>
        </w:rPr>
        <w:t xml:space="preserve">Contaminant + core:  </w:t>
      </w:r>
      <w:r>
        <w:t>Never a contaminant. Five core interventions: ID consultation, echocardiography, repeat blood cultures to document clearance, source control, and appropriate antibiotic choice and duration.</w:t>
      </w:r>
    </w:p>
    <w:p>
      <w:r>
        <w:rPr>
          <w:b/>
        </w:rPr>
        <w:t xml:space="preserve">ID consult:  </w:t>
      </w:r>
      <w:r>
        <w:t>It independently improves survival and adherence to the evidence-based core interventions.</w:t>
      </w:r>
    </w:p>
    <w:p>
      <w:r>
        <w:rPr>
          <w:b/>
        </w:rPr>
        <w:t xml:space="preserve">Antibiotics:  </w:t>
      </w:r>
      <w:r>
        <w:t>Start empiric vancomycin (covers MRSA); once MSSA is confirmed, switch to cefazolin or an antistaphylococcal penicillin (nafcillin/oxacillin). Vancomycin is inferior for MSSA, with higher failure and mortality.</w:t>
      </w:r>
    </w:p>
    <w:p>
      <w:r>
        <w:rPr>
          <w:b/>
        </w:rPr>
        <w:t xml:space="preserve">MRSA therapy:  </w:t>
      </w:r>
      <w:r>
        <w:t>Vancomycin (AUC-guided dosing) or daptomycin.</w:t>
      </w:r>
    </w:p>
    <w:p>
      <w:r>
        <w:rPr>
          <w:b/>
        </w:rPr>
        <w:t xml:space="preserve">Uncomplicated criteria:  </w:t>
      </w:r>
      <w:r>
        <w:t>Negative follow-up cultures (clearance), defervescence within 72 hours, no endocarditis and no prosthetic material/hardware, and no metastatic foci — all four required.</w:t>
      </w:r>
    </w:p>
    <w:p>
      <w:r>
        <w:rPr>
          <w:b/>
        </w:rPr>
        <w:t xml:space="preserve">Duration:  </w:t>
      </w:r>
      <w:r>
        <w:t>Uncomplicated = at least 14 days IV; complicated = 4&amp;ndash;6 weeks or longer. Count from the first negative blood culture documenting clearance.</w:t>
      </w:r>
    </w:p>
    <w:p>
      <w:r>
        <w:rPr>
          <w:b/>
        </w:rPr>
        <w:t xml:space="preserve">Metastatic foci:  </w:t>
      </w:r>
      <w:r>
        <w:t>Endocarditis (echo/new murmur), vertebral osteomyelitis/discitis (MRI for back pain), epidural abscess (MRI), septic arthritis (joint exam/aspiration), psoas/splenic abscess (cross-sectional imaging), septic emboli.</w:t>
      </w:r>
    </w:p>
    <w:p>
      <w:r>
        <w:rPr>
          <w:b/>
        </w:rPr>
        <w:t xml:space="preserve">TEE vs TTE:  </w:t>
      </w:r>
      <w:r>
        <w:t>Pursue TEE (more sensitive) with a prosthetic valve/device, persistent bacteremia, community-onset infection, or when no source is identified.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