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Sepsis &amp; Septic Shock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Definitions &amp; recognition</w:t>
      </w:r>
    </w:p>
    <w:p>
      <w:pPr>
        <w:pStyle w:val="ListNumber"/>
      </w:pPr>
      <w:r>
        <w:t>Define sepsis and septic shock using the Sepsis-3 framework.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five signs of organ dysfunction that turn an infection into sepsis.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Why should you not use qSOFA to rule out sepsis?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The first hour</w:t>
      </w:r>
    </w:p>
    <w:p>
      <w:pPr>
        <w:pStyle w:val="ListNumber"/>
      </w:pPr>
      <w:r>
        <w:t>List the first-hour priorities and state the one thing that must NOT delay antibiotics.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Which crystalloid is preferred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Hemodynamics</w:t>
      </w:r>
    </w:p>
    <w:p>
      <w:pPr>
        <w:pStyle w:val="ListNumber"/>
      </w:pPr>
      <w:r>
        <w:t>After weight-based fluids the patient is still hypotensive and not fluid-responsive. What do you start, and how do you assess fluid responsiveness?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the add-on agents for refractory septic shock in order.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Source &amp; stewardship</w:t>
      </w:r>
    </w:p>
    <w:p>
      <w:pPr>
        <w:pStyle w:val="ListNumber"/>
      </w:pPr>
      <w:r>
        <w:t>A patient stays in shock despite appropriate antibiotics. What is the most likely problem and the fix?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Name three therapies the 2026 SSC recommends against using routinely for sepsis.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Definitions:  </w:t>
      </w:r>
      <w:r>
        <w:t>Sepsis = life-threatening organ dysfunction from a dysregulated host response to infection. Septic shock = sepsis requiring vasopressors to keep MAP &amp;ge;65 AND lactate &gt;2 despite adequate fluids.</w:t>
      </w:r>
    </w:p>
    <w:p>
      <w:r>
        <w:rPr>
          <w:b/>
        </w:rPr>
        <w:t xml:space="preserve">Dysfunction signs:  </w:t>
      </w:r>
      <w:r>
        <w:t>Hypotension, elevated lactate, AKI/oliguria, altered mentation, hyperbilirubinemia, thrombocytopenia, new oxygen requirement.</w:t>
      </w:r>
    </w:p>
    <w:p>
      <w:r>
        <w:rPr>
          <w:b/>
        </w:rPr>
        <w:t xml:space="preserve">qSOFA:  </w:t>
      </w:r>
      <w:r>
        <w:t>Its sensitivity is too low — a normal score misses many septic patients, so it cannot rule sepsis out; use broader early-warning screening.</w:t>
      </w:r>
    </w:p>
    <w:p>
      <w:r>
        <w:rPr>
          <w:b/>
        </w:rPr>
        <w:t xml:space="preserve">First hour:  </w:t>
      </w:r>
      <w:r>
        <w:t>Blood cultures &amp;times;2, early broad-spectrum antibiotics, balanced-crystalloid resuscitation, and lactate — with reassessment. Obtaining cultures must never delay antibiotics in shock.</w:t>
      </w:r>
    </w:p>
    <w:p>
      <w:r>
        <w:rPr>
          <w:b/>
        </w:rPr>
        <w:t xml:space="preserve">Fluid choice:  </w:t>
      </w:r>
      <w:r>
        <w:t>Balanced crystalloid (LR/Plasma-Lyte) over normal saline — less hyperchloremic metabolic acidosis, faster recovery, possible mortality benefit.</w:t>
      </w:r>
    </w:p>
    <w:p>
      <w:r>
        <w:rPr>
          <w:b/>
        </w:rPr>
        <w:t xml:space="preserve">Pressor:  </w:t>
      </w:r>
      <w:r>
        <w:t>Start norepinephrine first-line to MAP &amp;ge;65; assess fluid responsiveness dynamically (passive leg raise, pulse-pressure/stroke-volume variation), not by CVP.</w:t>
      </w:r>
    </w:p>
    <w:p>
      <w:r>
        <w:rPr>
          <w:b/>
        </w:rPr>
        <w:t xml:space="preserve">Refractory shock add-ons:  </w:t>
      </w:r>
      <w:r>
        <w:t>Add vasopressin (catecholamine-sparing), then epinephrine, then hydrocortisone for persistent shock on escalating pressors.</w:t>
      </w:r>
    </w:p>
    <w:p>
      <w:r>
        <w:rPr>
          <w:b/>
        </w:rPr>
        <w:t xml:space="preserve">Persistent shock:  </w:t>
      </w:r>
      <w:r>
        <w:t>Uncontrolled source (abscess, infected line, obstruction) — obtain/repeat imaging and achieve source control; antibiotics alone cannot fix an undrained focus.</w:t>
      </w:r>
    </w:p>
    <w:p>
      <w:r>
        <w:rPr>
          <w:b/>
        </w:rPr>
        <w:t xml:space="preserve">Avoid routinely:  </w:t>
      </w:r>
      <w:r>
        <w:t>Antipyretics for outcomes, beta-blockers, and probiotics as sepsis therapy (2026 SSC).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