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E67FB" w14:textId="77777777" w:rsidR="00B705E6" w:rsidRDefault="00B705E6">
      <w:bookmarkStart w:id="0" w:name="_Hlk99533600"/>
      <w:bookmarkEnd w:id="0"/>
      <w:r>
        <w:rPr>
          <w:noProof/>
        </w:rPr>
        <w:drawing>
          <wp:inline distT="0" distB="0" distL="0" distR="0" wp14:anchorId="50791226" wp14:editId="01084496">
            <wp:extent cx="6943725" cy="3937003"/>
            <wp:effectExtent l="0" t="0" r="0" b="635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2330" cy="394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1E94" w14:textId="77777777" w:rsidR="00B705E6" w:rsidRDefault="00B705E6"/>
    <w:p w14:paraId="4D78E3E0" w14:textId="77777777" w:rsidR="00B705E6" w:rsidRDefault="00B705E6"/>
    <w:p w14:paraId="2511FB3B" w14:textId="574EBB9C" w:rsidR="00B705E6" w:rsidRDefault="00B705E6">
      <w:r>
        <w:rPr>
          <w:noProof/>
        </w:rPr>
        <w:drawing>
          <wp:inline distT="0" distB="0" distL="0" distR="0" wp14:anchorId="574650C5" wp14:editId="7D0581BA">
            <wp:extent cx="6676400" cy="4229100"/>
            <wp:effectExtent l="0" t="0" r="0" b="0"/>
            <wp:docPr id="4" name="Picture 4" descr="Graphical user interfac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dia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280" cy="423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519"/>
        <w:gridCol w:w="3804"/>
        <w:gridCol w:w="1592"/>
      </w:tblGrid>
      <w:tr w:rsidR="00B705E6" w:rsidRPr="00874CDC" w14:paraId="55C7BD22" w14:textId="77777777" w:rsidTr="00492A12">
        <w:tc>
          <w:tcPr>
            <w:tcW w:w="2875" w:type="dxa"/>
            <w:shd w:val="clear" w:color="auto" w:fill="E7E6E6" w:themeFill="background2"/>
            <w:vAlign w:val="center"/>
          </w:tcPr>
          <w:p w14:paraId="31CAE357" w14:textId="77777777" w:rsidR="00B705E6" w:rsidRPr="00874CDC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874CDC">
              <w:rPr>
                <w:rFonts w:eastAsia="Times New Roman" w:cstheme="minorHAnsi"/>
                <w:b/>
                <w:bCs/>
              </w:rPr>
              <w:lastRenderedPageBreak/>
              <w:t>Class</w:t>
            </w:r>
          </w:p>
        </w:tc>
        <w:tc>
          <w:tcPr>
            <w:tcW w:w="2519" w:type="dxa"/>
            <w:shd w:val="clear" w:color="auto" w:fill="E7E6E6" w:themeFill="background2"/>
            <w:vAlign w:val="center"/>
          </w:tcPr>
          <w:p w14:paraId="4F8047B6" w14:textId="77777777" w:rsidR="00B705E6" w:rsidRPr="00874CDC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874CDC">
              <w:rPr>
                <w:rFonts w:eastAsia="Times New Roman" w:cstheme="minorHAnsi"/>
                <w:b/>
                <w:bCs/>
              </w:rPr>
              <w:t>Benefits</w:t>
            </w:r>
          </w:p>
        </w:tc>
        <w:tc>
          <w:tcPr>
            <w:tcW w:w="3804" w:type="dxa"/>
            <w:shd w:val="clear" w:color="auto" w:fill="E7E6E6" w:themeFill="background2"/>
            <w:vAlign w:val="center"/>
          </w:tcPr>
          <w:p w14:paraId="074BF96C" w14:textId="77777777" w:rsidR="00B705E6" w:rsidRPr="00874CDC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874CDC">
              <w:rPr>
                <w:rFonts w:eastAsia="Times New Roman" w:cstheme="minorHAnsi"/>
                <w:b/>
                <w:bCs/>
              </w:rPr>
              <w:t>Side Effects/ Contraindications</w:t>
            </w:r>
          </w:p>
        </w:tc>
        <w:tc>
          <w:tcPr>
            <w:tcW w:w="1592" w:type="dxa"/>
            <w:shd w:val="clear" w:color="auto" w:fill="E7E6E6" w:themeFill="background2"/>
            <w:vAlign w:val="center"/>
          </w:tcPr>
          <w:p w14:paraId="08AC51B8" w14:textId="77777777" w:rsidR="00B705E6" w:rsidRPr="00874CDC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A1c effect</w:t>
            </w:r>
          </w:p>
        </w:tc>
      </w:tr>
      <w:tr w:rsidR="00B705E6" w14:paraId="38FF78E7" w14:textId="77777777" w:rsidTr="00492A12">
        <w:tc>
          <w:tcPr>
            <w:tcW w:w="2875" w:type="dxa"/>
            <w:vAlign w:val="center"/>
          </w:tcPr>
          <w:p w14:paraId="713A11EE" w14:textId="25D19813" w:rsidR="00B705E6" w:rsidRPr="00874CDC" w:rsidRDefault="00B705E6" w:rsidP="00B705E6">
            <w:pPr>
              <w:rPr>
                <w:rFonts w:eastAsia="Times New Roman" w:cstheme="minorHAnsi"/>
              </w:rPr>
            </w:pPr>
          </w:p>
        </w:tc>
        <w:tc>
          <w:tcPr>
            <w:tcW w:w="2519" w:type="dxa"/>
            <w:vAlign w:val="center"/>
          </w:tcPr>
          <w:p w14:paraId="2911E80F" w14:textId="195F403A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3804" w:type="dxa"/>
            <w:vAlign w:val="center"/>
          </w:tcPr>
          <w:p w14:paraId="53E0C723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6855A8A0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72ED7934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5E2A2339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478EB150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3AF9FE43" w14:textId="48353728" w:rsidR="00B705E6" w:rsidRDefault="00B705E6" w:rsidP="00B705E6">
            <w:pPr>
              <w:rPr>
                <w:rFonts w:eastAsia="Times New Roman" w:cstheme="minorHAnsi"/>
              </w:rPr>
            </w:pPr>
          </w:p>
        </w:tc>
        <w:tc>
          <w:tcPr>
            <w:tcW w:w="1592" w:type="dxa"/>
            <w:vAlign w:val="center"/>
          </w:tcPr>
          <w:p w14:paraId="239C29E2" w14:textId="7E44EB38" w:rsidR="00B705E6" w:rsidRDefault="00B705E6" w:rsidP="00B705E6">
            <w:pPr>
              <w:rPr>
                <w:rFonts w:eastAsia="Times New Roman" w:cstheme="minorHAnsi"/>
              </w:rPr>
            </w:pPr>
          </w:p>
        </w:tc>
      </w:tr>
      <w:tr w:rsidR="00B705E6" w14:paraId="2E16F08C" w14:textId="77777777" w:rsidTr="00492A12">
        <w:tc>
          <w:tcPr>
            <w:tcW w:w="2875" w:type="dxa"/>
            <w:shd w:val="clear" w:color="auto" w:fill="E7E6E6" w:themeFill="background2"/>
            <w:vAlign w:val="center"/>
          </w:tcPr>
          <w:p w14:paraId="31072180" w14:textId="77777777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1758B27D" w14:textId="300D13B6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00BA03D0" w14:textId="7B30FC1B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214484D5" w14:textId="5CA8A97B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4D7AC62C" w14:textId="77777777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1A07E2C7" w14:textId="799D01BD" w:rsidR="00B705E6" w:rsidRPr="00874CDC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2519" w:type="dxa"/>
            <w:shd w:val="clear" w:color="auto" w:fill="E7E6E6" w:themeFill="background2"/>
            <w:vAlign w:val="center"/>
          </w:tcPr>
          <w:p w14:paraId="2DEB861F" w14:textId="40C41E95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3804" w:type="dxa"/>
            <w:shd w:val="clear" w:color="auto" w:fill="E7E6E6" w:themeFill="background2"/>
            <w:vAlign w:val="center"/>
          </w:tcPr>
          <w:p w14:paraId="6F33DF71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60D3901F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31220513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2F87CF04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6B750B3C" w14:textId="01297C0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1592" w:type="dxa"/>
            <w:shd w:val="clear" w:color="auto" w:fill="E7E6E6" w:themeFill="background2"/>
            <w:vAlign w:val="center"/>
          </w:tcPr>
          <w:p w14:paraId="44FCE3F5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043CDDD5" w14:textId="74CF04ED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</w:tr>
      <w:tr w:rsidR="00B705E6" w14:paraId="08FEEF6F" w14:textId="77777777" w:rsidTr="00492A12">
        <w:tc>
          <w:tcPr>
            <w:tcW w:w="2875" w:type="dxa"/>
            <w:vAlign w:val="center"/>
          </w:tcPr>
          <w:p w14:paraId="0C456300" w14:textId="77777777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7DD83265" w14:textId="128B7CF4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2519" w:type="dxa"/>
            <w:vAlign w:val="center"/>
          </w:tcPr>
          <w:p w14:paraId="69F82F48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253E8C58" w14:textId="0E18D6E1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3804" w:type="dxa"/>
            <w:vAlign w:val="center"/>
          </w:tcPr>
          <w:p w14:paraId="5FB3623F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75AB5FFE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5B0CFD72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3E5A9C8D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40643DB3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017A40E1" w14:textId="3534A9D6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1592" w:type="dxa"/>
            <w:vAlign w:val="center"/>
          </w:tcPr>
          <w:p w14:paraId="4A17AAC4" w14:textId="6EF0966A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</w:tr>
      <w:tr w:rsidR="00B705E6" w14:paraId="441D6451" w14:textId="77777777" w:rsidTr="00492A12">
        <w:tc>
          <w:tcPr>
            <w:tcW w:w="2875" w:type="dxa"/>
            <w:shd w:val="clear" w:color="auto" w:fill="E7E6E6" w:themeFill="background2"/>
            <w:vAlign w:val="center"/>
          </w:tcPr>
          <w:p w14:paraId="7B041E85" w14:textId="77777777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5B1A8C14" w14:textId="668515BF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1AA03F8B" w14:textId="10B27457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2925F3F7" w14:textId="77777777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64024784" w14:textId="77777777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0E3A74A9" w14:textId="247CD4F4" w:rsidR="00B705E6" w:rsidRPr="00874CDC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2519" w:type="dxa"/>
            <w:shd w:val="clear" w:color="auto" w:fill="E7E6E6" w:themeFill="background2"/>
            <w:vAlign w:val="center"/>
          </w:tcPr>
          <w:p w14:paraId="50E79290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739A3881" w14:textId="7D0C034D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3804" w:type="dxa"/>
            <w:shd w:val="clear" w:color="auto" w:fill="E7E6E6" w:themeFill="background2"/>
            <w:vAlign w:val="center"/>
          </w:tcPr>
          <w:p w14:paraId="519471F0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2BBC4EF0" w14:textId="7FA0A986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1592" w:type="dxa"/>
            <w:shd w:val="clear" w:color="auto" w:fill="E7E6E6" w:themeFill="background2"/>
            <w:vAlign w:val="center"/>
          </w:tcPr>
          <w:p w14:paraId="0B3F616A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722D04C8" w14:textId="31DD20C8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</w:tr>
      <w:tr w:rsidR="00B705E6" w14:paraId="0D340A21" w14:textId="77777777" w:rsidTr="00492A12">
        <w:tc>
          <w:tcPr>
            <w:tcW w:w="2875" w:type="dxa"/>
            <w:vAlign w:val="center"/>
          </w:tcPr>
          <w:p w14:paraId="638C5A6F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446840D3" w14:textId="17341C00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4522E3AC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00E6CED0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492420CA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276AEEAD" w14:textId="3198ACA6" w:rsidR="00B705E6" w:rsidRPr="00874CDC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2519" w:type="dxa"/>
            <w:vAlign w:val="center"/>
          </w:tcPr>
          <w:p w14:paraId="4C531A85" w14:textId="029341DB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3804" w:type="dxa"/>
            <w:vAlign w:val="center"/>
          </w:tcPr>
          <w:p w14:paraId="00E084EC" w14:textId="3337E685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1592" w:type="dxa"/>
            <w:vAlign w:val="center"/>
          </w:tcPr>
          <w:p w14:paraId="40580E94" w14:textId="1988E14C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</w:tr>
      <w:tr w:rsidR="00B705E6" w14:paraId="2CA5A951" w14:textId="77777777" w:rsidTr="00492A12">
        <w:tc>
          <w:tcPr>
            <w:tcW w:w="2875" w:type="dxa"/>
            <w:shd w:val="clear" w:color="auto" w:fill="E7E6E6" w:themeFill="background2"/>
            <w:vAlign w:val="center"/>
          </w:tcPr>
          <w:p w14:paraId="401AFFA9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2961C517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7D2A1622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62041D8A" w14:textId="7A1174CD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0ABACF1E" w14:textId="77777777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  <w:p w14:paraId="08A7BC2F" w14:textId="52A012F5" w:rsidR="00B705E6" w:rsidRPr="001542C7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2519" w:type="dxa"/>
            <w:shd w:val="clear" w:color="auto" w:fill="E7E6E6" w:themeFill="background2"/>
            <w:vAlign w:val="center"/>
          </w:tcPr>
          <w:p w14:paraId="7789B0E8" w14:textId="5DF2D6AF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3804" w:type="dxa"/>
            <w:shd w:val="clear" w:color="auto" w:fill="E7E6E6" w:themeFill="background2"/>
            <w:vAlign w:val="center"/>
          </w:tcPr>
          <w:p w14:paraId="7854A7BE" w14:textId="5B2CBA45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1592" w:type="dxa"/>
            <w:shd w:val="clear" w:color="auto" w:fill="E7E6E6" w:themeFill="background2"/>
            <w:vAlign w:val="center"/>
          </w:tcPr>
          <w:p w14:paraId="335A5CC4" w14:textId="0A0ACB7A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</w:tr>
      <w:tr w:rsidR="00B705E6" w14:paraId="04CCDF1C" w14:textId="77777777" w:rsidTr="00492A12">
        <w:tc>
          <w:tcPr>
            <w:tcW w:w="2875" w:type="dxa"/>
            <w:vAlign w:val="center"/>
          </w:tcPr>
          <w:p w14:paraId="6410D79A" w14:textId="77777777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3AC35A5B" w14:textId="77777777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66407142" w14:textId="77777777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7FC16BBB" w14:textId="77777777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7CDF224F" w14:textId="77777777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  <w:p w14:paraId="61A76DB6" w14:textId="3A4ED21B" w:rsidR="00B705E6" w:rsidRDefault="00B705E6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2519" w:type="dxa"/>
            <w:vAlign w:val="center"/>
          </w:tcPr>
          <w:p w14:paraId="086EDF21" w14:textId="2BFDC91F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3804" w:type="dxa"/>
            <w:vAlign w:val="center"/>
          </w:tcPr>
          <w:p w14:paraId="6800C28F" w14:textId="13EDFC89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1592" w:type="dxa"/>
            <w:vAlign w:val="center"/>
          </w:tcPr>
          <w:p w14:paraId="0034CDEE" w14:textId="52EE1D7C" w:rsidR="00B705E6" w:rsidRDefault="00B705E6" w:rsidP="00492A12">
            <w:pPr>
              <w:jc w:val="center"/>
              <w:rPr>
                <w:rFonts w:eastAsia="Times New Roman" w:cstheme="minorHAnsi"/>
              </w:rPr>
            </w:pPr>
          </w:p>
        </w:tc>
      </w:tr>
    </w:tbl>
    <w:p w14:paraId="622E3093" w14:textId="3680A3C0" w:rsidR="00306884" w:rsidRDefault="00306884"/>
    <w:p w14:paraId="0016C8CE" w14:textId="77777777" w:rsidR="00306884" w:rsidRDefault="00306884">
      <w:r>
        <w:br w:type="page"/>
      </w:r>
    </w:p>
    <w:p w14:paraId="4AAD8B3C" w14:textId="4BBC82B2" w:rsidR="003E11C8" w:rsidRDefault="003E11C8" w:rsidP="00306884">
      <w:pPr>
        <w:jc w:val="center"/>
      </w:pPr>
      <w:r>
        <w:lastRenderedPageBreak/>
        <w:t>(Answer Key)</w:t>
      </w:r>
    </w:p>
    <w:p w14:paraId="711BFACD" w14:textId="5D7ACA3E" w:rsidR="00306884" w:rsidRDefault="00306884" w:rsidP="00306884">
      <w:pPr>
        <w:jc w:val="center"/>
      </w:pPr>
      <w:r>
        <w:rPr>
          <w:noProof/>
        </w:rPr>
        <w:drawing>
          <wp:inline distT="0" distB="0" distL="0" distR="0" wp14:anchorId="4BB3CF78" wp14:editId="1CE21E1B">
            <wp:extent cx="6591300" cy="3661833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4056" cy="366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F389" w14:textId="653294BF" w:rsidR="00306884" w:rsidRDefault="00306884" w:rsidP="00306884">
      <w:pPr>
        <w:jc w:val="center"/>
      </w:pPr>
    </w:p>
    <w:p w14:paraId="74C21681" w14:textId="77777777" w:rsidR="00306884" w:rsidRDefault="00306884" w:rsidP="003E11C8"/>
    <w:p w14:paraId="6E9DCAF9" w14:textId="02803BA6" w:rsidR="00321F8D" w:rsidRDefault="00306884" w:rsidP="00306884">
      <w:pPr>
        <w:jc w:val="center"/>
      </w:pPr>
      <w:r>
        <w:rPr>
          <w:noProof/>
        </w:rPr>
        <w:drawing>
          <wp:inline distT="0" distB="0" distL="0" distR="0" wp14:anchorId="2CFAEB02" wp14:editId="0B65615E">
            <wp:extent cx="6723283" cy="4314825"/>
            <wp:effectExtent l="0" t="0" r="1905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95" cy="431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F8F8" w14:textId="6071FB93" w:rsidR="00306884" w:rsidRDefault="00213629" w:rsidP="00306884">
      <w:pPr>
        <w:jc w:val="center"/>
      </w:pPr>
      <w:r>
        <w:lastRenderedPageBreak/>
        <w:t>(Answer Key)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519"/>
        <w:gridCol w:w="3804"/>
        <w:gridCol w:w="1592"/>
      </w:tblGrid>
      <w:tr w:rsidR="00306884" w:rsidRPr="00874CDC" w14:paraId="6CE9A32B" w14:textId="77777777" w:rsidTr="00492A12">
        <w:tc>
          <w:tcPr>
            <w:tcW w:w="2875" w:type="dxa"/>
            <w:shd w:val="clear" w:color="auto" w:fill="E7E6E6" w:themeFill="background2"/>
            <w:vAlign w:val="center"/>
          </w:tcPr>
          <w:p w14:paraId="4C572F14" w14:textId="77777777" w:rsidR="00306884" w:rsidRPr="00874CDC" w:rsidRDefault="00306884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874CDC">
              <w:rPr>
                <w:rFonts w:eastAsia="Times New Roman" w:cstheme="minorHAnsi"/>
                <w:b/>
                <w:bCs/>
              </w:rPr>
              <w:t>Class</w:t>
            </w:r>
          </w:p>
        </w:tc>
        <w:tc>
          <w:tcPr>
            <w:tcW w:w="2519" w:type="dxa"/>
            <w:shd w:val="clear" w:color="auto" w:fill="E7E6E6" w:themeFill="background2"/>
            <w:vAlign w:val="center"/>
          </w:tcPr>
          <w:p w14:paraId="47B5ED3A" w14:textId="77777777" w:rsidR="00306884" w:rsidRPr="00874CDC" w:rsidRDefault="00306884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874CDC">
              <w:rPr>
                <w:rFonts w:eastAsia="Times New Roman" w:cstheme="minorHAnsi"/>
                <w:b/>
                <w:bCs/>
              </w:rPr>
              <w:t>Benefits</w:t>
            </w:r>
          </w:p>
        </w:tc>
        <w:tc>
          <w:tcPr>
            <w:tcW w:w="3804" w:type="dxa"/>
            <w:shd w:val="clear" w:color="auto" w:fill="E7E6E6" w:themeFill="background2"/>
            <w:vAlign w:val="center"/>
          </w:tcPr>
          <w:p w14:paraId="295AB78B" w14:textId="77777777" w:rsidR="00306884" w:rsidRPr="00874CDC" w:rsidRDefault="00306884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874CDC">
              <w:rPr>
                <w:rFonts w:eastAsia="Times New Roman" w:cstheme="minorHAnsi"/>
                <w:b/>
                <w:bCs/>
              </w:rPr>
              <w:t>Side Effects/ Contraindications</w:t>
            </w:r>
          </w:p>
        </w:tc>
        <w:tc>
          <w:tcPr>
            <w:tcW w:w="1592" w:type="dxa"/>
            <w:shd w:val="clear" w:color="auto" w:fill="E7E6E6" w:themeFill="background2"/>
            <w:vAlign w:val="center"/>
          </w:tcPr>
          <w:p w14:paraId="18401170" w14:textId="77777777" w:rsidR="00306884" w:rsidRPr="00874CDC" w:rsidRDefault="00306884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A1c effect</w:t>
            </w:r>
          </w:p>
        </w:tc>
      </w:tr>
      <w:tr w:rsidR="00306884" w14:paraId="47A4B41D" w14:textId="77777777" w:rsidTr="00492A12">
        <w:tc>
          <w:tcPr>
            <w:tcW w:w="2875" w:type="dxa"/>
            <w:vAlign w:val="center"/>
          </w:tcPr>
          <w:p w14:paraId="5A258C46" w14:textId="77777777" w:rsidR="00306884" w:rsidRDefault="00306884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874CDC">
              <w:rPr>
                <w:rFonts w:eastAsia="Times New Roman" w:cstheme="minorHAnsi"/>
                <w:b/>
                <w:bCs/>
              </w:rPr>
              <w:t>Metformin</w:t>
            </w:r>
          </w:p>
          <w:p w14:paraId="6D8349BF" w14:textId="77777777" w:rsidR="00306884" w:rsidRPr="00874CDC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PO|$</w:t>
            </w:r>
          </w:p>
        </w:tc>
        <w:tc>
          <w:tcPr>
            <w:tcW w:w="2519" w:type="dxa"/>
            <w:vAlign w:val="center"/>
          </w:tcPr>
          <w:p w14:paraId="60B108F0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Weight neutral </w:t>
            </w:r>
          </w:p>
          <w:p w14:paraId="02B0D667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Possible ↓ ASCVD risk</w:t>
            </w:r>
          </w:p>
        </w:tc>
        <w:tc>
          <w:tcPr>
            <w:tcW w:w="3804" w:type="dxa"/>
            <w:vAlign w:val="center"/>
          </w:tcPr>
          <w:p w14:paraId="551DE085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GI side effects (lower in ER formulation or when slowly uptitrated)</w:t>
            </w:r>
          </w:p>
          <w:p w14:paraId="763B2382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Avoid in GFR &lt; 30 (risk of lactic acidosis)</w:t>
            </w:r>
          </w:p>
          <w:p w14:paraId="55CE3739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Neuropathy, B12 deficiency</w:t>
            </w:r>
          </w:p>
        </w:tc>
        <w:tc>
          <w:tcPr>
            <w:tcW w:w="1592" w:type="dxa"/>
            <w:vAlign w:val="center"/>
          </w:tcPr>
          <w:p w14:paraId="63296F6E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1-2%</w:t>
            </w:r>
          </w:p>
        </w:tc>
      </w:tr>
      <w:tr w:rsidR="00306884" w14:paraId="76097536" w14:textId="77777777" w:rsidTr="00492A12">
        <w:tc>
          <w:tcPr>
            <w:tcW w:w="2875" w:type="dxa"/>
            <w:shd w:val="clear" w:color="auto" w:fill="E7E6E6" w:themeFill="background2"/>
            <w:vAlign w:val="center"/>
          </w:tcPr>
          <w:p w14:paraId="149E9E9F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GLP1 agonists</w:t>
            </w:r>
          </w:p>
          <w:p w14:paraId="2437E453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SQ (*PO)|$$$</w:t>
            </w:r>
          </w:p>
          <w:p w14:paraId="0F3EFE3A" w14:textId="77777777" w:rsidR="00306884" w:rsidRPr="00874CDC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(liraglutide, duraglutide, exenatide, semaglutide*)</w:t>
            </w:r>
          </w:p>
        </w:tc>
        <w:tc>
          <w:tcPr>
            <w:tcW w:w="2519" w:type="dxa"/>
            <w:shd w:val="clear" w:color="auto" w:fill="E7E6E6" w:themeFill="background2"/>
            <w:vAlign w:val="center"/>
          </w:tcPr>
          <w:p w14:paraId="7EABA1C7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Weight loss</w:t>
            </w:r>
          </w:p>
          <w:p w14:paraId="58BDF027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↓ major CVD events</w:t>
            </w:r>
          </w:p>
          <w:p w14:paraId="196A3DAA" w14:textId="09B2F5CB" w:rsidR="00423F69" w:rsidRDefault="00423F69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Improves renal outcomes</w:t>
            </w:r>
          </w:p>
        </w:tc>
        <w:tc>
          <w:tcPr>
            <w:tcW w:w="3804" w:type="dxa"/>
            <w:shd w:val="clear" w:color="auto" w:fill="E7E6E6" w:themeFill="background2"/>
            <w:vAlign w:val="center"/>
          </w:tcPr>
          <w:p w14:paraId="1BCC6BAA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GI side effects</w:t>
            </w:r>
          </w:p>
          <w:p w14:paraId="0C4B287C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Potential risk of thyroid C-cell tumor</w:t>
            </w:r>
          </w:p>
          <w:p w14:paraId="3A5CDAB7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Pancreatitis</w:t>
            </w:r>
          </w:p>
        </w:tc>
        <w:tc>
          <w:tcPr>
            <w:tcW w:w="1592" w:type="dxa"/>
            <w:shd w:val="clear" w:color="auto" w:fill="E7E6E6" w:themeFill="background2"/>
            <w:vAlign w:val="center"/>
          </w:tcPr>
          <w:p w14:paraId="173F64C4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0.5-1.5%</w:t>
            </w:r>
          </w:p>
        </w:tc>
      </w:tr>
      <w:tr w:rsidR="00306884" w14:paraId="2070C0E6" w14:textId="77777777" w:rsidTr="00492A12">
        <w:tc>
          <w:tcPr>
            <w:tcW w:w="2875" w:type="dxa"/>
            <w:vAlign w:val="center"/>
          </w:tcPr>
          <w:p w14:paraId="63E299CB" w14:textId="77777777" w:rsidR="00306884" w:rsidRDefault="00306884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SGLT2 inhibitors</w:t>
            </w:r>
          </w:p>
          <w:p w14:paraId="0732E049" w14:textId="77777777" w:rsidR="00306884" w:rsidRPr="00874CDC" w:rsidRDefault="00306884" w:rsidP="00492A12">
            <w:pPr>
              <w:jc w:val="center"/>
              <w:rPr>
                <w:rFonts w:eastAsia="Times New Roman" w:cstheme="minorHAnsi"/>
              </w:rPr>
            </w:pPr>
            <w:r w:rsidRPr="00874CDC">
              <w:rPr>
                <w:rFonts w:eastAsia="Times New Roman" w:cstheme="minorHAnsi"/>
              </w:rPr>
              <w:t>PO|$$$</w:t>
            </w:r>
          </w:p>
          <w:p w14:paraId="45D2F456" w14:textId="77777777" w:rsidR="00306884" w:rsidRDefault="00306884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874CDC">
              <w:rPr>
                <w:rFonts w:eastAsia="Times New Roman" w:cstheme="minorHAnsi"/>
              </w:rPr>
              <w:t>(canagliflozin, empagliflozin, dapagliflozin)</w:t>
            </w:r>
          </w:p>
        </w:tc>
        <w:tc>
          <w:tcPr>
            <w:tcW w:w="2519" w:type="dxa"/>
            <w:vAlign w:val="center"/>
          </w:tcPr>
          <w:p w14:paraId="48F45A56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Weight loss</w:t>
            </w:r>
          </w:p>
          <w:p w14:paraId="613A7FF0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↓ BP</w:t>
            </w:r>
          </w:p>
          <w:p w14:paraId="1C4B0D34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↓ major CVD events</w:t>
            </w:r>
          </w:p>
          <w:p w14:paraId="064656C4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Improves renal outcomes</w:t>
            </w:r>
          </w:p>
        </w:tc>
        <w:tc>
          <w:tcPr>
            <w:tcW w:w="3804" w:type="dxa"/>
            <w:vAlign w:val="center"/>
          </w:tcPr>
          <w:p w14:paraId="537B4CA2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Candidiasis, UTIs, Fournier’s</w:t>
            </w:r>
          </w:p>
          <w:p w14:paraId="3C37BBDE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Euglycemic DKA</w:t>
            </w:r>
          </w:p>
          <w:p w14:paraId="412F0565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Hypotension</w:t>
            </w:r>
          </w:p>
          <w:p w14:paraId="43EED40D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Bone fractures (canagliflozin)</w:t>
            </w:r>
          </w:p>
          <w:p w14:paraId="3C49C0D4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Possible risk of amputations</w:t>
            </w:r>
          </w:p>
        </w:tc>
        <w:tc>
          <w:tcPr>
            <w:tcW w:w="1592" w:type="dxa"/>
            <w:vAlign w:val="center"/>
          </w:tcPr>
          <w:p w14:paraId="74775124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0.5-0.7%</w:t>
            </w:r>
          </w:p>
        </w:tc>
      </w:tr>
      <w:tr w:rsidR="00306884" w14:paraId="2AB99C51" w14:textId="77777777" w:rsidTr="00492A12">
        <w:tc>
          <w:tcPr>
            <w:tcW w:w="2875" w:type="dxa"/>
            <w:shd w:val="clear" w:color="auto" w:fill="E7E6E6" w:themeFill="background2"/>
            <w:vAlign w:val="center"/>
          </w:tcPr>
          <w:p w14:paraId="20A503E9" w14:textId="77777777" w:rsidR="00306884" w:rsidRDefault="00306884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Sulfonylureas</w:t>
            </w:r>
          </w:p>
          <w:p w14:paraId="7593B8A4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PO|$</w:t>
            </w:r>
          </w:p>
          <w:p w14:paraId="3F1F51DB" w14:textId="77777777" w:rsidR="00306884" w:rsidRPr="00874CDC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(glipizide, glimepiride, glyburide)</w:t>
            </w:r>
          </w:p>
        </w:tc>
        <w:tc>
          <w:tcPr>
            <w:tcW w:w="2519" w:type="dxa"/>
            <w:shd w:val="clear" w:color="auto" w:fill="E7E6E6" w:themeFill="background2"/>
            <w:vAlign w:val="center"/>
          </w:tcPr>
          <w:p w14:paraId="2F941627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Rapid effect</w:t>
            </w:r>
          </w:p>
        </w:tc>
        <w:tc>
          <w:tcPr>
            <w:tcW w:w="3804" w:type="dxa"/>
            <w:shd w:val="clear" w:color="auto" w:fill="E7E6E6" w:themeFill="background2"/>
            <w:vAlign w:val="center"/>
          </w:tcPr>
          <w:p w14:paraId="5F22969B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Weight gain</w:t>
            </w:r>
          </w:p>
          <w:p w14:paraId="4CF89A3D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Hypoglycemia</w:t>
            </w:r>
          </w:p>
          <w:p w14:paraId="7841FF82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Avoid glyburide in CKD</w:t>
            </w:r>
          </w:p>
        </w:tc>
        <w:tc>
          <w:tcPr>
            <w:tcW w:w="1592" w:type="dxa"/>
            <w:shd w:val="clear" w:color="auto" w:fill="E7E6E6" w:themeFill="background2"/>
            <w:vAlign w:val="center"/>
          </w:tcPr>
          <w:p w14:paraId="16F406E7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1-2%</w:t>
            </w:r>
          </w:p>
        </w:tc>
      </w:tr>
      <w:tr w:rsidR="00306884" w14:paraId="116098E9" w14:textId="77777777" w:rsidTr="00492A12">
        <w:tc>
          <w:tcPr>
            <w:tcW w:w="2875" w:type="dxa"/>
            <w:vAlign w:val="center"/>
          </w:tcPr>
          <w:p w14:paraId="2DAEA572" w14:textId="77777777" w:rsidR="00306884" w:rsidRDefault="00306884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Insulin</w:t>
            </w:r>
          </w:p>
          <w:p w14:paraId="200DCDF9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SQ|$</w:t>
            </w:r>
          </w:p>
          <w:p w14:paraId="4CA38ED7" w14:textId="77777777" w:rsidR="00306884" w:rsidRPr="00874CDC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(Glargine, NPH, regular, lispro, aspart, U-500, U-300)</w:t>
            </w:r>
          </w:p>
        </w:tc>
        <w:tc>
          <w:tcPr>
            <w:tcW w:w="2519" w:type="dxa"/>
            <w:vAlign w:val="center"/>
          </w:tcPr>
          <w:p w14:paraId="39ABAF96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Rapid effect</w:t>
            </w:r>
          </w:p>
        </w:tc>
        <w:tc>
          <w:tcPr>
            <w:tcW w:w="3804" w:type="dxa"/>
            <w:vAlign w:val="center"/>
          </w:tcPr>
          <w:p w14:paraId="0A7BF366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Weight gain </w:t>
            </w:r>
          </w:p>
          <w:p w14:paraId="503544BB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Hypoglycemia</w:t>
            </w:r>
          </w:p>
        </w:tc>
        <w:tc>
          <w:tcPr>
            <w:tcW w:w="1592" w:type="dxa"/>
            <w:vAlign w:val="center"/>
          </w:tcPr>
          <w:p w14:paraId="269A8803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1.5-3.5%</w:t>
            </w:r>
          </w:p>
        </w:tc>
      </w:tr>
      <w:tr w:rsidR="00306884" w14:paraId="13576229" w14:textId="77777777" w:rsidTr="00492A12">
        <w:tc>
          <w:tcPr>
            <w:tcW w:w="2875" w:type="dxa"/>
            <w:shd w:val="clear" w:color="auto" w:fill="E7E6E6" w:themeFill="background2"/>
            <w:vAlign w:val="center"/>
          </w:tcPr>
          <w:p w14:paraId="41D6D080" w14:textId="77777777" w:rsidR="00306884" w:rsidRDefault="00306884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Diet modification</w:t>
            </w:r>
          </w:p>
          <w:p w14:paraId="69099EA1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$-$$</w:t>
            </w:r>
          </w:p>
          <w:p w14:paraId="3117886A" w14:textId="77777777" w:rsidR="00306884" w:rsidRPr="001542C7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(caloric restriction)</w:t>
            </w:r>
          </w:p>
        </w:tc>
        <w:tc>
          <w:tcPr>
            <w:tcW w:w="2519" w:type="dxa"/>
            <w:shd w:val="clear" w:color="auto" w:fill="E7E6E6" w:themeFill="background2"/>
            <w:vAlign w:val="center"/>
          </w:tcPr>
          <w:p w14:paraId="6ED922FF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Weight loss</w:t>
            </w:r>
          </w:p>
          <w:p w14:paraId="1B207E56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Potentially curative</w:t>
            </w:r>
          </w:p>
          <w:p w14:paraId="489B59B8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May ↓ BP, ASCVD risk, NASH</w:t>
            </w:r>
          </w:p>
        </w:tc>
        <w:tc>
          <w:tcPr>
            <w:tcW w:w="3804" w:type="dxa"/>
            <w:shd w:val="clear" w:color="auto" w:fill="E7E6E6" w:themeFill="background2"/>
            <w:vAlign w:val="center"/>
          </w:tcPr>
          <w:p w14:paraId="0ACDD5B1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High relapse rates</w:t>
            </w:r>
          </w:p>
        </w:tc>
        <w:tc>
          <w:tcPr>
            <w:tcW w:w="1592" w:type="dxa"/>
            <w:shd w:val="clear" w:color="auto" w:fill="E7E6E6" w:themeFill="background2"/>
            <w:vAlign w:val="center"/>
          </w:tcPr>
          <w:p w14:paraId="158BA5B8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~0.5%</w:t>
            </w:r>
          </w:p>
          <w:p w14:paraId="29614316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 w:rsidRPr="001542C7">
              <w:rPr>
                <w:rFonts w:eastAsia="Times New Roman" w:cstheme="minorHAnsi"/>
                <w:sz w:val="18"/>
                <w:szCs w:val="18"/>
              </w:rPr>
              <w:t>(related to degree of caloric restriction and weight loss)</w:t>
            </w:r>
          </w:p>
        </w:tc>
      </w:tr>
      <w:tr w:rsidR="00306884" w14:paraId="3513E704" w14:textId="77777777" w:rsidTr="00492A12">
        <w:tc>
          <w:tcPr>
            <w:tcW w:w="2875" w:type="dxa"/>
            <w:vAlign w:val="center"/>
          </w:tcPr>
          <w:p w14:paraId="1A5D7718" w14:textId="77777777" w:rsidR="00306884" w:rsidRDefault="00306884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Bariatric surgery</w:t>
            </w:r>
          </w:p>
          <w:p w14:paraId="0EAE900A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$$$</w:t>
            </w:r>
          </w:p>
          <w:p w14:paraId="59D88B93" w14:textId="77777777" w:rsidR="00306884" w:rsidRPr="001542C7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(Roux-en-Y, gastric band/sleeve)</w:t>
            </w:r>
          </w:p>
          <w:p w14:paraId="636F6C3A" w14:textId="77777777" w:rsidR="00306884" w:rsidRDefault="00306884" w:rsidP="00492A12">
            <w:pPr>
              <w:jc w:val="center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2519" w:type="dxa"/>
            <w:vAlign w:val="center"/>
          </w:tcPr>
          <w:p w14:paraId="4497E781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Weight loss</w:t>
            </w:r>
          </w:p>
          <w:p w14:paraId="12991210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Potentially curative</w:t>
            </w:r>
          </w:p>
        </w:tc>
        <w:tc>
          <w:tcPr>
            <w:tcW w:w="3804" w:type="dxa"/>
            <w:vAlign w:val="center"/>
          </w:tcPr>
          <w:p w14:paraId="1556AD42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High relapse rate of DM (30-50%)</w:t>
            </w:r>
          </w:p>
          <w:p w14:paraId="39416E5B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Complications of surgery (malabsorption, anastomotic ulcers in Roux-en-Y)</w:t>
            </w:r>
          </w:p>
        </w:tc>
        <w:tc>
          <w:tcPr>
            <w:tcW w:w="1592" w:type="dxa"/>
            <w:vAlign w:val="center"/>
          </w:tcPr>
          <w:p w14:paraId="1E336770" w14:textId="77777777" w:rsidR="00306884" w:rsidRDefault="00306884" w:rsidP="00492A12">
            <w:pPr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2%</w:t>
            </w:r>
          </w:p>
        </w:tc>
      </w:tr>
    </w:tbl>
    <w:p w14:paraId="78E9FE58" w14:textId="08AA8B19" w:rsidR="00306884" w:rsidRPr="00306884" w:rsidRDefault="00306884" w:rsidP="00306884">
      <w:pPr>
        <w:tabs>
          <w:tab w:val="left" w:pos="4335"/>
        </w:tabs>
      </w:pPr>
    </w:p>
    <w:sectPr w:rsidR="00306884" w:rsidRPr="00306884" w:rsidSect="00306884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971B5" w14:textId="77777777" w:rsidR="00B705E6" w:rsidRDefault="00B705E6" w:rsidP="00B705E6">
      <w:pPr>
        <w:spacing w:after="0" w:line="240" w:lineRule="auto"/>
      </w:pPr>
      <w:r>
        <w:separator/>
      </w:r>
    </w:p>
  </w:endnote>
  <w:endnote w:type="continuationSeparator" w:id="0">
    <w:p w14:paraId="6705579A" w14:textId="77777777" w:rsidR="00B705E6" w:rsidRDefault="00B705E6" w:rsidP="00B70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465EB" w14:textId="77777777" w:rsidR="00B705E6" w:rsidRDefault="00B705E6" w:rsidP="00B705E6">
      <w:pPr>
        <w:spacing w:after="0" w:line="240" w:lineRule="auto"/>
      </w:pPr>
      <w:r>
        <w:separator/>
      </w:r>
    </w:p>
  </w:footnote>
  <w:footnote w:type="continuationSeparator" w:id="0">
    <w:p w14:paraId="605A183E" w14:textId="77777777" w:rsidR="00B705E6" w:rsidRDefault="00B705E6" w:rsidP="00B70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AB1EA" w14:textId="77777777" w:rsidR="00B705E6" w:rsidRPr="00B705E6" w:rsidRDefault="00B705E6" w:rsidP="00B705E6">
    <w:pPr>
      <w:pStyle w:val="Header"/>
      <w:jc w:val="center"/>
      <w:rPr>
        <w:b/>
        <w:bCs/>
      </w:rPr>
    </w:pPr>
    <w:r>
      <w:rPr>
        <w:b/>
        <w:bCs/>
      </w:rPr>
      <w:t xml:space="preserve">Type II DM - </w:t>
    </w:r>
    <w:r w:rsidRPr="00B705E6">
      <w:rPr>
        <w:b/>
        <w:bCs/>
      </w:rPr>
      <w:t>Learner Handout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E6"/>
    <w:rsid w:val="00213629"/>
    <w:rsid w:val="00306884"/>
    <w:rsid w:val="00321F8D"/>
    <w:rsid w:val="003E11C8"/>
    <w:rsid w:val="00423F69"/>
    <w:rsid w:val="006B3727"/>
    <w:rsid w:val="00AB09E2"/>
    <w:rsid w:val="00B7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47C8A"/>
  <w15:chartTrackingRefBased/>
  <w15:docId w15:val="{ED46AD22-D4EE-4700-A651-731B207A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0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5E6"/>
  </w:style>
  <w:style w:type="paragraph" w:styleId="Footer">
    <w:name w:val="footer"/>
    <w:basedOn w:val="Normal"/>
    <w:link w:val="FooterChar"/>
    <w:uiPriority w:val="99"/>
    <w:unhideWhenUsed/>
    <w:rsid w:val="00B705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5E6"/>
  </w:style>
  <w:style w:type="table" w:styleId="TableGrid">
    <w:name w:val="Table Grid"/>
    <w:basedOn w:val="TableNormal"/>
    <w:uiPriority w:val="39"/>
    <w:rsid w:val="00B70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Yilin Zhang</dc:creator>
  <cp:keywords/>
  <dc:description/>
  <cp:lastModifiedBy>Yilin Zhang</cp:lastModifiedBy>
  <cp:revision>5</cp:revision>
  <dcterms:created xsi:type="dcterms:W3CDTF">2022-03-30T18:46:00Z</dcterms:created>
  <dcterms:modified xsi:type="dcterms:W3CDTF">2022-03-30T18:58:00Z</dcterms:modified>
</cp:coreProperties>
</file>