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0" w:line="240" w:lineRule="auto"/>
        <w:rPr>
          <w:b w:val="1"/>
          <w:bCs w:val="1"/>
          <w:color w:val="1f3864"/>
          <w:sz w:val="34"/>
          <w:szCs w:val="34"/>
        </w:rPr>
      </w:pPr>
      <w:r w:rsidDel="00000000" w:rsidR="00000000" w:rsidRPr="00000000">
        <w:rPr>
          <w:b w:val="1"/>
          <w:bCs w:val="1"/>
          <w:color w:val="1f3864"/>
          <w:sz w:val="34"/>
          <w:szCs w:val="34"/>
          <w:rtl w:val="0"/>
        </w:rPr>
        <w:t xml:space="preserve">Mejores Prácticas de Seguridad para Ingenieros de Plataforma</w:t>
      </w:r>
    </w:p>
    <w:p w:rsidR="00000000" w:rsidDel="00000000" w:rsidP="00000000" w:rsidRDefault="00000000" w:rsidRPr="00000000" w14:paraId="00000002">
      <w:pPr>
        <w:spacing w:after="200" w:line="240" w:lineRule="auto"/>
        <w:rPr>
          <w:b w:val="1"/>
          <w:bCs w:val="1"/>
        </w:rPr>
      </w:pPr>
      <w:r w:rsidDel="00000000" w:rsidR="00000000" w:rsidRPr="00000000">
        <w:rPr>
          <w:i w:val="1"/>
          <w:iCs w:val="1"/>
          <w:color w:val="595959"/>
          <w:sz w:val="20"/>
          <w:szCs w:val="20"/>
          <w:rtl w:val="0"/>
        </w:rPr>
        <w:t xml:space="preserve">NetGuard</w:t>
      </w:r>
      <w:r w:rsidDel="00000000" w:rsidR="00000000" w:rsidRPr="00000000">
        <w:rPr>
          <w:b w:val="1"/>
          <w:bCs w:val="1"/>
          <w:rtl w:val="0"/>
        </w:rPr>
        <w:t xml:space="preserve"> </w:t>
      </w:r>
      <w:r w:rsidDel="00000000" w:rsidR="00000000" w:rsidRPr="00000000">
        <w:rPr>
          <w:i w:val="1"/>
          <w:iCs w:val="1"/>
          <w:color w:val="595959"/>
          <w:sz w:val="20"/>
          <w:szCs w:val="20"/>
          <w:rtl w:val="0"/>
        </w:rPr>
        <w:t xml:space="preserve">Solutions - Liderazgo en Ciberseguridad</w:t>
      </w:r>
      <w:r w:rsidDel="00000000" w:rsidR="00000000" w:rsidRPr="00000000">
        <w:rPr>
          <w:rtl w:val="0"/>
        </w:rPr>
      </w:r>
    </w:p>
    <w:p w:rsidR="00000000" w:rsidDel="00000000" w:rsidP="00000000" w:rsidRDefault="00000000" w:rsidRPr="00000000" w14:paraId="00000003">
      <w:pPr>
        <w:spacing w:after="160" w:line="240" w:lineRule="auto"/>
        <w:rPr>
          <w:sz w:val="24"/>
          <w:szCs w:val="24"/>
        </w:rPr>
      </w:pPr>
      <w:r w:rsidDel="00000000" w:rsidR="00000000" w:rsidRPr="00000000">
        <w:rPr>
          <w:sz w:val="24"/>
          <w:szCs w:val="24"/>
          <w:rtl w:val="0"/>
        </w:rPr>
        <w:t xml:space="preserve">Los ingenieros de plataforma son responsables de la infraestructura que sostiene redes corporativas completas, lo que los convierte en uno de los puntos de mayor riesgo cuando la seguridad deja de ser una prioridad. Según análisis de Gartner, para 2025 el 99 % de las fallas de seguridad en la nube serán responsabilidad de los propios clientes, principalmente debido a configuraciones incorrectas. El problema no es la falta de herramientas, sino la complejidad de administrar permisos, segmentación de redes y políticas de seguridad a gran escala.</w:t>
      </w:r>
    </w:p>
    <w:p w:rsidR="00000000" w:rsidDel="00000000" w:rsidP="00000000" w:rsidRDefault="00000000" w:rsidRPr="00000000" w14:paraId="00000004">
      <w:pPr>
        <w:spacing w:after="160" w:line="240" w:lineRule="auto"/>
        <w:rPr/>
      </w:pPr>
      <w:r w:rsidDel="00000000" w:rsidR="00000000" w:rsidRPr="00000000">
        <w:rPr>
          <w:sz w:val="24"/>
          <w:szCs w:val="24"/>
          <w:rtl w:val="0"/>
        </w:rPr>
        <w:t xml:space="preserve">El caso de Capital One ejemplifica una de las vulnerabilidades más comunes: la brecha de seguridad fue posible porque un ex empleado de AWS explotó un firewall configurado incorrectamente dentro de la infraestructura en la nube de la empresa. Una única configuración pasada por alto bastó para exponer millones de registros.</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8yrtjc6549e" w:id="0"/>
      <w:bookmarkEnd w:id="0"/>
      <w:r w:rsidDel="00000000" w:rsidR="00000000" w:rsidRPr="00000000">
        <w:rPr>
          <w:sz w:val="24"/>
          <w:szCs w:val="24"/>
          <w:rtl w:val="0"/>
        </w:rPr>
        <w:t xml:space="preserve">Tres prácticas que reducen este riesgo de forma efectiva</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xmn1lyu3lr2" w:id="1"/>
      <w:bookmarkEnd w:id="1"/>
      <w:r w:rsidDel="00000000" w:rsidR="00000000" w:rsidRPr="00000000">
        <w:rPr>
          <w:b w:val="1"/>
          <w:bCs w:val="1"/>
          <w:color w:val="2e5395"/>
          <w:sz w:val="26"/>
          <w:szCs w:val="26"/>
          <w:rtl w:val="0"/>
        </w:rPr>
        <w:t xml:space="preserve">1. Segmentación por defecto, no por excepción</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sz w:val="24"/>
          <w:szCs w:val="24"/>
          <w:rtl w:val="0"/>
        </w:rPr>
        <w:t xml:space="preserve">Evite grupos de seguridad demasiado permisivos con tráfico de entrada sin restricciones. Diseñe cada servicio como si estuviera expuesto a Internet desde el primer momento.</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y5hbfqa1t0m" w:id="2"/>
      <w:bookmarkEnd w:id="2"/>
      <w:r w:rsidDel="00000000" w:rsidR="00000000" w:rsidRPr="00000000">
        <w:rPr>
          <w:b w:val="1"/>
          <w:bCs w:val="1"/>
          <w:color w:val="2e5395"/>
          <w:sz w:val="26"/>
          <w:szCs w:val="26"/>
          <w:rtl w:val="0"/>
        </w:rPr>
        <w:t xml:space="preserve">2. Aplicar el principio de mínimo privilegio</w:t>
      </w:r>
      <w:r w:rsidDel="00000000" w:rsidR="00000000" w:rsidRPr="00000000">
        <w:rPr>
          <w:rtl w:val="0"/>
        </w:rPr>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Los modelos Zero Trust reducen en más de un 30 % la probabilidad de sufrir brechas relacionadas con la gestión de identidades. Revise los permisos de forma periódica y no únicamente cuando se crea un recurso.</w:t>
      </w:r>
    </w:p>
    <w:p w:rsidR="00000000" w:rsidDel="00000000" w:rsidP="00000000" w:rsidRDefault="00000000" w:rsidRPr="00000000" w14:paraId="0000000A">
      <w:pPr>
        <w:pStyle w:val="Heading3"/>
        <w:keepNext w:val="0"/>
        <w:keepLines w:val="0"/>
        <w:spacing w:before="280" w:lineRule="auto"/>
        <w:rPr>
          <w:b w:val="1"/>
          <w:bCs w:val="1"/>
          <w:color w:val="2e5395"/>
          <w:sz w:val="26"/>
          <w:szCs w:val="26"/>
        </w:rPr>
      </w:pPr>
      <w:bookmarkStart w:colFirst="0" w:colLast="0" w:name="_73bg8d5v4glx" w:id="3"/>
      <w:bookmarkEnd w:id="3"/>
      <w:r w:rsidDel="00000000" w:rsidR="00000000" w:rsidRPr="00000000">
        <w:rPr>
          <w:b w:val="1"/>
          <w:bCs w:val="1"/>
          <w:color w:val="2e5395"/>
          <w:sz w:val="26"/>
          <w:szCs w:val="26"/>
          <w:rtl w:val="0"/>
        </w:rPr>
        <w:t xml:space="preserve">3. Supervisión continua, no puntual</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Las configuraciones incorrectas suelen permanecer sin detectarse durante el 70 % de su ciclo de vida antes de ser explotadas. Las auditorías automatizadas y las alertas en tiempo real ayudan a reducir significativamente esa ventana de exposición.</w:t>
      </w:r>
    </w:p>
    <w:p w:rsidR="00000000" w:rsidDel="00000000" w:rsidP="00000000" w:rsidRDefault="00000000" w:rsidRPr="00000000" w14:paraId="0000000C">
      <w:pPr>
        <w:spacing w:after="240" w:before="240" w:lineRule="auto"/>
        <w:rPr/>
      </w:pPr>
      <w:r w:rsidDel="00000000" w:rsidR="00000000" w:rsidRPr="00000000">
        <w:rPr>
          <w:sz w:val="24"/>
          <w:szCs w:val="24"/>
          <w:rtl w:val="0"/>
        </w:rPr>
        <w:t xml:space="preserve">La seguridad de la infraestructura de red a gran escala no es un proyecto que se completa una sola vez, sino una disciplina operativa permanente. NetGuard Solutions ayuda a los equipos de plataforma a convertir esa disciplina en parte de su trabajo diario, en lugar de reaccionar únicamente cuando surge una emergencia.</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wmcc214y7o6p" w:id="4"/>
      <w:bookmarkEnd w:id="4"/>
      <w:r w:rsidDel="00000000" w:rsidR="00000000" w:rsidRPr="00000000">
        <w:rPr>
          <w:b w:val="1"/>
          <w:bCs w:val="1"/>
          <w:color w:val="2e5395"/>
          <w:sz w:val="26"/>
          <w:szCs w:val="26"/>
          <w:rtl w:val="0"/>
        </w:rPr>
        <w:t xml:space="preserve">Fuentes</w:t>
      </w:r>
      <w:r w:rsidDel="00000000" w:rsidR="00000000" w:rsidRPr="00000000">
        <w:rPr>
          <w:rtl w:val="0"/>
        </w:rPr>
      </w:r>
    </w:p>
    <w:p w:rsidR="00000000" w:rsidDel="00000000" w:rsidP="00000000" w:rsidRDefault="00000000" w:rsidRPr="00000000" w14:paraId="00000010">
      <w:pPr>
        <w:numPr>
          <w:ilvl w:val="0"/>
          <w:numId w:val="1"/>
        </w:numPr>
        <w:spacing w:after="0" w:afterAutospacing="0" w:line="240" w:lineRule="auto"/>
        <w:ind w:left="540" w:hanging="360"/>
        <w:rPr>
          <w:sz w:val="24"/>
          <w:szCs w:val="24"/>
        </w:rPr>
      </w:pPr>
      <w:r w:rsidDel="00000000" w:rsidR="00000000" w:rsidRPr="00000000">
        <w:rPr>
          <w:sz w:val="24"/>
          <w:szCs w:val="24"/>
          <w:rtl w:val="0"/>
        </w:rPr>
        <w:t xml:space="preserve">Fidelis Security. Cloud Misconfiguration: The #1 Cause of Data Breaches 2025 (citando un análisis de Gartner).</w:t>
      </w:r>
    </w:p>
    <w:p w:rsidR="00000000" w:rsidDel="00000000" w:rsidP="00000000" w:rsidRDefault="00000000" w:rsidRPr="00000000" w14:paraId="00000011">
      <w:pPr>
        <w:numPr>
          <w:ilvl w:val="0"/>
          <w:numId w:val="1"/>
        </w:numPr>
        <w:spacing w:after="80" w:line="240" w:lineRule="auto"/>
        <w:ind w:left="540" w:hanging="360"/>
        <w:rPr>
          <w:sz w:val="24"/>
          <w:szCs w:val="24"/>
        </w:rPr>
      </w:pPr>
      <w:r w:rsidDel="00000000" w:rsidR="00000000" w:rsidRPr="00000000">
        <w:rPr>
          <w:sz w:val="24"/>
          <w:szCs w:val="24"/>
          <w:rtl w:val="0"/>
        </w:rPr>
        <w:t xml:space="preserve">Huntress. 27 Biggest Data Breaches in History: Famous Examples.</w:t>
      </w:r>
    </w:p>
    <w:p w:rsidR="00000000" w:rsidDel="00000000" w:rsidP="00000000" w:rsidRDefault="00000000" w:rsidRPr="00000000" w14:paraId="00000012">
      <w:pPr>
        <w:numPr>
          <w:ilvl w:val="0"/>
          <w:numId w:val="1"/>
        </w:numPr>
        <w:spacing w:after="80" w:line="240" w:lineRule="auto"/>
        <w:ind w:left="540" w:hanging="360"/>
        <w:rPr>
          <w:sz w:val="24"/>
          <w:szCs w:val="24"/>
        </w:rPr>
      </w:pPr>
      <w:r w:rsidDel="00000000" w:rsidR="00000000" w:rsidRPr="00000000">
        <w:rPr>
          <w:sz w:val="24"/>
          <w:szCs w:val="24"/>
          <w:rtl w:val="0"/>
        </w:rPr>
        <w:t xml:space="preserve">DataStackHub. 50 Cloud Breach Statistics for 2025-2026</w:t>
      </w:r>
      <w:r w:rsidDel="00000000" w:rsidR="00000000" w:rsidRPr="00000000">
        <w:rPr>
          <w:i w:val="1"/>
          <w:iCs w:val="1"/>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