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jarvis-2025-tax-return-review"/>
    <w:p>
      <w:pPr>
        <w:pStyle w:val="Heading1"/>
      </w:pPr>
      <w:r>
        <w:t xml:space="preserve">Jarvis 2025 Tax Return Review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Eric Brown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3, 2026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Jarvis (Opus 4.5 workflow)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Full review of the</w:t>
      </w:r>
      <w:r>
        <w:t xml:space="preserve"> </w:t>
      </w:r>
      <w:r>
        <w:rPr>
          <w:rStyle w:val="VerbatimChar"/>
        </w:rPr>
        <w:t xml:space="preserve">/2025 Taxes/</w:t>
      </w:r>
      <w:r>
        <w:t xml:space="preserve"> </w:t>
      </w:r>
      <w:r>
        <w:t xml:space="preserve">Dropbox workspace with emphasis on</w:t>
      </w:r>
      <w:r>
        <w:t xml:space="preserve"> </w:t>
      </w:r>
      <w:r>
        <w:rPr>
          <w:rStyle w:val="VerbatimChar"/>
        </w:rPr>
        <w:t xml:space="preserve">Index for 2025 Taxes.xlsx</w:t>
      </w:r>
      <w:r>
        <w:t xml:space="preserve"> </w:t>
      </w:r>
      <w:r>
        <w:t xml:space="preserve">and the prior</w:t>
      </w:r>
      <w:r>
        <w:t xml:space="preserve"> </w:t>
      </w:r>
      <w:r>
        <w:t xml:space="preserve">“March 1, 2025 draft memo”</w:t>
      </w:r>
      <w:r>
        <w:t xml:space="preserve">. Supporting PDFs (property-tax bills, invoices, statements, engagement letters) were spot-checked for accuracy.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All 2025 income categories, rental schedules, farm operations, SALT exposure, and estimated payments are summarized below. Figures marked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still require confirmation once the final 1099/1098 packets and K-1s arrive.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Estimated position (per prior draft &amp; refreshed data):</w:t>
      </w:r>
    </w:p>
    <w:p>
      <w:pPr>
        <w:pStyle w:val="Compact"/>
        <w:numPr>
          <w:ilvl w:val="1"/>
          <w:numId w:val="1002"/>
        </w:numPr>
      </w:pPr>
      <w:r>
        <w:t xml:space="preserve">Federal AGI ≈</w:t>
      </w:r>
      <w:r>
        <w:t xml:space="preserve"> </w:t>
      </w:r>
      <w:r>
        <w:rPr>
          <w:b/>
          <w:bCs/>
        </w:rPr>
        <w:t xml:space="preserve">$1.123M</w:t>
      </w:r>
      <w:r>
        <w:t xml:space="preserve"> </w:t>
      </w:r>
      <w:r>
        <w:t xml:space="preserve">(W-2 wages $733.7k + investment/farm detail per index)</w:t>
      </w:r>
    </w:p>
    <w:p>
      <w:pPr>
        <w:pStyle w:val="Compact"/>
        <w:numPr>
          <w:ilvl w:val="1"/>
          <w:numId w:val="1002"/>
        </w:numPr>
      </w:pPr>
      <w:r>
        <w:t xml:space="preserve">Itemized deductions ≈</w:t>
      </w:r>
      <w:r>
        <w:t xml:space="preserve"> </w:t>
      </w:r>
      <w:r>
        <w:rPr>
          <w:b/>
          <w:bCs/>
        </w:rPr>
        <w:t xml:space="preserve">$111k</w:t>
      </w:r>
      <w:r>
        <w:t xml:space="preserve"> </w:t>
      </w:r>
      <w:r>
        <w:t xml:space="preserve">(pre-SALT cap; actual SALT deduction limited to $40k)</w:t>
      </w:r>
    </w:p>
    <w:p>
      <w:pPr>
        <w:pStyle w:val="Compact"/>
        <w:numPr>
          <w:ilvl w:val="1"/>
          <w:numId w:val="1002"/>
        </w:numPr>
      </w:pPr>
      <w:r>
        <w:t xml:space="preserve">Federal taxable income ≈</w:t>
      </w:r>
      <w:r>
        <w:t xml:space="preserve"> </w:t>
      </w:r>
      <w:r>
        <w:rPr>
          <w:b/>
          <w:bCs/>
        </w:rPr>
        <w:t xml:space="preserve">$1.012M</w:t>
      </w:r>
      <w:r>
        <w:t xml:space="preserve"> </w:t>
      </w:r>
      <w:r>
        <w:t xml:space="preserve">→ estimated total federal tax</w:t>
      </w:r>
      <w:r>
        <w:t xml:space="preserve"> </w:t>
      </w:r>
      <w:r>
        <w:rPr>
          <w:b/>
          <w:bCs/>
        </w:rPr>
        <w:t xml:space="preserve">$309k</w:t>
      </w:r>
    </w:p>
    <w:p>
      <w:pPr>
        <w:pStyle w:val="Compact"/>
        <w:numPr>
          <w:ilvl w:val="1"/>
          <w:numId w:val="1002"/>
        </w:numPr>
      </w:pPr>
      <w:r>
        <w:t xml:space="preserve">Payments already made/withheld</w:t>
      </w:r>
      <w:r>
        <w:t xml:space="preserve"> </w:t>
      </w:r>
      <w:r>
        <w:rPr>
          <w:b/>
          <w:bCs/>
        </w:rPr>
        <w:t xml:space="preserve">$458k</w:t>
      </w:r>
      <w:r>
        <w:t xml:space="preserve">, implying a preliminary</w:t>
      </w:r>
      <w:r>
        <w:t xml:space="preserve"> </w:t>
      </w:r>
      <w:r>
        <w:rPr>
          <w:b/>
          <w:bCs/>
        </w:rPr>
        <w:t xml:space="preserve">federal refund ≈ $149k</w:t>
      </w:r>
      <w:r>
        <w:t xml:space="preserve"> </w:t>
      </w:r>
      <w:r>
        <w:t xml:space="preserve">before the Jan‑15 voucher. California refund still projected</w:t>
      </w:r>
      <w:r>
        <w:t xml:space="preserve"> </w:t>
      </w:r>
      <w:r>
        <w:rPr>
          <w:b/>
          <w:bCs/>
        </w:rPr>
        <w:t xml:space="preserve">$22–28k</w:t>
      </w:r>
      <w:r>
        <w:t xml:space="preserve"> </w:t>
      </w:r>
      <w:r>
        <w:t xml:space="preserve">once Treasury exemptions are applied.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next steps:</w:t>
      </w:r>
      <w:r>
        <w:t xml:space="preserve"> </w:t>
      </w:r>
      <w:r>
        <w:t xml:space="preserve">Deliver this packet + outstanding source docs to Keystone CPA (Christy Moore) for final software runs, incorporate IRS appeals outcomes for Old Mission Foundation LLC, and confirm any Cohesity/Tanium equity adjustments.</w:t>
      </w:r>
    </w:p>
    <w:p>
      <w:r>
        <w:pict>
          <v:rect style="width:0;height:1.5pt" o:hralign="center" o:hrstd="t" o:hr="t"/>
        </w:pict>
      </w:r>
    </w:p>
    <w:bookmarkEnd w:id="9"/>
    <w:bookmarkStart w:id="10" w:name="source-document-inventory"/>
    <w:p>
      <w:pPr>
        <w:pStyle w:val="Heading2"/>
      </w:pPr>
      <w:r>
        <w:t xml:space="preserve">2. Source Document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Key Files Reviewed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 for 2025 Taxes.xlsx</w:t>
            </w:r>
          </w:p>
        </w:tc>
        <w:tc>
          <w:tcPr/>
          <w:p>
            <w:pPr>
              <w:pStyle w:val="Compact"/>
            </w:pPr>
            <w:r>
              <w:t xml:space="preserve">17-tab workbook summarizing wages, brokerage accounts, rentals, farm, SALT, depreciation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March 1, 2025 draft memo - 2025 tax return estimate and open issues - Grok.docx</w:t>
            </w:r>
          </w:p>
        </w:tc>
        <w:tc>
          <w:tcPr/>
          <w:p>
            <w:pPr>
              <w:pStyle w:val="Compact"/>
            </w:pPr>
            <w:r>
              <w:t xml:space="preserve">Provides baseline pro-forma values; this review updates and expands on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Property/rental backup</w:t>
            </w:r>
          </w:p>
        </w:tc>
        <w:tc>
          <w:tcPr/>
          <w:p>
            <w:pPr>
              <w:pStyle w:val="Compact"/>
            </w:pPr>
            <w:r>
              <w:t xml:space="preserve">Rental P&amp;Ls, property-tax PDFs, Soper Services invoices, HOA statements</w:t>
            </w:r>
          </w:p>
        </w:tc>
        <w:tc>
          <w:tcPr/>
          <w:p>
            <w:pPr>
              <w:pStyle w:val="Compact"/>
            </w:pPr>
            <w:r>
              <w:t xml:space="preserve">Verified the high-dollar entries (Los Altos condo tax, Harbor West slip, 3469 Old Mission repairs)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 operations</w:t>
            </w:r>
          </w:p>
        </w:tc>
        <w:tc>
          <w:tcPr/>
          <w:p>
            <w:pPr>
              <w:pStyle w:val="Compact"/>
            </w:pPr>
            <w:r>
              <w:t xml:space="preserve">Farm summary tab, basis schedule, invoice list, depreciation roll</w:t>
            </w:r>
          </w:p>
        </w:tc>
        <w:tc>
          <w:tcPr/>
          <w:p>
            <w:pPr>
              <w:pStyle w:val="Compact"/>
            </w:pPr>
            <w:r>
              <w:t xml:space="preserve">Confirms $0.4896 farm basis allocation and 2025 Sch F net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 &amp; engagement</w:t>
            </w:r>
          </w:p>
        </w:tc>
        <w:tc>
          <w:tcPr/>
          <w:p>
            <w:pPr>
              <w:pStyle w:val="Compact"/>
            </w:pPr>
            <w:r>
              <w:t xml:space="preserve">Keystone CPA engagement letter, IRS estimated tax receipts, CA FTB payments</w:t>
            </w:r>
          </w:p>
        </w:tc>
        <w:tc>
          <w:tcPr/>
          <w:p>
            <w:pPr>
              <w:pStyle w:val="Compact"/>
            </w:pPr>
            <w:r>
              <w:t xml:space="preserve">Confirms signatures and cash movement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income-detail"/>
    <w:p>
      <w:pPr>
        <w:pStyle w:val="Heading2"/>
      </w:pPr>
      <w:r>
        <w:t xml:space="preserve">3. Income Detail</w:t>
      </w:r>
    </w:p>
    <w:bookmarkStart w:id="11" w:name="w-2-cohesity-payroll"/>
    <w:p>
      <w:pPr>
        <w:pStyle w:val="Heading3"/>
      </w:pPr>
      <w:r>
        <w:t xml:space="preserve">3.1 W-2 (Cohesity Payroll)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Box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1 Wages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$733,697.75</w:t>
            </w:r>
          </w:p>
        </w:tc>
        <w:tc>
          <w:tcPr/>
          <w:p>
            <w:pPr>
              <w:pStyle w:val="Compact"/>
            </w:pPr>
            <w:r>
              <w:t xml:space="preserve">Includes salary + equity comp with standard deferrals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2 Federal withholding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$185,873.00</w:t>
            </w:r>
          </w:p>
        </w:tc>
        <w:tc>
          <w:tcPr/>
          <w:p>
            <w:pPr>
              <w:pStyle w:val="Compact"/>
            </w:pPr>
            <w:r>
              <w:t xml:space="preserve">Already remitted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3/5 Social Security / Medicare wages</w:t>
            </w:r>
          </w:p>
        </w:tc>
        <w:tc>
          <w:tcPr/>
          <w:p>
            <w:pPr>
              <w:pStyle w:val="Compact"/>
            </w:pPr>
            <w:r>
              <w:t xml:space="preserve">$176,100 / $756,326.75</w:t>
            </w:r>
          </w:p>
        </w:tc>
        <w:tc>
          <w:tcPr/>
          <w:p>
            <w:pPr>
              <w:pStyle w:val="Compact"/>
            </w:pPr>
            <w:r>
              <w:t xml:space="preserve">Matches compensation caps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4/6 Payroll taxes withheld</w:t>
            </w:r>
          </w:p>
        </w:tc>
        <w:tc>
          <w:tcPr/>
          <w:p>
            <w:pPr>
              <w:pStyle w:val="Compact"/>
            </w:pPr>
            <w:r>
              <w:t xml:space="preserve">$10,918.20 / $15,973.68</w:t>
            </w:r>
          </w:p>
        </w:tc>
        <w:tc>
          <w:tcPr/>
          <w:p>
            <w:pPr>
              <w:pStyle w:val="Compact"/>
            </w:pPr>
            <w:r>
              <w:t xml:space="preserve">Fully 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16/17 CA wages &amp; withholding</w:t>
            </w:r>
          </w:p>
        </w:tc>
        <w:tc>
          <w:tcPr/>
          <w:p>
            <w:pPr>
              <w:pStyle w:val="Compact"/>
            </w:pPr>
            <w:r>
              <w:t xml:space="preserve">$733,697.75 / $72,018.73</w:t>
            </w:r>
          </w:p>
        </w:tc>
        <w:tc>
          <w:tcPr/>
          <w:p>
            <w:pPr>
              <w:pStyle w:val="Compact"/>
            </w:pPr>
            <w:r>
              <w:t xml:space="preserve">For CA Form 540</w:t>
            </w:r>
          </w:p>
        </w:tc>
      </w:tr>
    </w:tbl>
    <w:bookmarkEnd w:id="11"/>
    <w:bookmarkStart w:id="12" w:name="interest-treasury-income"/>
    <w:p>
      <w:pPr>
        <w:pStyle w:val="Heading3"/>
      </w:pPr>
      <w:r>
        <w:t xml:space="preserve">3.2 Interest &amp; Treasury Income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Federal Treatment</w:t>
            </w:r>
          </w:p>
        </w:tc>
        <w:tc>
          <w:tcPr/>
          <w:p>
            <w:pPr>
              <w:pStyle w:val="Compact"/>
            </w:pPr>
            <w:r>
              <w:t xml:space="preserve">California Treatment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Morgan Stanley Private Bank (1099-INT Box 1)</w:t>
            </w:r>
          </w:p>
        </w:tc>
        <w:tc>
          <w:tcPr/>
          <w:p>
            <w:pPr>
              <w:pStyle w:val="Compact"/>
            </w:pPr>
            <w:r>
              <w:t xml:space="preserve">Taxable</w:t>
            </w:r>
          </w:p>
        </w:tc>
        <w:tc>
          <w:tcPr/>
          <w:p>
            <w:pPr>
              <w:pStyle w:val="Compact"/>
            </w:pPr>
            <w:r>
              <w:t xml:space="preserve">Taxable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$51,015.32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 Morgan (Old Mission Ventures LLC acct)</w:t>
            </w:r>
          </w:p>
        </w:tc>
        <w:tc>
          <w:tcPr/>
          <w:p>
            <w:pPr>
              <w:pStyle w:val="Compact"/>
            </w:pPr>
            <w:r>
              <w:t xml:space="preserve">Taxable</w:t>
            </w:r>
          </w:p>
        </w:tc>
        <w:tc>
          <w:tcPr/>
          <w:p>
            <w:pPr>
              <w:pStyle w:val="Compact"/>
            </w:pPr>
            <w:r>
              <w:t xml:space="preserve">Taxable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$182,175.50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HSBC / Chase / Citi accounts</w:t>
            </w:r>
          </w:p>
        </w:tc>
        <w:tc>
          <w:tcPr/>
          <w:p>
            <w:pPr>
              <w:pStyle w:val="Compact"/>
            </w:pPr>
            <w:r>
              <w:t xml:space="preserve">Taxable</w:t>
            </w:r>
          </w:p>
        </w:tc>
        <w:tc>
          <w:tcPr/>
          <w:p>
            <w:pPr>
              <w:pStyle w:val="Compact"/>
            </w:pPr>
            <w:r>
              <w:t xml:space="preserve">Taxable</w:t>
            </w:r>
          </w:p>
        </w:tc>
        <w:tc>
          <w:tcPr/>
          <w:p>
            <w:pPr>
              <w:pStyle w:val="Compact"/>
            </w:pPr>
            <w:r>
              <w:t xml:space="preserve">$72.58 combined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– taxable bank interest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$233,263.40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U.S. Treasury coupon interest (Box 3)</w:t>
            </w:r>
          </w:p>
        </w:tc>
        <w:tc>
          <w:tcPr/>
          <w:p>
            <w:pPr>
              <w:pStyle w:val="Compact"/>
            </w:pPr>
            <w:r>
              <w:t xml:space="preserve">Taxable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Exempt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$92,695.31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Accrued market discount (Box 1f) on Treasuries</w:t>
            </w:r>
          </w:p>
        </w:tc>
        <w:tc>
          <w:tcPr/>
          <w:p>
            <w:pPr>
              <w:pStyle w:val="Compact"/>
            </w:pPr>
            <w:r>
              <w:t xml:space="preserve">Taxable as ordinary income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Exempt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$112,918.29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Accrued interest paid on purchases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Offset</w:t>
            </w:r>
            <w:r>
              <w:t xml:space="preserve"> </w:t>
            </w:r>
            <w:r>
              <w:t xml:space="preserve">to interest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($19,122.72)</w:t>
            </w:r>
          </w:p>
        </w:tc>
      </w:tr>
    </w:tbl>
    <w:p>
      <w:pPr>
        <w:pStyle w:val="BodyText"/>
      </w:pPr>
      <w:r>
        <w:rPr>
          <w:i/>
          <w:iCs/>
        </w:rPr>
        <w:t xml:space="preserve">Action:</w:t>
      </w:r>
      <w:r>
        <w:t xml:space="preserve"> </w:t>
      </w:r>
      <w:r>
        <w:t xml:space="preserve">Flag the $205,613.60 of Treasury-related income for California subtraction, and ensure the accrued-interest-paid offset is applied in the federal return.</w:t>
      </w:r>
    </w:p>
    <w:bookmarkEnd w:id="12"/>
    <w:bookmarkStart w:id="13" w:name="dividends-capital-items"/>
    <w:p>
      <w:pPr>
        <w:pStyle w:val="Heading3"/>
      </w:pPr>
      <w:r>
        <w:t xml:space="preserve">3.3 Dividends &amp; Capital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Ordinary Dividends</w:t>
            </w:r>
          </w:p>
        </w:tc>
        <w:tc>
          <w:tcPr/>
          <w:p>
            <w:pPr>
              <w:pStyle w:val="Compact"/>
            </w:pPr>
            <w:r>
              <w:t xml:space="preserve">Qualified Dividends</w:t>
            </w:r>
          </w:p>
        </w:tc>
        <w:tc>
          <w:tcPr/>
          <w:p>
            <w:pPr>
              <w:pStyle w:val="Compact"/>
            </w:pPr>
            <w:r>
              <w:t xml:space="preserve">Cap Gain Dist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Fidelity joint 75787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$86,392.85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Fidelity Hyun Ju 47460</w:t>
            </w:r>
          </w:p>
        </w:tc>
        <w:tc>
          <w:tcPr/>
          <w:p>
            <w:pPr>
              <w:pStyle w:val="Compact"/>
            </w:pPr>
            <w:r>
              <w:t xml:space="preserve">$2,120.54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Exempt interest $669.23; bond interest $340.95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Fidelity Eric 77275</w:t>
            </w:r>
          </w:p>
        </w:tc>
        <w:tc>
          <w:tcPr/>
          <w:p>
            <w:pPr>
              <w:pStyle w:val="Compact"/>
            </w:pPr>
            <w:r>
              <w:t xml:space="preserve">$1,456.92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$488.90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$1,754.64</w:t>
            </w:r>
          </w:p>
        </w:tc>
        <w:tc>
          <w:tcPr/>
          <w:p>
            <w:pPr>
              <w:pStyle w:val="Compact"/>
            </w:pPr>
            <w:r>
              <w:t xml:space="preserve">Short-term accrued $216.14; long-term accrued $15.98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Informatica RSU sale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 capital loss $50,526.54</w:t>
            </w:r>
            <w:r>
              <w:t xml:space="preserve"> </w:t>
            </w:r>
            <w:r>
              <w:t xml:space="preserve">(additional to existing carryforwards)</w:t>
            </w:r>
          </w:p>
        </w:tc>
      </w:tr>
    </w:tbl>
    <w:bookmarkEnd w:id="13"/>
    <w:bookmarkStart w:id="14" w:name="other-income"/>
    <w:p>
      <w:pPr>
        <w:pStyle w:val="Heading3"/>
      </w:pPr>
      <w:r>
        <w:t xml:space="preserve">3.4 Other Income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Mills pension (1099-R)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$5,817.84</w:t>
            </w:r>
          </w:p>
        </w:tc>
        <w:tc>
          <w:tcPr/>
          <w:p>
            <w:pPr>
              <w:pStyle w:val="Compact"/>
            </w:pPr>
            <w:r>
              <w:t xml:space="preserve">Fully taxable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California 2024 refund</w:t>
            </w:r>
          </w:p>
        </w:tc>
        <w:tc>
          <w:tcPr/>
          <w:p>
            <w:pPr>
              <w:pStyle w:val="Compact"/>
            </w:pPr>
            <w:r>
              <w:t xml:space="preserve">$182.63</w:t>
            </w:r>
          </w:p>
        </w:tc>
        <w:tc>
          <w:tcPr/>
          <w:p>
            <w:pPr>
              <w:pStyle w:val="Compact"/>
            </w:pPr>
            <w:r>
              <w:t xml:space="preserve">Include on federal return (state tax benefit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F (Old Mission Creek LLC)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($132,798.90)</w:t>
            </w:r>
            <w:r>
              <w:t xml:space="preserve"> </w:t>
            </w:r>
            <w:r>
              <w:t xml:space="preserve">per updated index</w:t>
            </w:r>
          </w:p>
        </w:tc>
        <w:tc>
          <w:tcPr/>
          <w:p>
            <w:pPr>
              <w:pStyle w:val="Compact"/>
            </w:pPr>
            <w:r>
              <w:t xml:space="preserve">Reflects Eric’s revised Schedule F entry (updated Mar 3,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E rentals (see Section 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loss $70,?</w:t>
            </w:r>
          </w:p>
        </w:tc>
        <w:tc>
          <w:tcPr/>
          <w:p>
            <w:pPr>
              <w:pStyle w:val="Compact"/>
            </w:pPr>
            <w:r>
              <w:t xml:space="preserve">Detailed below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rental-real-estate-operations"/>
    <w:p>
      <w:pPr>
        <w:pStyle w:val="Heading2"/>
      </w:pPr>
      <w:r>
        <w:t xml:space="preserve">4. Rental &amp; Real Estate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Gross Rent 2025</w:t>
            </w:r>
          </w:p>
        </w:tc>
        <w:tc>
          <w:tcPr/>
          <w:p>
            <w:pPr>
              <w:pStyle w:val="Compact"/>
            </w:pPr>
            <w:r>
              <w:t xml:space="preserve">Key Expenses</w:t>
            </w:r>
          </w:p>
        </w:tc>
        <w:tc>
          <w:tcPr/>
          <w:p>
            <w:pPr>
              <w:pStyle w:val="Compact"/>
            </w:pPr>
            <w:r>
              <w:t xml:space="preserve">Net Income (Loss)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Main St #209, Los Altos</w:t>
            </w:r>
          </w:p>
        </w:tc>
        <w:tc>
          <w:tcPr/>
          <w:p>
            <w:pPr>
              <w:pStyle w:val="Compact"/>
            </w:pPr>
            <w:r>
              <w:t xml:space="preserve">$72,000</w:t>
            </w:r>
          </w:p>
        </w:tc>
        <w:tc>
          <w:tcPr/>
          <w:p>
            <w:pPr>
              <w:pStyle w:val="Compact"/>
            </w:pPr>
            <w:r>
              <w:t xml:space="preserve">HOA dues $7,692; property tax $20,415; depreciation $48,376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($8,985.66)</w:t>
            </w:r>
          </w:p>
        </w:tc>
        <w:tc>
          <w:tcPr/>
          <w:p>
            <w:pPr>
              <w:pStyle w:val="Compact"/>
            </w:pPr>
            <w:r>
              <w:t xml:space="preserve">Tenant current; double HOA debit in Dec reconciles missing Nov payment. Ensure mortgage/HOA reclassifications hit Schedule 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3469 Old Mission Rd rental</w:t>
            </w:r>
          </w:p>
        </w:tc>
        <w:tc>
          <w:tcPr/>
          <w:p>
            <w:pPr>
              <w:pStyle w:val="Compact"/>
            </w:pPr>
            <w:r>
              <w:t xml:space="preserve">$18,132</w:t>
            </w:r>
          </w:p>
        </w:tc>
        <w:tc>
          <w:tcPr/>
          <w:p>
            <w:pPr>
              <w:pStyle w:val="Compact"/>
            </w:pPr>
            <w:r>
              <w:t xml:space="preserve">Soper Services repairs $47,172; property tax $9,163; depreciation $16,163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($54,364.75)</w:t>
            </w:r>
          </w:p>
        </w:tc>
        <w:tc>
          <w:tcPr/>
          <w:p>
            <w:pPr>
              <w:pStyle w:val="Compact"/>
            </w:pPr>
            <w:r>
              <w:t xml:space="preserve">Lease ended early Sept; $1,000/mo collection plan in 2026. Track security deposit accounting and partial rent for March/April discounts.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Harbor West Marina slip #108</w:t>
            </w:r>
          </w:p>
        </w:tc>
        <w:tc>
          <w:tcPr/>
          <w:p>
            <w:pPr>
              <w:pStyle w:val="Compact"/>
            </w:pPr>
            <w:r>
              <w:t xml:space="preserve">$4,200</w:t>
            </w:r>
          </w:p>
        </w:tc>
        <w:tc>
          <w:tcPr/>
          <w:p>
            <w:pPr>
              <w:pStyle w:val="Compact"/>
            </w:pPr>
            <w:r>
              <w:t xml:space="preserve">HOA assessments $1,185; slip taxes $1,329; depreciation $8,433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($6,746.69)</w:t>
            </w:r>
          </w:p>
        </w:tc>
        <w:tc>
          <w:tcPr/>
          <w:p>
            <w:pPr>
              <w:pStyle w:val="Compact"/>
            </w:pPr>
            <w:r>
              <w:t xml:space="preserve">Only half of 2025 slip rent collected; second installment due from tenant</w:t>
            </w:r>
            <w:r>
              <w:t xml:space="preserve"> </w:t>
            </w:r>
            <w:r>
              <w:t xml:space="preserve">“Scott”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6644 Peninsula Drive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Roof replacement capital outlay</w:t>
            </w:r>
            <w:r>
              <w:t xml:space="preserve"> </w:t>
            </w:r>
            <w:r>
              <w:rPr>
                <w:b/>
                <w:bCs/>
              </w:rPr>
              <w:t xml:space="preserve">$34,306.31</w:t>
            </w:r>
          </w:p>
        </w:tc>
        <w:tc>
          <w:tcPr/>
          <w:p>
            <w:pPr>
              <w:pStyle w:val="Compact"/>
            </w:pPr>
            <w:r>
              <w:t xml:space="preserve">(capitalized)</w:t>
            </w:r>
          </w:p>
        </w:tc>
        <w:tc>
          <w:tcPr/>
          <w:p>
            <w:pPr>
              <w:pStyle w:val="Compact"/>
            </w:pPr>
            <w:r>
              <w:t xml:space="preserve">No rental activity yet; classify roof as 27.5-year asset or repair as advised by Keystone.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 holdings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Property taxes for Clear Creek lot, PA land, marina slip, etc.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Taxes summarized in Section 6.</w:t>
            </w:r>
          </w:p>
        </w:tc>
      </w:tr>
    </w:tbl>
    <w:p>
      <w:pPr>
        <w:pStyle w:val="BodyText"/>
      </w:pPr>
      <w:r>
        <w:rPr>
          <w:i/>
          <w:iCs/>
        </w:rPr>
        <w:t xml:space="preserve">Passive loss carryforwards:</w:t>
      </w:r>
      <w:r>
        <w:t xml:space="preserve"> </w:t>
      </w:r>
      <w:r>
        <w:t xml:space="preserve">2025 activity adds ≈</w:t>
      </w:r>
      <w:r>
        <w:t xml:space="preserve"> </w:t>
      </w:r>
      <w:r>
        <w:rPr>
          <w:b/>
          <w:bCs/>
        </w:rPr>
        <w:t xml:space="preserve">$70k</w:t>
      </w:r>
      <w:r>
        <w:t xml:space="preserve"> </w:t>
      </w:r>
      <w:r>
        <w:t xml:space="preserve">of new passive losses (per Index), bringing total suspended PALs to ≈ $197k heading into 2026 (see prior memo). Document is ready for Keystone to slot into Form 8582.</w:t>
      </w:r>
    </w:p>
    <w:p>
      <w:r>
        <w:pict>
          <v:rect style="width:0;height:1.5pt" o:hralign="center" o:hrstd="t" o:hr="t"/>
        </w:pict>
      </w:r>
    </w:p>
    <w:bookmarkEnd w:id="16"/>
    <w:bookmarkStart w:id="17" w:name="farm-operations-old-mission-creek-llc"/>
    <w:p>
      <w:pPr>
        <w:pStyle w:val="Heading2"/>
      </w:pPr>
      <w:r>
        <w:t xml:space="preserve">5. Farm Operations (Old Mission Creek LLC)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Basis allocation:</w:t>
      </w:r>
      <w:r>
        <w:t xml:space="preserve"> </w:t>
      </w:r>
      <w:r>
        <w:t xml:space="preserve">48.96% of shared expenses allocated to farm vs. residence (per</w:t>
      </w:r>
      <w:r>
        <w:t xml:space="preserve"> </w:t>
      </w:r>
      <w:r>
        <w:rPr>
          <w:rStyle w:val="VerbatimChar"/>
        </w:rPr>
        <w:t xml:space="preserve">Farm Summary</w:t>
      </w:r>
      <w:r>
        <w:t xml:space="preserve"> </w:t>
      </w:r>
      <w:r>
        <w:t xml:space="preserve">tab).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2025 Schedule F results (updated):</w:t>
      </w:r>
    </w:p>
    <w:p>
      <w:pPr>
        <w:pStyle w:val="Compact"/>
        <w:numPr>
          <w:ilvl w:val="1"/>
          <w:numId w:val="1004"/>
        </w:numPr>
      </w:pPr>
      <w:r>
        <w:t xml:space="preserve">Revenue $136,261 vs. COGS $90,534 → gross profit $45,727.</w:t>
      </w:r>
    </w:p>
    <w:p>
      <w:pPr>
        <w:pStyle w:val="Compact"/>
        <w:numPr>
          <w:ilvl w:val="1"/>
          <w:numId w:val="1004"/>
        </w:numPr>
      </w:pPr>
      <w:r>
        <w:t xml:space="preserve">Operating expenses (labor, depreciation, insurance, interest, property tax, repairs, utilities, and newly booked harvest costs) now reflect Eric’s update, producing a</w:t>
      </w:r>
      <w:r>
        <w:t xml:space="preserve"> </w:t>
      </w:r>
      <w:r>
        <w:rPr>
          <w:b/>
          <w:bCs/>
        </w:rPr>
        <w:t xml:space="preserve">net farm loss of $132,798.90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Depreciation detail maintained for vines, wells, equipment, and structures; 2025 depreciation ≈ $76k across all classes (plus the incremental items that produced the revised loss).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Property taxes:</w:t>
      </w:r>
      <w:r>
        <w:t xml:space="preserve"> </w:t>
      </w:r>
      <w:r>
        <w:t xml:space="preserve">Farm parcels (Center Rd + main lot) total</w:t>
      </w:r>
      <w:r>
        <w:t xml:space="preserve"> </w:t>
      </w:r>
      <w:r>
        <w:rPr>
          <w:b/>
          <w:bCs/>
        </w:rPr>
        <w:t xml:space="preserve">$15,707</w:t>
      </w:r>
      <w:r>
        <w:t xml:space="preserve">, already split between personal and farm columns; confirm the 48.96% allocation is applied when Keystone books SALT vs. Schedule 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Solar project:</w:t>
      </w:r>
      <w:r>
        <w:t xml:space="preserve"> </w:t>
      </w:r>
      <w:r>
        <w:t xml:space="preserve">Completed at 3553 Old Mission Road for</w:t>
      </w:r>
      <w:r>
        <w:t xml:space="preserve"> </w:t>
      </w:r>
      <w:r>
        <w:rPr>
          <w:b/>
          <w:bCs/>
        </w:rPr>
        <w:t xml:space="preserve">$77,771.39</w:t>
      </w:r>
      <w:r>
        <w:t xml:space="preserve">; currently flagged in the Executive Summary tab. Confirm placement in fixed asset schedule (likely 5-year MACRS with bonus or energy credit consideration).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Loans &amp; interest:</w:t>
      </w:r>
      <w:r>
        <w:t xml:space="preserve"> </w:t>
      </w:r>
      <w:r>
        <w:t xml:space="preserve">Farm interest expense recorded at $12,131; mortgage interest for the personal allocation (expected ~$12k) still needs to be confirmed when the Morgan Stanley 1098 is retrieved.</w:t>
      </w:r>
    </w:p>
    <w:p>
      <w:pPr>
        <w:pStyle w:val="FirstParagraph"/>
      </w:pPr>
      <w:r>
        <w:rPr>
          <w:i/>
          <w:iCs/>
        </w:rPr>
        <w:t xml:space="preserve">Action:</w:t>
      </w:r>
      <w:r>
        <w:t xml:space="preserve"> </w:t>
      </w:r>
      <w:r>
        <w:t xml:space="preserve">Provide Keystone with the revised worksheet (showing the</w:t>
      </w:r>
      <w:r>
        <w:t xml:space="preserve"> </w:t>
      </w:r>
      <w:r>
        <w:rPr>
          <w:b/>
          <w:bCs/>
        </w:rPr>
        <w:t xml:space="preserve">$132,798.90</w:t>
      </w:r>
      <w:r>
        <w:t xml:space="preserve"> </w:t>
      </w:r>
      <w:r>
        <w:t xml:space="preserve">Schedule F loss) plus the invoices/allocations that changed so they can true up QBI, passive losses, and depreciation schedules in their software.</w:t>
      </w:r>
    </w:p>
    <w:p>
      <w:r>
        <w:pict>
          <v:rect style="width:0;height:1.5pt" o:hralign="center" o:hrstd="t" o:hr="t"/>
        </w:pict>
      </w:r>
    </w:p>
    <w:bookmarkEnd w:id="17"/>
    <w:bookmarkStart w:id="21" w:name="deductions-salt-exposure"/>
    <w:p>
      <w:pPr>
        <w:pStyle w:val="Heading2"/>
      </w:pPr>
      <w:r>
        <w:t xml:space="preserve">6. Deductions &amp; SALT Exposure</w:t>
      </w:r>
    </w:p>
    <w:bookmarkStart w:id="18" w:name="property-taxes"/>
    <w:p>
      <w:pPr>
        <w:pStyle w:val="Heading3"/>
      </w:pPr>
      <w:r>
        <w:t xml:space="preserve">6.1 Property Taxes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Parcel / Use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Return 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 James Ave (primary)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$104,136.70</w:t>
            </w:r>
          </w:p>
        </w:tc>
        <w:tc>
          <w:tcPr/>
          <w:p>
            <w:pPr>
              <w:pStyle w:val="Compact"/>
            </w:pPr>
            <w:r>
              <w:t xml:space="preserve">Schedule A (capped to $40k combined SALT)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Main St rental</w:t>
            </w:r>
          </w:p>
        </w:tc>
        <w:tc>
          <w:tcPr/>
          <w:p>
            <w:pPr>
              <w:pStyle w:val="Compact"/>
            </w:pPr>
            <w:r>
              <w:t xml:space="preserve">$20,415.84</w:t>
            </w:r>
          </w:p>
        </w:tc>
        <w:tc>
          <w:tcPr/>
          <w:p>
            <w:pPr>
              <w:pStyle w:val="Compact"/>
            </w:pPr>
            <w:r>
              <w:t xml:space="preserve">Schedule E (fully deductible)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3469 Old Mission rental</w:t>
            </w:r>
          </w:p>
        </w:tc>
        <w:tc>
          <w:tcPr/>
          <w:p>
            <w:pPr>
              <w:pStyle w:val="Compact"/>
            </w:pPr>
            <w:r>
              <w:t xml:space="preserve">$9,162.85</w:t>
            </w:r>
          </w:p>
        </w:tc>
        <w:tc>
          <w:tcPr/>
          <w:p>
            <w:pPr>
              <w:pStyle w:val="Compact"/>
            </w:pPr>
            <w:r>
              <w:t xml:space="preserve">Schedule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3553 Old Mission farm (pro-rated)</w:t>
            </w:r>
          </w:p>
        </w:tc>
        <w:tc>
          <w:tcPr/>
          <w:p>
            <w:pPr>
              <w:pStyle w:val="Compact"/>
            </w:pPr>
            <w:r>
              <w:t xml:space="preserve">$15,707.02</w:t>
            </w:r>
          </w:p>
        </w:tc>
        <w:tc>
          <w:tcPr/>
          <w:p>
            <w:pPr>
              <w:pStyle w:val="Compact"/>
            </w:pPr>
            <w:r>
              <w:t xml:space="preserve">Schedule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12755 S Marina slip</w:t>
            </w:r>
          </w:p>
        </w:tc>
        <w:tc>
          <w:tcPr/>
          <w:p>
            <w:pPr>
              <w:pStyle w:val="Compact"/>
            </w:pPr>
            <w:r>
              <w:t xml:space="preserve">$1,328.75</w:t>
            </w:r>
          </w:p>
        </w:tc>
        <w:tc>
          <w:tcPr/>
          <w:p>
            <w:pPr>
              <w:pStyle w:val="Compact"/>
            </w:pPr>
            <w:r>
              <w:t xml:space="preserve">Schedule E (Harbor West)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Creek lot</w:t>
            </w:r>
          </w:p>
        </w:tc>
        <w:tc>
          <w:tcPr/>
          <w:p>
            <w:pPr>
              <w:pStyle w:val="Compact"/>
            </w:pPr>
            <w:r>
              <w:t xml:space="preserve">$7,534.99</w:t>
            </w:r>
          </w:p>
        </w:tc>
        <w:tc>
          <w:tcPr/>
          <w:p>
            <w:pPr>
              <w:pStyle w:val="Compact"/>
            </w:pPr>
            <w:r>
              <w:t xml:space="preserve">Schedule A (investment property)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6644 / 6733 Peninsula lots &amp; PA land</w:t>
            </w:r>
          </w:p>
        </w:tc>
        <w:tc>
          <w:tcPr/>
          <w:p>
            <w:pPr>
              <w:pStyle w:val="Compact"/>
            </w:pPr>
            <w:r>
              <w:t xml:space="preserve">~$11,0??</w:t>
            </w:r>
          </w:p>
        </w:tc>
        <w:tc>
          <w:tcPr/>
          <w:p>
            <w:pPr>
              <w:pStyle w:val="Compact"/>
            </w:pPr>
            <w:r>
              <w:t xml:space="preserve">Allocate between Schedule A vs. capitalized basis per usage</w:t>
            </w:r>
          </w:p>
        </w:tc>
      </w:tr>
    </w:tbl>
    <w:p>
      <w:pPr>
        <w:pStyle w:val="BodyText"/>
      </w:pPr>
      <w:r>
        <w:rPr>
          <w:i/>
          <w:iCs/>
        </w:rPr>
        <w:t xml:space="preserve">Reminder:</w:t>
      </w:r>
      <w:r>
        <w:t xml:space="preserve"> </w:t>
      </w:r>
      <w:r>
        <w:t xml:space="preserve">Despite paying over $120k of personal-property tax, only</w:t>
      </w:r>
      <w:r>
        <w:t xml:space="preserve"> </w:t>
      </w:r>
      <w:r>
        <w:rPr>
          <w:b/>
          <w:bCs/>
        </w:rPr>
        <w:t xml:space="preserve">$40k</w:t>
      </w:r>
      <w:r>
        <w:t xml:space="preserve"> </w:t>
      </w:r>
      <w:r>
        <w:t xml:space="preserve">may be deducted federally because of the SALT cap (OBBBA rules). California still allows the full amount.</w:t>
      </w:r>
    </w:p>
    <w:bookmarkEnd w:id="18"/>
    <w:bookmarkStart w:id="19" w:name="mortgage-interest-insurance"/>
    <w:p>
      <w:pPr>
        <w:pStyle w:val="Heading3"/>
      </w:pPr>
      <w:r>
        <w:t xml:space="preserve">6.2 Mortgage Interest &amp; Insurance</w:t>
      </w:r>
    </w:p>
    <w:p>
      <w:pPr>
        <w:pStyle w:val="Compact"/>
        <w:numPr>
          <w:ilvl w:val="0"/>
          <w:numId w:val="1005"/>
        </w:numPr>
      </w:pPr>
      <w:r>
        <w:t xml:space="preserve">Morgan Stanley mortgage (Atherton) 1098 not yet downloaded; prior estimate uses</w:t>
      </w:r>
      <w:r>
        <w:t xml:space="preserve"> </w:t>
      </w:r>
      <w:r>
        <w:rPr>
          <w:b/>
          <w:bCs/>
        </w:rPr>
        <w:t xml:space="preserve">$55k</w:t>
      </w:r>
      <w:r>
        <w:t xml:space="preserve"> </w:t>
      </w:r>
      <w:r>
        <w:t xml:space="preserve">interest +</w:t>
      </w:r>
      <w:r>
        <w:t xml:space="preserve"> </w:t>
      </w:r>
      <w:r>
        <w:rPr>
          <w:b/>
          <w:bCs/>
        </w:rPr>
        <w:t xml:space="preserve">$12k</w:t>
      </w:r>
      <w:r>
        <w:t xml:space="preserve"> </w:t>
      </w:r>
      <w:r>
        <w:t xml:space="preserve">reclassified from farm mortgage (50% personal). Capture once Form 1098 is available.</w:t>
      </w:r>
    </w:p>
    <w:p>
      <w:pPr>
        <w:pStyle w:val="Compact"/>
        <w:numPr>
          <w:ilvl w:val="0"/>
          <w:numId w:val="1005"/>
        </w:numPr>
      </w:pPr>
      <w:r>
        <w:t xml:space="preserve">Insurance summary for farm &amp; boat policies documented; deductible allocations already tied into Schedules F and E.</w:t>
      </w:r>
    </w:p>
    <w:bookmarkEnd w:id="19"/>
    <w:bookmarkStart w:id="20" w:name="charitable-contributions"/>
    <w:p>
      <w:pPr>
        <w:pStyle w:val="Heading3"/>
      </w:pPr>
      <w:r>
        <w:t xml:space="preserve">6.3 Charitable Contributions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Gift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CLCC / Mitchell Thorp Foundation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deductible</w:t>
            </w:r>
            <w:r>
              <w:t xml:space="preserve"> </w:t>
            </w:r>
            <w:r>
              <w:t xml:space="preserve">(non-qualified pass-through)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Ravenswood Schools</w:t>
            </w:r>
          </w:p>
        </w:tc>
        <w:tc>
          <w:tcPr/>
          <w:p>
            <w:pPr>
              <w:pStyle w:val="Compact"/>
            </w:pPr>
            <w:r>
              <w:t xml:space="preserve">$1,030</w:t>
            </w:r>
          </w:p>
        </w:tc>
        <w:tc>
          <w:tcPr/>
          <w:p>
            <w:pPr>
              <w:pStyle w:val="Compact"/>
            </w:pPr>
            <w:r>
              <w:t xml:space="preserve">Schedule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SAIC (two entries)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Schedule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Mitchell Thorp Foundation via Old Mission Foundation</w:t>
            </w:r>
          </w:p>
        </w:tc>
        <w:tc>
          <w:tcPr/>
          <w:p>
            <w:pPr>
              <w:pStyle w:val="Compact"/>
            </w:pPr>
            <w:r>
              <w:t xml:space="preserve">$10,000 (Dec 19 check)</w:t>
            </w:r>
          </w:p>
        </w:tc>
        <w:tc>
          <w:tcPr/>
          <w:p>
            <w:pPr>
              <w:pStyle w:val="Compact"/>
            </w:pPr>
            <w:r>
              <w:t xml:space="preserve">Deductible at entity level; reconcile with Keystone due to ongoing IRS appeal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payments-expected-refunds"/>
    <w:p>
      <w:pPr>
        <w:pStyle w:val="Heading2"/>
      </w:pPr>
      <w:r>
        <w:t xml:space="preserve">7. Payments &amp; Expected Refunds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Payment Type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Federal estimates (Direct Pay)</w:t>
            </w:r>
          </w:p>
        </w:tc>
        <w:tc>
          <w:tcPr/>
          <w:p>
            <w:pPr>
              <w:pStyle w:val="Compact"/>
            </w:pPr>
            <w:r>
              <w:t xml:space="preserve">Sept 26, 2025</w:t>
            </w:r>
          </w:p>
        </w:tc>
        <w:tc>
          <w:tcPr/>
          <w:p>
            <w:pPr>
              <w:pStyle w:val="Compact"/>
            </w:pPr>
            <w:r>
              <w:t xml:space="preserve">$52,362 + $220,110</w:t>
            </w:r>
          </w:p>
        </w:tc>
        <w:tc>
          <w:tcPr/>
          <w:p>
            <w:pPr>
              <w:pStyle w:val="Compact"/>
            </w:pPr>
            <w:r>
              <w:t xml:space="preserve">Already posted to EFTPS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California estimate</w:t>
            </w:r>
          </w:p>
        </w:tc>
        <w:tc>
          <w:tcPr/>
          <w:p>
            <w:pPr>
              <w:pStyle w:val="Compact"/>
            </w:pPr>
            <w:r>
              <w:t xml:space="preserve">Sept 29, 2025</w:t>
            </w:r>
          </w:p>
        </w:tc>
        <w:tc>
          <w:tcPr/>
          <w:p>
            <w:pPr>
              <w:pStyle w:val="Compact"/>
            </w:pPr>
            <w:r>
              <w:t xml:space="preserve">$36,070</w:t>
            </w:r>
          </w:p>
        </w:tc>
        <w:tc>
          <w:tcPr/>
          <w:p>
            <w:pPr>
              <w:pStyle w:val="Compact"/>
            </w:pPr>
            <w:r>
              <w:t xml:space="preserve">Deductible on Schedule A but limited by SALT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W-2 withholding</w:t>
            </w:r>
          </w:p>
        </w:tc>
        <w:tc>
          <w:tcPr/>
          <w:p>
            <w:pPr>
              <w:pStyle w:val="Compact"/>
            </w:pPr>
            <w:r>
              <w:t xml:space="preserve">Throughout 2025</w:t>
            </w:r>
          </w:p>
        </w:tc>
        <w:tc>
          <w:tcPr/>
          <w:p>
            <w:pPr>
              <w:pStyle w:val="Compact"/>
            </w:pPr>
            <w:r>
              <w:t xml:space="preserve">$185,873</w:t>
            </w:r>
          </w:p>
        </w:tc>
        <w:tc>
          <w:tcPr/>
          <w:p>
            <w:pPr>
              <w:pStyle w:val="Compact"/>
            </w:pPr>
            <w:r>
              <w:t xml:space="preserve">From Cohesity payroll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balance paid (2024 return)</w:t>
            </w:r>
          </w:p>
        </w:tc>
        <w:tc>
          <w:tcPr/>
          <w:p>
            <w:pPr>
              <w:pStyle w:val="Compact"/>
            </w:pPr>
            <w:r>
              <w:t xml:space="preserve">April 2025</w:t>
            </w:r>
          </w:p>
        </w:tc>
        <w:tc>
          <w:tcPr/>
          <w:p>
            <w:pPr>
              <w:pStyle w:val="Compact"/>
            </w:pPr>
            <w:r>
              <w:t xml:space="preserve">$52,362</w:t>
            </w:r>
          </w:p>
        </w:tc>
        <w:tc>
          <w:tcPr/>
          <w:p>
            <w:pPr>
              <w:pStyle w:val="Compact"/>
            </w:pPr>
            <w:r>
              <w:t xml:space="preserve">Already cleared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Refund outlook (still estimates):</w:t>
      </w:r>
      <w:r>
        <w:t xml:space="preserve"> </w:t>
      </w:r>
      <w:r>
        <w:t xml:space="preserve">- Federal:</w:t>
      </w:r>
      <w:r>
        <w:t xml:space="preserve"> </w:t>
      </w:r>
      <w:r>
        <w:rPr>
          <w:b/>
          <w:bCs/>
        </w:rPr>
        <w:t xml:space="preserve">$148k refund</w:t>
      </w:r>
      <w:r>
        <w:t xml:space="preserve"> </w:t>
      </w:r>
      <w:r>
        <w:t xml:space="preserve">before considering the optional Jan 15, 2026 $73k voucher.</w:t>
      </w:r>
      <w:r>
        <w:t xml:space="preserve"> </w:t>
      </w:r>
      <w:r>
        <w:t xml:space="preserve">- California:</w:t>
      </w:r>
      <w:r>
        <w:t xml:space="preserve"> </w:t>
      </w:r>
      <w:r>
        <w:rPr>
          <w:b/>
          <w:bCs/>
        </w:rPr>
        <w:t xml:space="preserve">$22–28k refund</w:t>
      </w:r>
      <w:r>
        <w:t xml:space="preserve"> </w:t>
      </w:r>
      <w:r>
        <w:t xml:space="preserve">once U.S. Treasury exemptions and large property-tax deductions flow through Form 540.</w:t>
      </w:r>
    </w:p>
    <w:p>
      <w:r>
        <w:pict>
          <v:rect style="width:0;height:1.5pt" o:hralign="center" o:hrstd="t" o:hr="t"/>
        </w:pict>
      </w:r>
    </w:p>
    <w:bookmarkEnd w:id="22"/>
    <w:bookmarkStart w:id="23" w:name="outstanding-items-recommendations"/>
    <w:p>
      <w:pPr>
        <w:pStyle w:val="Heading2"/>
      </w:pPr>
      <w:r>
        <w:t xml:space="preserve">8. Outstanding Items &amp; Recommendations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Final 1099/1098 packets:</w:t>
      </w:r>
      <w:r>
        <w:t xml:space="preserve"> </w:t>
      </w:r>
      <w:r>
        <w:t xml:space="preserve">Morgan Stanley 1098, Bernstein consolidated 1099, Fidelity/E*TRADE detailed 1099-B for Cohesity &amp; Tanium transactions, and any JP Morgan statements still pending.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Schedule K-1s:</w:t>
      </w:r>
      <w:r>
        <w:t xml:space="preserve"> </w:t>
      </w:r>
      <w:r>
        <w:t xml:space="preserve">Old Mission Foundation LLC, Old Mission Ventures LLC, and any other partnerships/trusts. Needed for passive activity and charitable adjustments.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Farm loss documentation:</w:t>
      </w:r>
      <w:r>
        <w:t xml:space="preserve"> </w:t>
      </w:r>
      <w:r>
        <w:t xml:space="preserve">Provide Keystone with the updated Schedule F support showing the $132,798.90 loss so they can true up QBI, passive losses, and depreciation schedules.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Rental follow-up:</w:t>
      </w:r>
      <w:r>
        <w:t xml:space="preserve"> </w:t>
      </w:r>
      <w:r>
        <w:t xml:space="preserve">Document the $1,000/month settlement from the 3469 tenant (begins 2026) so Keystone can set up receivables and suspended losses correctly.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SALT tracking:</w:t>
      </w:r>
      <w:r>
        <w:t xml:space="preserve"> </w:t>
      </w:r>
      <w:r>
        <w:t xml:space="preserve">Confirm with Keystone how the $40k cap is being allocated (recommend prioritizing CA income taxes + primary home tax, leaving the balance to feed Schedules E/F).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IRS appeal coordination:</w:t>
      </w:r>
      <w:r>
        <w:t xml:space="preserve"> </w:t>
      </w:r>
      <w:r>
        <w:t xml:space="preserve">Continue working with Kalicki Collier + Keystone regarding the Old Mission Foundation charitable case; any resolution could alter 2021–2023 carryforwards.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Deliverables to Keystone:</w:t>
      </w:r>
      <w:r>
        <w:t xml:space="preserve"> </w:t>
      </w:r>
      <w:r>
        <w:t xml:space="preserve">Provide this memo, the Excel index, PDFs already in Dropbox, plus any remaining statements, so they can finalize the 2025 Form 1040 package and e-file on schedule.</w:t>
      </w:r>
    </w:p>
    <w:p>
      <w:r>
        <w:pict>
          <v:rect style="width:0;height:1.5pt" o:hralign="center" o:hrstd="t" o:hr="t"/>
        </w:pict>
      </w:r>
    </w:p>
    <w:bookmarkEnd w:id="23"/>
    <w:bookmarkStart w:id="26" w:name="appendix-quick-reference-tables"/>
    <w:p>
      <w:pPr>
        <w:pStyle w:val="Heading2"/>
      </w:pPr>
      <w:r>
        <w:t xml:space="preserve">9. Appendix – Quick Reference Tables</w:t>
      </w:r>
    </w:p>
    <w:bookmarkStart w:id="24" w:name="passive-loss-snapshot"/>
    <w:p>
      <w:pPr>
        <w:pStyle w:val="Heading3"/>
      </w:pPr>
      <w:r>
        <w:t xml:space="preserve">9.1 Passive Loss Snapshot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Carryforward entering 2025</w:t>
            </w:r>
          </w:p>
        </w:tc>
        <w:tc>
          <w:tcPr/>
          <w:p>
            <w:pPr>
              <w:pStyle w:val="Compact"/>
            </w:pPr>
            <w:r>
              <w:t xml:space="preserve">2025 activity</w:t>
            </w:r>
          </w:p>
        </w:tc>
        <w:tc>
          <w:tcPr/>
          <w:p>
            <w:pPr>
              <w:pStyle w:val="Compact"/>
            </w:pPr>
            <w:r>
              <w:t xml:space="preserve">Expected carryforward to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loss (federal)</w:t>
            </w:r>
          </w:p>
        </w:tc>
        <w:tc>
          <w:tcPr/>
          <w:p>
            <w:pPr>
              <w:pStyle w:val="Compact"/>
            </w:pPr>
            <w:r>
              <w:t xml:space="preserve">$595,390</w:t>
            </w:r>
          </w:p>
        </w:tc>
        <w:tc>
          <w:tcPr/>
          <w:p>
            <w:pPr>
              <w:pStyle w:val="Compact"/>
            </w:pPr>
            <w:r>
              <w:t xml:space="preserve">($3,000) used</w:t>
            </w:r>
          </w:p>
        </w:tc>
        <w:tc>
          <w:tcPr/>
          <w:p>
            <w:pPr>
              <w:pStyle w:val="Compact"/>
            </w:pPr>
            <w:r>
              <w:t xml:space="preserve">~$642,917 (post Informatica LTCL)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Passive activity losses</w:t>
            </w:r>
          </w:p>
        </w:tc>
        <w:tc>
          <w:tcPr/>
          <w:p>
            <w:pPr>
              <w:pStyle w:val="Compact"/>
            </w:pPr>
            <w:r>
              <w:t xml:space="preserve">$127,068</w:t>
            </w:r>
          </w:p>
        </w:tc>
        <w:tc>
          <w:tcPr/>
          <w:p>
            <w:pPr>
              <w:pStyle w:val="Compact"/>
            </w:pPr>
            <w:r>
              <w:t xml:space="preserve">+$70k (2025 rentals)</w:t>
            </w:r>
          </w:p>
        </w:tc>
        <w:tc>
          <w:tcPr/>
          <w:p>
            <w:pPr>
              <w:pStyle w:val="Compact"/>
            </w:pPr>
            <w:r>
              <w:t xml:space="preserve">≈$197k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 loss carryforward</w:t>
            </w:r>
          </w:p>
        </w:tc>
        <w:tc>
          <w:tcPr/>
          <w:p>
            <w:pPr>
              <w:pStyle w:val="Compact"/>
            </w:pPr>
            <w:r>
              <w:t xml:space="preserve">$115,801</w:t>
            </w:r>
          </w:p>
        </w:tc>
        <w:tc>
          <w:tcPr/>
          <w:p>
            <w:pPr>
              <w:pStyle w:val="Compact"/>
            </w:pPr>
            <w:r>
              <w:t xml:space="preserve">+$132,798.90 Schedule F loss (2025 update) + rental losses</w:t>
            </w:r>
          </w:p>
        </w:tc>
        <w:tc>
          <w:tcPr/>
          <w:p>
            <w:pPr>
              <w:pStyle w:val="Compact"/>
            </w:pPr>
            <w:r>
              <w:t xml:space="preserve">≈$248k+ (awaiting Keystone final)</w:t>
            </w:r>
          </w:p>
        </w:tc>
      </w:tr>
    </w:tbl>
    <w:bookmarkEnd w:id="24"/>
    <w:bookmarkStart w:id="25" w:name="contact-workflow-checklist"/>
    <w:p>
      <w:pPr>
        <w:pStyle w:val="Heading3"/>
      </w:pPr>
      <w:r>
        <w:t xml:space="preserve">9.2 Contact / Workflow Checklist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Tax preparer:</w:t>
      </w:r>
      <w:r>
        <w:t xml:space="preserve"> </w:t>
      </w:r>
      <w:r>
        <w:t xml:space="preserve">Keystone CPA – Christy Moore / Michael Bosma / Lawrence Balanovsky.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owners:</w:t>
      </w:r>
      <w:r>
        <w:t xml:space="preserve"> </w:t>
      </w:r>
      <w:r>
        <w:t xml:space="preserve">Eric Brown, Hyun Ju Park.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Jarvis next action:</w:t>
      </w:r>
      <w:r>
        <w:t xml:space="preserve"> </w:t>
      </w:r>
      <w:r>
        <w:t xml:space="preserve">Await any follow-up questions, upload missing statements upon receipt, and coordinate final email package once Keystone confirms readiness.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with reference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/2025 Taxes/Index for 2025 Taxes.xlsx</w:t>
      </w:r>
      <w:r>
        <w:rPr>
          <w:i/>
          <w:iCs/>
        </w:rPr>
        <w:t xml:space="preserve"> </w:t>
      </w:r>
      <w:r>
        <w:rPr>
          <w:i/>
          <w:iCs/>
        </w:rPr>
        <w:t xml:space="preserve">(exported March 3, 2026) and supporting PDFs in Dropbox. All figures subject to revision upon receipt of final 1099, 1098, and K-1 documents.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2026-03-04T04:48:29Z</dcterms:created>
  <dcterms:modified xsi:type="dcterms:W3CDTF">2026-03-04T04:48:29Z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