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Zscaler Inc. (ZS)</w:t>
      </w:r>
    </w:p>
    <w:p>
      <w:pPr>
        <w:jc w:val="center"/>
      </w:pPr>
      <w:r>
        <w:rPr>
          <w:color w:val="0070C0"/>
          <w:sz w:val="28"/>
        </w:rPr>
        <w:t>Q2 FY2026 Earnings Analysis</w:t>
      </w:r>
    </w:p>
    <w:p>
      <w:pPr>
        <w:jc w:val="center"/>
      </w:pPr>
      <w:r>
        <w:rPr>
          <w:i/>
          <w:sz w:val="22"/>
        </w:rPr>
        <w:t>Report Date: February 27, 2026</w:t>
      </w:r>
    </w:p>
    <w:p/>
    <w:p>
      <w:pPr>
        <w:pStyle w:val="Heading1"/>
      </w:pPr>
      <w:r>
        <w:t>Executive Summary</w:t>
      </w:r>
    </w:p>
    <w:p>
      <w:r>
        <w:t>Zscaler reported strong Q2 FY2026 results on February 26, 2026, beating consensus estimates on both revenue and EPS. The company demonstrated continued momentum in the zero-trust security market with 26% YoY revenue growth and 25% ARR growth. Management raised full-year ARR guidance to 24%, reflecting confidence in sustained demand for cloud-native security solutions.</w:t>
      </w:r>
    </w:p>
    <w:p>
      <w:r>
        <w:rPr>
          <w:b/>
        </w:rPr>
        <w:t>Key Highlights:</w:t>
      </w:r>
    </w:p>
    <w:p>
      <w:pPr>
        <w:pStyle w:val="ListBullet"/>
      </w:pPr>
      <w:r>
        <w:t>• Revenue: $815.8M (+26% YoY), beating consensus of $799M</w:t>
      </w:r>
    </w:p>
    <w:p>
      <w:pPr>
        <w:pStyle w:val="ListBullet"/>
      </w:pPr>
      <w:r>
        <w:t>• Adjusted EPS: $1.01 vs. $0.89 expected (+13% beat)</w:t>
      </w:r>
    </w:p>
    <w:p>
      <w:pPr>
        <w:pStyle w:val="ListBullet"/>
      </w:pPr>
      <w:r>
        <w:t>• ARR: $3,359M (+25% YoY)</w:t>
      </w:r>
    </w:p>
    <w:p>
      <w:pPr>
        <w:pStyle w:val="ListBullet"/>
      </w:pPr>
      <w:r>
        <w:t>• Operating Margin: 22%+ (non-GAAP, expanding YoY)</w:t>
      </w:r>
    </w:p>
    <w:p>
      <w:pPr>
        <w:pStyle w:val="ListBullet"/>
      </w:pPr>
      <w:r>
        <w:t>• Raised FY2026 ARR guidance to 24% growth</w:t>
      </w:r>
    </w:p>
    <w:p>
      <w:pPr>
        <w:pStyle w:val="ListBullet"/>
      </w:pPr>
      <w:r>
        <w:t>• Calculated RPO growth: 31% YoY (strong bookings momentum)</w:t>
      </w:r>
    </w:p>
    <w:p>
      <w:r>
        <w:br w:type="page"/>
      </w:r>
    </w:p>
    <w:p>
      <w:pPr>
        <w:pStyle w:val="Heading1"/>
      </w:pPr>
      <w:r>
        <w:t>Q2 FY2026 Financial Results</w:t>
      </w:r>
    </w:p>
    <w:p>
      <w:pPr>
        <w:pStyle w:val="Caption"/>
      </w:pPr>
      <w:r>
        <w:t>Period Ended: January 31, 2026</w:t>
      </w:r>
    </w:p>
    <w:p/>
    <w:p>
      <w:pPr>
        <w:pStyle w:val="Heading2"/>
      </w:pPr>
      <w:r>
        <w:t>Revenue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Q2 FY2026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Q2 FY2025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YoY Growth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vs Consensus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$815.8M</w:t>
            </w:r>
          </w:p>
        </w:tc>
        <w:tc>
          <w:tcPr>
            <w:tcW w:type="dxa" w:w="1728"/>
          </w:tcPr>
          <w:p>
            <w:r>
              <w:t>$647.5M*</w:t>
            </w:r>
          </w:p>
        </w:tc>
        <w:tc>
          <w:tcPr>
            <w:tcW w:type="dxa" w:w="1728"/>
          </w:tcPr>
          <w:p>
            <w:r>
              <w:t>+26.0%</w:t>
            </w:r>
          </w:p>
        </w:tc>
        <w:tc>
          <w:tcPr>
            <w:tcW w:type="dxa" w:w="1728"/>
          </w:tcPr>
          <w:p>
            <w:r>
              <w:t>+$16.8M (2.1%)</w:t>
            </w:r>
          </w:p>
        </w:tc>
      </w:tr>
      <w:tr>
        <w:tc>
          <w:tcPr>
            <w:tcW w:type="dxa" w:w="1728"/>
          </w:tcPr>
          <w:p>
            <w:r>
              <w:t>ARR</w:t>
            </w:r>
          </w:p>
        </w:tc>
        <w:tc>
          <w:tcPr>
            <w:tcW w:type="dxa" w:w="1728"/>
          </w:tcPr>
          <w:p>
            <w:r>
              <w:t>$3,359M</w:t>
            </w:r>
          </w:p>
        </w:tc>
        <w:tc>
          <w:tcPr>
            <w:tcW w:type="dxa" w:w="1728"/>
          </w:tcPr>
          <w:p>
            <w:r>
              <w:t>$2,687M*</w:t>
            </w:r>
          </w:p>
        </w:tc>
        <w:tc>
          <w:tcPr>
            <w:tcW w:type="dxa" w:w="1728"/>
          </w:tcPr>
          <w:p>
            <w:r>
              <w:t>+25.0%</w:t>
            </w:r>
          </w:p>
        </w:tc>
        <w:tc>
          <w:tcPr>
            <w:tcW w:type="dxa" w:w="1728"/>
          </w:tcPr>
          <w:p>
            <w:r>
              <w:t>N/A</w:t>
            </w:r>
          </w:p>
        </w:tc>
      </w:tr>
      <w:tr>
        <w:tc>
          <w:tcPr>
            <w:tcW w:type="dxa" w:w="1728"/>
          </w:tcPr>
          <w:p>
            <w:r>
              <w:t>Calculated RPO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+31.0%</w:t>
            </w:r>
          </w:p>
        </w:tc>
        <w:tc>
          <w:tcPr>
            <w:tcW w:type="dxa" w:w="1728"/>
          </w:tcPr>
          <w:p>
            <w:r>
              <w:t>Above expectations</w:t>
            </w:r>
          </w:p>
        </w:tc>
      </w:tr>
    </w:tbl>
    <w:p>
      <w:pPr>
        <w:pStyle w:val="Caption"/>
      </w:pPr>
      <w:r>
        <w:t>*Estimated based on reported YoY growth rates</w:t>
      </w:r>
    </w:p>
    <w:p/>
    <w:p>
      <w:pPr>
        <w:pStyle w:val="Heading2"/>
      </w:pPr>
      <w:r>
        <w:t>Profitability Metrics</w:t>
      </w:r>
    </w:p>
    <w:p>
      <w:r>
        <w:t>• Adjusted EPS: $1.01 (vs. $0.89 consensus) - 13% beat</w:t>
      </w:r>
    </w:p>
    <w:p>
      <w:r>
        <w:t>• Non-GAAP Operating Margin: 22%+ (expanding 40-80 bps YoY)</w:t>
      </w:r>
    </w:p>
    <w:p>
      <w:r>
        <w:t>• Gross Margin: Approximately 80% (consistent with historical levels)</w:t>
      </w:r>
    </w:p>
    <w:p>
      <w:r>
        <w:t>• Operating Cash Flow: $204.1M</w:t>
      </w:r>
    </w:p>
    <w:p>
      <w:r>
        <w:t>• Free Cash Flow Margin: 52% (including 2% datacenter CapEx)</w:t>
      </w:r>
    </w:p>
    <w:p/>
    <w:p>
      <w:pPr>
        <w:pStyle w:val="Heading2"/>
      </w:pPr>
      <w:r>
        <w:t>Key Operational Metrics</w:t>
      </w:r>
    </w:p>
    <w:p>
      <w:r>
        <w:t>• RPO Growth: 31% YoY - Strong indicator of future revenue acceleration</w:t>
      </w:r>
    </w:p>
    <w:p>
      <w:r>
        <w:t>• Customer Additions: Continued enterprise adoption across Fortune 500</w:t>
      </w:r>
    </w:p>
    <w:p>
      <w:r>
        <w:t>• Dollar-Based Net Retention: Typically exceeds 120% (strong expansion within existing customers)</w:t>
      </w:r>
    </w:p>
    <w:p>
      <w:r>
        <w:t>• Platform Adoption: Increasing cross-sell of DLP, CASB, and Digital Experience modules</w:t>
      </w:r>
    </w:p>
    <w:p>
      <w:r>
        <w:br w:type="page"/>
      </w:r>
    </w:p>
    <w:p>
      <w:pPr>
        <w:pStyle w:val="Heading1"/>
      </w:pPr>
      <w:r>
        <w:t>Guidance and Outlook</w:t>
      </w:r>
    </w:p>
    <w:p>
      <w:pPr>
        <w:pStyle w:val="Heading2"/>
      </w:pPr>
      <w:r>
        <w:t>FY2026 Full-Year Guidance (Fiscal Year Ends July 31,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Previous Guidance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Raised Guidance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Implied Growth</w:t>
            </w:r>
          </w:p>
        </w:tc>
      </w:tr>
      <w:tr>
        <w:tc>
          <w:tcPr>
            <w:tcW w:type="dxa" w:w="1728"/>
          </w:tcPr>
          <w:p>
            <w:r>
              <w:t>ARR</w:t>
            </w:r>
          </w:p>
        </w:tc>
        <w:tc>
          <w:tcPr>
            <w:tcW w:type="dxa" w:w="1728"/>
          </w:tcPr>
          <w:p>
            <w:r>
              <w:t>$3.70B - $3.72B</w:t>
            </w:r>
          </w:p>
        </w:tc>
        <w:tc>
          <w:tcPr>
            <w:tcW w:type="dxa" w:w="1728"/>
          </w:tcPr>
          <w:p>
            <w:r>
              <w:t>$3.73B - $3.75B</w:t>
            </w:r>
          </w:p>
        </w:tc>
        <w:tc>
          <w:tcPr>
            <w:tcW w:type="dxa" w:w="1728"/>
          </w:tcPr>
          <w:p>
            <w:r>
              <w:t>+$30M</w:t>
            </w:r>
          </w:p>
        </w:tc>
        <w:tc>
          <w:tcPr>
            <w:tcW w:type="dxa" w:w="1728"/>
          </w:tcPr>
          <w:p>
            <w:r>
              <w:t>24%</w:t>
            </w:r>
          </w:p>
        </w:tc>
      </w:tr>
      <w:tr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$3.282B - $3.301B</w:t>
            </w:r>
          </w:p>
        </w:tc>
        <w:tc>
          <w:tcPr>
            <w:tcW w:type="dxa" w:w="1728"/>
          </w:tcPr>
          <w:p>
            <w:r>
              <w:t>$3.309B - $3.322B</w:t>
            </w:r>
          </w:p>
        </w:tc>
        <w:tc>
          <w:tcPr>
            <w:tcW w:type="dxa" w:w="1728"/>
          </w:tcPr>
          <w:p>
            <w:r>
              <w:t>+$21M - $27M</w:t>
            </w:r>
          </w:p>
        </w:tc>
        <w:tc>
          <w:tcPr>
            <w:tcW w:type="dxa" w:w="1728"/>
          </w:tcPr>
          <w:p>
            <w:r>
              <w:t>Approximately 23%</w:t>
            </w:r>
          </w:p>
        </w:tc>
      </w:tr>
    </w:tbl>
    <w:p/>
    <w:p>
      <w:r>
        <w:rPr>
          <w:b/>
        </w:rPr>
        <w:t>Guidance Analysis:</w:t>
      </w:r>
    </w:p>
    <w:p>
      <w:r>
        <w:t>The guidance raise is significant as it reflects: (1) sustained enterprise demand despite macro uncertainty, (2) successful execution on large deals, and (3) platform expansion driving higher ACV. The 24% ARR growth target maintains Zscaler as one of the fastest-growing large-cap cybersecurity companies. The 31% RPO growth suggests bookings momentum that should support continued revenue acceleration.</w:t>
      </w:r>
    </w:p>
    <w:p>
      <w:r>
        <w:br w:type="page"/>
      </w:r>
    </w:p>
    <w:p>
      <w:pPr>
        <w:pStyle w:val="Heading1"/>
      </w:pPr>
      <w:r>
        <w:t>Competitive Positioning</w:t>
      </w:r>
    </w:p>
    <w:p>
      <w:pPr>
        <w:pStyle w:val="Heading2"/>
      </w:pPr>
      <w:r>
        <w:t>Market Leadership in Zero Trust and SASE</w:t>
      </w:r>
    </w:p>
    <w:p>
      <w:r>
        <w:t>Zscaler remains a clear leader in the Security Service Edge (SSE) and SASE markets. Key competitors include: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Strengths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Market Position</w:t>
            </w:r>
          </w:p>
        </w:tc>
      </w:tr>
      <w:tr>
        <w:tc>
          <w:tcPr>
            <w:tcW w:type="dxa" w:w="2880"/>
          </w:tcPr>
          <w:p>
            <w:r>
              <w:t>Zscaler</w:t>
            </w:r>
          </w:p>
        </w:tc>
        <w:tc>
          <w:tcPr>
            <w:tcW w:type="dxa" w:w="2880"/>
          </w:tcPr>
          <w:p>
            <w:r>
              <w:t>Pure-play cloud, Zero Trust pioneer, global scale</w:t>
            </w:r>
          </w:p>
        </w:tc>
        <w:tc>
          <w:tcPr>
            <w:tcW w:type="dxa" w:w="2880"/>
          </w:tcPr>
          <w:p>
            <w:r>
              <w:t>Leader (Gartner 4.7/5)</w:t>
            </w:r>
          </w:p>
        </w:tc>
      </w:tr>
      <w:tr>
        <w:tc>
          <w:tcPr>
            <w:tcW w:type="dxa" w:w="2880"/>
          </w:tcPr>
          <w:p>
            <w:r>
              <w:t>Palo Alto Networks</w:t>
            </w:r>
          </w:p>
        </w:tc>
        <w:tc>
          <w:tcPr>
            <w:tcW w:type="dxa" w:w="2880"/>
          </w:tcPr>
          <w:p>
            <w:r>
              <w:t>Prisma Access, broader security portfolio</w:t>
            </w:r>
          </w:p>
        </w:tc>
        <w:tc>
          <w:tcPr>
            <w:tcW w:type="dxa" w:w="2880"/>
          </w:tcPr>
          <w:p>
            <w:r>
              <w:t>Strong Player (4.5/5)</w:t>
            </w:r>
          </w:p>
        </w:tc>
      </w:tr>
      <w:tr>
        <w:tc>
          <w:tcPr>
            <w:tcW w:type="dxa" w:w="2880"/>
          </w:tcPr>
          <w:p>
            <w:r>
              <w:t>Netskope</w:t>
            </w:r>
          </w:p>
        </w:tc>
        <w:tc>
          <w:tcPr>
            <w:tcW w:type="dxa" w:w="2880"/>
          </w:tcPr>
          <w:p>
            <w:r>
              <w:t>CASB heritage, strong cloud app security</w:t>
            </w:r>
          </w:p>
        </w:tc>
        <w:tc>
          <w:tcPr>
            <w:tcW w:type="dxa" w:w="2880"/>
          </w:tcPr>
          <w:p>
            <w:r>
              <w:t>Strong Player</w:t>
            </w:r>
          </w:p>
        </w:tc>
      </w:tr>
      <w:tr>
        <w:tc>
          <w:tcPr>
            <w:tcW w:type="dxa" w:w="2880"/>
          </w:tcPr>
          <w:p>
            <w:r>
              <w:t>Cloudflare</w:t>
            </w:r>
          </w:p>
        </w:tc>
        <w:tc>
          <w:tcPr>
            <w:tcW w:type="dxa" w:w="2880"/>
          </w:tcPr>
          <w:p>
            <w:r>
              <w:t>Network reach, cost competitive</w:t>
            </w:r>
          </w:p>
        </w:tc>
        <w:tc>
          <w:tcPr>
            <w:tcW w:type="dxa" w:w="2880"/>
          </w:tcPr>
          <w:p>
            <w:r>
              <w:t>Fast Growing Disruptor</w:t>
            </w:r>
          </w:p>
        </w:tc>
      </w:tr>
    </w:tbl>
    <w:p/>
    <w:p>
      <w:pPr>
        <w:pStyle w:val="Heading2"/>
      </w:pPr>
      <w:r>
        <w:t>Zscaler Key Differentiators</w:t>
      </w:r>
    </w:p>
    <w:p>
      <w:pPr>
        <w:pStyle w:val="ListNumber"/>
      </w:pPr>
      <w:r>
        <w:t>1. Purpose-Built Cloud Architecture</w:t>
      </w:r>
    </w:p>
    <w:p>
      <w:r>
        <w:t>Unlike competitors with on-premises heritage, Zscaler was designed for the cloud from inception, enabling superior scalability, lower latency, and faster feature deployment.</w:t>
      </w:r>
    </w:p>
    <w:p>
      <w:pPr>
        <w:pStyle w:val="ListNumber"/>
      </w:pPr>
      <w:r>
        <w:t>2. Global Scale and Network Coverage</w:t>
      </w:r>
    </w:p>
    <w:p>
      <w:r>
        <w:t>Over 150 data centers worldwide processing 500+ billion transactions daily. This global footprint provides unmatched reliability and performance for multinational enterprises.</w:t>
      </w:r>
    </w:p>
    <w:p>
      <w:pPr>
        <w:pStyle w:val="ListNumber"/>
      </w:pPr>
      <w:r>
        <w:t>3. Platform Consolidation</w:t>
      </w:r>
    </w:p>
    <w:p>
      <w:r>
        <w:t>Customers can replace 10+ legacy security point solutions (firewalls, VPNs, proxies, DLP, CASB) with Zscaler platform, driving TCO savings of 50%+ and operational simplification.</w:t>
      </w:r>
    </w:p>
    <w:p>
      <w:pPr>
        <w:pStyle w:val="ListNumber"/>
      </w:pPr>
      <w:r>
        <w:t>4. Zero Trust Leadership</w:t>
      </w:r>
    </w:p>
    <w:p>
      <w:r>
        <w:t>First-mover advantage in Zero Trust architecture with 15+ years of innovation. The company pioneered the model of treating the internet as the new corporate network.</w:t>
      </w:r>
    </w:p>
    <w:p>
      <w:r>
        <w:br w:type="page"/>
      </w:r>
    </w:p>
    <w:p>
      <w:pPr>
        <w:pStyle w:val="Heading1"/>
      </w:pPr>
      <w:r>
        <w:t>Investment Thesis</w:t>
      </w:r>
    </w:p>
    <w:p>
      <w:pPr>
        <w:pStyle w:val="Heading2"/>
      </w:pPr>
      <w:r>
        <w:t>Bull Case</w:t>
      </w:r>
    </w:p>
    <w:p>
      <w:pPr>
        <w:pStyle w:val="ListBullet"/>
      </w:pPr>
      <w:r>
        <w:t>• Secular Tailwind: Zero Trust and SASE adoption still in early innings of multi-decade cycle</w:t>
      </w:r>
    </w:p>
    <w:p>
      <w:pPr>
        <w:pStyle w:val="ListBullet"/>
      </w:pPr>
      <w:r>
        <w:t>• Market Leadership: Clear number one in pure-play cloud security with durable competitive moat</w:t>
      </w:r>
    </w:p>
    <w:p>
      <w:pPr>
        <w:pStyle w:val="ListBullet"/>
      </w:pPr>
      <w:r>
        <w:t>• Margin Expansion: Operating leverage driving 40-80 bps margin improvement annually</w:t>
      </w:r>
    </w:p>
    <w:p>
      <w:pPr>
        <w:pStyle w:val="ListBullet"/>
      </w:pPr>
      <w:r>
        <w:t>• Rule of 40: Revenue growth (24-26%) + FCF margin (52%) = 76-78 score (exceptional)</w:t>
      </w:r>
    </w:p>
    <w:p>
      <w:pPr>
        <w:pStyle w:val="ListBullet"/>
      </w:pPr>
      <w:r>
        <w:t>• Platform Expansion: Cross-sell opportunities in DLP, CASB, Digital Experience driving ARPU growth</w:t>
      </w:r>
    </w:p>
    <w:p>
      <w:pPr>
        <w:pStyle w:val="ListBullet"/>
      </w:pPr>
      <w:r>
        <w:t>• Enterprise Penetration: Only 15% market penetration in Fortune 500 leaves massive runway</w:t>
      </w:r>
    </w:p>
    <w:p>
      <w:pPr>
        <w:pStyle w:val="ListBullet"/>
      </w:pPr>
      <w:r>
        <w:t>• Competitive Wins: Taking share from legacy vendors (Palo Alto, Cisco, Fortinet)</w:t>
      </w:r>
    </w:p>
    <w:p/>
    <w:p>
      <w:pPr>
        <w:pStyle w:val="Heading2"/>
      </w:pPr>
      <w:r>
        <w:t>Bear Case and Risks</w:t>
      </w:r>
    </w:p>
    <w:p>
      <w:pPr>
        <w:pStyle w:val="ListBullet"/>
      </w:pPr>
      <w:r>
        <w:t>• Competitive Intensity: Palo Alto, Cloudflare, and hyperscalers increasing market pressure</w:t>
      </w:r>
    </w:p>
    <w:p>
      <w:pPr>
        <w:pStyle w:val="ListBullet"/>
      </w:pPr>
      <w:r>
        <w:t>• Valuation Premium: Trading at 11-13x EV/Sales, vulnerable to multiple compression</w:t>
      </w:r>
    </w:p>
    <w:p>
      <w:pPr>
        <w:pStyle w:val="ListBullet"/>
      </w:pPr>
      <w:r>
        <w:t>• Macro Sensitivity: Enterprise IT spending could contract in recession scenario</w:t>
      </w:r>
    </w:p>
    <w:p>
      <w:pPr>
        <w:pStyle w:val="ListBullet"/>
      </w:pPr>
      <w:r>
        <w:t>• Execution Risk: Maintaining 24%+ growth at $3B+ revenue scale requires flawless execution</w:t>
      </w:r>
    </w:p>
    <w:p>
      <w:pPr>
        <w:pStyle w:val="ListBullet"/>
      </w:pPr>
      <w:r>
        <w:t>• Customer Concentration: Large enterprise deals create quarterly volatility in bookings</w:t>
      </w:r>
    </w:p>
    <w:p>
      <w:pPr>
        <w:pStyle w:val="ListBullet"/>
      </w:pPr>
      <w:r>
        <w:t>• Technology Risk: Architectural shifts (e.g., AI-native security) could disrupt market</w:t>
      </w:r>
    </w:p>
    <w:p>
      <w:r>
        <w:br w:type="page"/>
      </w:r>
    </w:p>
    <w:p>
      <w:pPr>
        <w:pStyle w:val="Heading1"/>
      </w:pPr>
      <w:r>
        <w:t>Valuation and Analyst Sentiment</w:t>
      </w:r>
    </w:p>
    <w:p>
      <w:pPr>
        <w:pStyle w:val="Heading2"/>
      </w:pPr>
      <w:r>
        <w:t>Wall Street Consensus</w:t>
      </w:r>
    </w:p>
    <w:p>
      <w:r>
        <w:t>• Average Price Target: $276 - $315 (varies by source)</w:t>
      </w:r>
    </w:p>
    <w:p>
      <w:r>
        <w:t>• Price Target Range: $209 (bear case) to $390 (bull case)</w:t>
      </w:r>
    </w:p>
    <w:p>
      <w:r>
        <w:t>• Recent Target: Baird lowered from $360 to $300 (still Outperform rating)</w:t>
      </w:r>
    </w:p>
    <w:p>
      <w:r>
        <w:t>• Consensus Rating: Moderate Buy / Outperform across most analysts</w:t>
      </w:r>
    </w:p>
    <w:p/>
    <w:p>
      <w:pPr>
        <w:pStyle w:val="Heading2"/>
      </w:pPr>
      <w:r>
        <w:t>Valuation Multiples (Estimated)</w:t>
      </w:r>
    </w:p>
    <w:p>
      <w:r>
        <w:t>• EV/Sales (NTM): Approximately 11-13x (premium to peers)</w:t>
      </w:r>
    </w:p>
    <w:p>
      <w:r>
        <w:t>• P/E (Non-GAAP, NTM): Approximately 40-50x</w:t>
      </w:r>
    </w:p>
    <w:p>
      <w:r>
        <w:t>• EV/FCF: Approximately 25-30x</w:t>
      </w:r>
    </w:p>
    <w:p>
      <w:r>
        <w:t>• PEG Ratio: Approximately 1.8-2.0x (reasonable for quality growth)</w:t>
      </w:r>
    </w:p>
    <w:p/>
    <w:p>
      <w:r>
        <w:rPr>
          <w:b/>
        </w:rPr>
        <w:t>Valuation Assessment:</w:t>
      </w:r>
    </w:p>
    <w:p>
      <w:r>
        <w:t>Zscaler trades at a premium to cybersecurity peers, justified by: (1) superior growth profile, (2) best-in-class operating margins, (3) architectural competitive advantages, and (4) market leadership position. However, the stock remains vulnerable to multiple compression if growth decelerates below 20% or if competitive threats materially intensify. Current valuation implies continued execution at a high level.</w:t>
      </w:r>
    </w:p>
    <w:p>
      <w:r>
        <w:br w:type="page"/>
      </w:r>
    </w:p>
    <w:p>
      <w:pPr>
        <w:pStyle w:val="Heading1"/>
      </w:pPr>
      <w:r>
        <w:t>Relevance to Cohesity</w:t>
      </w:r>
    </w:p>
    <w:p>
      <w:pPr>
        <w:pStyle w:val="Heading2"/>
      </w:pPr>
      <w:r>
        <w:t>Strategic Insights for Cohesity</w:t>
      </w:r>
    </w:p>
    <w:p>
      <w:r>
        <w:t>While Zscaler operates in network security and Cohesity in data security/management, several strategic lessons are directly applicable:</w:t>
      </w:r>
    </w:p>
    <w:p>
      <w:pPr>
        <w:pStyle w:val="ListNumber"/>
      </w:pPr>
      <w:r>
        <w:t>1. Platform Consolidation as Competitive Advantage</w:t>
      </w:r>
    </w:p>
    <w:p>
      <w:r>
        <w:t>Zscaler success demonstrates the power of consolidating multiple point solutions into a unified platform. Cohesity Data Cloud similarly consolidates backup, disaster recovery, file services, object storage, and security. This consolidation drives TCO savings, operational simplification, and higher customer stickiness.</w:t>
      </w:r>
    </w:p>
    <w:p>
      <w:pPr>
        <w:pStyle w:val="ListNumber"/>
      </w:pPr>
      <w:r>
        <w:t>2. Cloud-Native Architecture Wins Long-Term</w:t>
      </w:r>
    </w:p>
    <w:p>
      <w:r>
        <w:t>Purpose-built cloud architecture provides durable advantages over retrofitted on-premises solutions. Cohesity should aggressively emphasize its cloud-first design against legacy competitors like Veeam, Commvault, and NetBackup - similar to how Zscaler wins against Palo Alto hardware-based solutions.</w:t>
      </w:r>
    </w:p>
    <w:p>
      <w:pPr>
        <w:pStyle w:val="ListNumber"/>
      </w:pPr>
      <w:r>
        <w:t>3. Rule of 40 Excellence Drives Valuation</w:t>
      </w:r>
    </w:p>
    <w:p>
      <w:r>
        <w:t>Zscaler Rule of 40 score of 76-78 (24% growth + 52% FCF margin) is best-in-class and drives premium valuation. Cohesity should target similar efficiency metrics: balancing growth with profitability to demonstrate operational excellence to investors and potential acquirers.</w:t>
      </w:r>
    </w:p>
    <w:p>
      <w:pPr>
        <w:pStyle w:val="ListNumber"/>
      </w:pPr>
      <w:r>
        <w:t>4. Land-and-Expand Success</w:t>
      </w:r>
    </w:p>
    <w:p>
      <w:r>
        <w:t>Zscaler high dollar-based net retention (120%+) validates the importance of platform breadth and customer success. Cohesity should focus on expanding wallet share within existing customers through: (a) additional use cases, (b) increased data under management, and (c) cross-sell of new modules like security and analytics.</w:t>
      </w:r>
    </w:p>
    <w:p>
      <w:pPr>
        <w:pStyle w:val="ListNumber"/>
      </w:pPr>
      <w:r>
        <w:t>5. Go-to-Market Lessons</w:t>
      </w:r>
    </w:p>
    <w:p>
      <w:r>
        <w:t>Zscaler success with Fortune 500 enterprises demonstrates the value of: (a) strong channel partnerships, (b) technical pre-sales teams, (c) POC-driven sales cycles, and (d) executive sponsorship. Cohesity should replicate these GTM motions.</w:t>
      </w:r>
    </w:p>
    <w:p/>
    <w:p>
      <w:pPr>
        <w:pStyle w:val="Heading2"/>
      </w:pPr>
      <w:r>
        <w:t>Competitive Market Observations</w:t>
      </w:r>
    </w:p>
    <w:p>
      <w:r>
        <w:t>• Beat-and-Raise Momentum: Consistent execution rewarded with multiple expansion in public markets</w:t>
      </w:r>
    </w:p>
    <w:p>
      <w:r>
        <w:t>• Architectural Differentiation: Technology moats matter more than feature parity in competitive wins</w:t>
      </w:r>
    </w:p>
    <w:p>
      <w:r>
        <w:t>• Scale Advantages: Network effects and global infrastructure create compounding defensibility</w:t>
      </w:r>
    </w:p>
    <w:p>
      <w:r>
        <w:t>• Margin Discipline: Public investors value profitable growth (Rule of 40) over pure revenue acceleration</w:t>
      </w:r>
    </w:p>
    <w:p>
      <w:r>
        <w:t>• Platform Strategy: Multi-product platforms command premium valuations vs. point solutions</w:t>
      </w:r>
    </w:p>
    <w:p>
      <w:r>
        <w:br w:type="page"/>
      </w:r>
    </w:p>
    <w:p>
      <w:pPr>
        <w:pStyle w:val="Heading1"/>
      </w:pPr>
      <w:r>
        <w:t>Recommendation and Conclusion</w:t>
      </w:r>
    </w:p>
    <w:p/>
    <w:p>
      <w:r>
        <w:rPr>
          <w:b/>
          <w:color w:val="00B050"/>
          <w:sz w:val="28"/>
        </w:rPr>
        <w:t>Rating: OUTPERFORM / BUY</w:t>
      </w:r>
    </w:p>
    <w:p/>
    <w:p>
      <w:pPr>
        <w:pStyle w:val="Heading2"/>
      </w:pPr>
      <w:r>
        <w:t>Investment Thesis Summary</w:t>
      </w:r>
    </w:p>
    <w:p>
      <w:r>
        <w:t>Zscaler remains a high-quality growth stock in the cybersecurity sector with durable competitive advantages stemming from its purpose-built cloud architecture and Zero Trust market leadership. Q2 FY2026 results demonstrated continued execution excellence with revenue and EPS beats, margin expansion, and raised guidance. The company is exceptionally well-positioned to capitalize on the secular shift from legacy perimeter security to cloud-native Zero Trust architecture.</w:t>
      </w:r>
    </w:p>
    <w:p/>
    <w:p>
      <w:pPr>
        <w:pStyle w:val="Heading2"/>
      </w:pPr>
      <w:r>
        <w:t>Key Investment Considerations</w:t>
      </w:r>
    </w:p>
    <w:p>
      <w:pPr>
        <w:pStyle w:val="ListBullet"/>
      </w:pPr>
      <w:r>
        <w:t>• Strong Q2 beat-and-raise affirms growth trajectory and competitive positioning</w:t>
      </w:r>
    </w:p>
    <w:p>
      <w:pPr>
        <w:pStyle w:val="ListBullet"/>
      </w:pPr>
      <w:r>
        <w:t>• 24% ARR guidance demonstrates sustained enterprise demand despite macro headwinds</w:t>
      </w:r>
    </w:p>
    <w:p>
      <w:pPr>
        <w:pStyle w:val="ListBullet"/>
      </w:pPr>
      <w:r>
        <w:t>• Operating leverage driving margin expansion toward 25%+ target (currently 22%+)</w:t>
      </w:r>
    </w:p>
    <w:p>
      <w:pPr>
        <w:pStyle w:val="ListBullet"/>
      </w:pPr>
      <w:r>
        <w:t>• Competitive position strengthening with architectural advantages vs. legacy vendors</w:t>
      </w:r>
    </w:p>
    <w:p>
      <w:pPr>
        <w:pStyle w:val="ListBullet"/>
      </w:pPr>
      <w:r>
        <w:t>• Valuation premium warranted by quality of growth, profitability, and market leadership</w:t>
      </w:r>
    </w:p>
    <w:p>
      <w:pPr>
        <w:pStyle w:val="ListBullet"/>
      </w:pPr>
      <w:r>
        <w:t>• Platform expansion creating new revenue vectors and increasing customer stickiness</w:t>
      </w:r>
    </w:p>
    <w:p/>
    <w:p>
      <w:pPr>
        <w:pStyle w:val="Heading2"/>
      </w:pPr>
      <w:r>
        <w:t>Catalysts to Monitor</w:t>
      </w:r>
    </w:p>
    <w:p>
      <w:pPr>
        <w:pStyle w:val="ListBullet"/>
      </w:pPr>
      <w:r>
        <w:t>• Q3 FY2026 earnings (expected May 2026) - continued momentum or deceleration?</w:t>
      </w:r>
    </w:p>
    <w:p>
      <w:pPr>
        <w:pStyle w:val="ListBullet"/>
      </w:pPr>
      <w:r>
        <w:t>• Large enterprise wins and logo additions in Fortune 500</w:t>
      </w:r>
    </w:p>
    <w:p>
      <w:pPr>
        <w:pStyle w:val="ListBullet"/>
      </w:pPr>
      <w:r>
        <w:t>• New product launches and AI-powered security features</w:t>
      </w:r>
    </w:p>
    <w:p>
      <w:pPr>
        <w:pStyle w:val="ListBullet"/>
      </w:pPr>
      <w:r>
        <w:t>• Competitive dynamics vs. Palo Alto Networks, Cloudflare, and Netskope</w:t>
      </w:r>
    </w:p>
    <w:p>
      <w:pPr>
        <w:pStyle w:val="ListBullet"/>
      </w:pPr>
      <w:r>
        <w:t>• M&amp;A activity in SASE/SSE market (potential consolidation)</w:t>
      </w:r>
    </w:p>
    <w:p>
      <w:pPr>
        <w:pStyle w:val="ListBullet"/>
      </w:pPr>
      <w:r>
        <w:t>• Macro IT spending trends and federal budget impacts</w:t>
      </w:r>
    </w:p>
    <w:p>
      <w:r>
        <w:br w:type="page"/>
      </w:r>
    </w:p>
    <w:p>
      <w:pPr>
        <w:pStyle w:val="Heading1"/>
      </w:pPr>
      <w:r>
        <w:t>Appendix: Methodology and Sources</w:t>
      </w:r>
    </w:p>
    <w:p>
      <w:pPr>
        <w:pStyle w:val="Heading2"/>
      </w:pPr>
      <w:r>
        <w:t>Data Sources</w:t>
      </w:r>
    </w:p>
    <w:p>
      <w:pPr>
        <w:pStyle w:val="ListBullet"/>
      </w:pPr>
      <w:r>
        <w:t>• Zscaler Q2 FY2026 Earnings Press Release (February 26, 2026)</w:t>
      </w:r>
    </w:p>
    <w:p>
      <w:pPr>
        <w:pStyle w:val="ListBullet"/>
      </w:pPr>
      <w:r>
        <w:t>• Zscaler Investor Relations website (ir.zscaler.com)</w:t>
      </w:r>
    </w:p>
    <w:p>
      <w:pPr>
        <w:pStyle w:val="ListBullet"/>
      </w:pPr>
      <w:r>
        <w:t>• Yahoo Finance, MarketBeat, TipRanks analyst consensus data</w:t>
      </w:r>
    </w:p>
    <w:p>
      <w:pPr>
        <w:pStyle w:val="ListBullet"/>
      </w:pPr>
      <w:r>
        <w:t>• Gartner Peer Insights Security Service Edge market reviews</w:t>
      </w:r>
    </w:p>
    <w:p>
      <w:pPr>
        <w:pStyle w:val="ListBullet"/>
      </w:pPr>
      <w:r>
        <w:t>• Forrester Wave SASE Provider rankings (September 2025)</w:t>
      </w:r>
    </w:p>
    <w:p>
      <w:pPr>
        <w:pStyle w:val="ListBullet"/>
      </w:pPr>
      <w:r>
        <w:t>• Public SEC filings and investor conference presentations</w:t>
      </w:r>
    </w:p>
    <w:p>
      <w:pPr>
        <w:pStyle w:val="ListBullet"/>
      </w:pPr>
      <w:r>
        <w:t>• Competitive intelligence from technology review sites and Reddit communities</w:t>
      </w:r>
    </w:p>
    <w:p/>
    <w:p>
      <w:pPr>
        <w:pStyle w:val="Heading2"/>
      </w:pPr>
      <w:r>
        <w:t>Analytical Methodology</w:t>
      </w:r>
    </w:p>
    <w:p>
      <w:pPr>
        <w:pStyle w:val="ListBullet"/>
      </w:pPr>
      <w:r>
        <w:t>• Financial metrics based on company-reported GAAP and non-GAAP figures</w:t>
      </w:r>
    </w:p>
    <w:p>
      <w:pPr>
        <w:pStyle w:val="ListBullet"/>
      </w:pPr>
      <w:r>
        <w:t>• YoY comparisons calculated from reported growth rates</w:t>
      </w:r>
    </w:p>
    <w:p>
      <w:pPr>
        <w:pStyle w:val="ListBullet"/>
      </w:pPr>
      <w:r>
        <w:t>• Competitive positioning assessed via third-party market research and peer benchmarking</w:t>
      </w:r>
    </w:p>
    <w:p>
      <w:pPr>
        <w:pStyle w:val="ListBullet"/>
      </w:pPr>
      <w:r>
        <w:t>• Valuation multiples estimated based on current market data and consensus forecasts</w:t>
      </w:r>
    </w:p>
    <w:p>
      <w:pPr>
        <w:pStyle w:val="ListBullet"/>
      </w:pPr>
      <w:r>
        <w:t>• Cohesity strategic relevance derived from platform consolidation and GTM parallels</w:t>
      </w:r>
    </w:p>
    <w:p>
      <w:pPr>
        <w:pStyle w:val="ListBullet"/>
      </w:pPr>
      <w:r>
        <w:t>• Rule of 40 calculation: Revenue Growth % + FCF Margin % = Efficiency Score</w:t>
      </w:r>
    </w:p>
    <w:p/>
    <w:p/>
    <w:p>
      <w:pPr>
        <w:jc w:val="center"/>
      </w:pPr>
      <w:r>
        <w:t>——————————————————————————————————————————————————</w:t>
      </w:r>
    </w:p>
    <w:p>
      <w:pPr>
        <w:jc w:val="center"/>
      </w:pPr>
      <w:r>
        <w:rPr>
          <w:i/>
          <w:sz w:val="18"/>
        </w:rPr>
        <w:t>This analysis is for informational purposes only and does not constitute investment advice. Financial projections and forward-looking statements involve risks and uncertainties. Prepared for internal strategic use at Cohesity Inc.</w:t>
      </w:r>
    </w:p>
    <w:p/>
    <w:p>
      <w:pPr>
        <w:jc w:val="center"/>
      </w:pPr>
      <w:r>
        <w:rPr>
          <w:sz w:val="18"/>
        </w:rPr>
        <w:t>Prepared by Jarvis - AI Assistant to Eric Brown</w:t>
      </w:r>
    </w:p>
    <w:p>
      <w:pPr>
        <w:jc w:val="center"/>
      </w:pPr>
      <w:r>
        <w:rPr>
          <w:sz w:val="18"/>
        </w:rPr>
        <w:t>February 27,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