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ringcentral-board-prep-briefing"/>
    <w:p>
      <w:pPr>
        <w:pStyle w:val="Heading1"/>
      </w:pPr>
      <w:r>
        <w:t xml:space="preserve">RingCentral Board Prep Briefing</w:t>
      </w:r>
    </w:p>
    <w:p>
      <w:pPr>
        <w:pStyle w:val="FirstParagraph"/>
      </w:pPr>
      <w:r>
        <w:t xml:space="preserve">Prepared for: Eric Brown</w:t>
      </w:r>
      <w:r>
        <w:br/>
      </w:r>
      <w:r>
        <w:t xml:space="preserve">Date: March 19, 2026</w:t>
      </w:r>
      <w:r>
        <w:br/>
      </w:r>
      <w:r>
        <w:t xml:space="preserve">Sources: RingCentral investor relations home page (ir.ringcentral.com), RingCentral Q4 &amp; FY23 earnings release (Feb 20, 2024, corporate press site), RingCentral product/AI announcements</w:t>
      </w:r>
    </w:p>
    <w:p>
      <w:r>
        <w:pict>
          <v:rect style="width:0;height:1.5pt" o:hralign="center" o:hrstd="t" o:hr="t"/>
        </w:pict>
      </w:r>
    </w:p>
    <w:bookmarkStart w:id="9" w:name="executive-snapshot"/>
    <w:p>
      <w:pPr>
        <w:pStyle w:val="Heading2"/>
      </w:pPr>
      <w:r>
        <w:t xml:space="preserve">1. Executive Snapshot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Business</w:t>
      </w:r>
      <w:r>
        <w:t xml:space="preserve">: AI-driven cloud communications, contact center, video, and hybrid event solutions serving 100+ countries. FY23 revenue $2.20B (+11% YoY) with 96% recurring subscription mix.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Scale &amp; mix</w:t>
      </w:r>
      <w:r>
        <w:t xml:space="preserve">: Total ARR $2.33B (+11%), enterprise ARR &gt;$1.0B (+13%), mid-market &amp; enterprise ARR $1.46B (+12%).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Profitability &amp; cash</w:t>
      </w:r>
      <w:r>
        <w:t xml:space="preserve">: Non-GAAP operating margin expanded to 19.1% in FY23 (up 670 bps). Adjusted EBITDA $503M (22.8% margin). Operating cash flow $400M (18.1% of revenue); adj. unlevered FCF $325M (14.8%).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Strategic pivot</w:t>
      </w:r>
      <w:r>
        <w:t xml:space="preserve">:</w:t>
      </w:r>
      <w:r>
        <w:t xml:space="preserve"> </w:t>
      </w:r>
      <w:r>
        <w:t xml:space="preserve">“AI-first, multi-product”</w:t>
      </w:r>
      <w:r>
        <w:t xml:space="preserve"> </w:t>
      </w:r>
      <w:r>
        <w:t xml:space="preserve">roadmap anchored by RingSense™ AI platform, RingCX™ native contact center, and RingCentral Events (Hopin acquisition). Focus on durable, profitable growth.</w:t>
      </w:r>
    </w:p>
    <w:bookmarkEnd w:id="9"/>
    <w:bookmarkStart w:id="10" w:name="business-market-context"/>
    <w:p>
      <w:pPr>
        <w:pStyle w:val="Heading2"/>
      </w:pPr>
      <w:r>
        <w:t xml:space="preserve">2. Business &amp; Market Context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Core platform (RingEX/MVP)</w:t>
      </w:r>
      <w:r>
        <w:t xml:space="preserve">: Cloud UCaaS suite for voice, meetings, messaging. Differentiation in telephony depth, global footprint, and telco partnerships.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Adjacencies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RingCX™</w:t>
      </w:r>
      <w:r>
        <w:t xml:space="preserve">: Native AI-first contact center tightly integrated with MVP; disrupts legacy CCaaS pricing and simplifies deployment for mid-market.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RingCentral Events</w:t>
      </w:r>
      <w:r>
        <w:t xml:space="preserve">: Hybrid/virtual events platform (former Hopin) broadens engagement layer.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RingSense™ AI</w:t>
      </w:r>
      <w:r>
        <w:t xml:space="preserve">: Conversation intelligence framework that powers auto-summaries, follow-ups, CRM sync, and coaching across UC+CC products. Recent expansion includes open APIs and workflow builder.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Competitive landscape</w:t>
      </w:r>
      <w:r>
        <w:t xml:space="preserve">: Microsoft Teams, Zoom, Cisco Webex on UCaaS; Genesys, NICE, Five9 on CCaaS. Differentiation depends on AI-enabled workflows, telco-grade reliability, and partner ecosystem (Avaya, Vodafone, etc.).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Customer mix</w:t>
      </w:r>
      <w:r>
        <w:t xml:space="preserve">: Enterprise &amp; mid-market ARR now ~63% of total, reflecting pivot away from lower-margin SMB. Board focus: ensure enterprise momentum offsets SMB churn while maintaining profitability.</w:t>
      </w:r>
    </w:p>
    <w:bookmarkEnd w:id="10"/>
    <w:bookmarkStart w:id="14" w:name="financial-lens-q4-fy23"/>
    <w:p>
      <w:pPr>
        <w:pStyle w:val="Heading2"/>
      </w:pPr>
      <w:r>
        <w:t xml:space="preserve">3. Financial Lens (Q4 &amp; FY23)</w:t>
      </w:r>
    </w:p>
    <w:bookmarkStart w:id="11" w:name="q4-2023-highlights"/>
    <w:p>
      <w:pPr>
        <w:pStyle w:val="Heading3"/>
      </w:pPr>
      <w:r>
        <w:t xml:space="preserve">Q4 2023 highlights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YoY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revenue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$571M</w:t>
            </w:r>
          </w:p>
        </w:tc>
        <w:tc>
          <w:tcPr/>
          <w:p>
            <w:pPr>
              <w:pStyle w:val="Compact"/>
            </w:pPr>
            <w:r>
              <w:t xml:space="preserve">+9%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 revenue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$547M (96% mix)</w:t>
            </w:r>
          </w:p>
        </w:tc>
        <w:tc>
          <w:tcPr/>
          <w:p>
            <w:pPr>
              <w:pStyle w:val="Compact"/>
            </w:pPr>
            <w:r>
              <w:t xml:space="preserve">+9%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$2.329B</w:t>
            </w:r>
          </w:p>
        </w:tc>
        <w:tc>
          <w:tcPr/>
          <w:p>
            <w:pPr>
              <w:pStyle w:val="Compact"/>
            </w:pPr>
            <w:r>
              <w:t xml:space="preserve">+11%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 ARR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$1.005B</w:t>
            </w:r>
          </w:p>
        </w:tc>
        <w:tc>
          <w:tcPr/>
          <w:p>
            <w:pPr>
              <w:pStyle w:val="Compact"/>
            </w:pPr>
            <w:r>
              <w:t xml:space="preserve">+13%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GAAP operating margin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-7.9%</w:t>
            </w:r>
          </w:p>
        </w:tc>
        <w:tc>
          <w:tcPr/>
          <w:p>
            <w:pPr>
              <w:pStyle w:val="Compact"/>
            </w:pPr>
            <w:r>
              <w:t xml:space="preserve">+4,080 bps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Non-GAAP operating margin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20.5%</w:t>
            </w:r>
          </w:p>
        </w:tc>
        <w:tc>
          <w:tcPr/>
          <w:p>
            <w:pPr>
              <w:pStyle w:val="Compact"/>
            </w:pPr>
            <w:r>
              <w:t xml:space="preserve">+650 bps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Adjusted EBITDA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$138M (24.2% margin)</w:t>
            </w:r>
          </w:p>
        </w:tc>
        <w:tc>
          <w:tcPr/>
          <w:p>
            <w:pPr>
              <w:pStyle w:val="Compact"/>
            </w:pPr>
            <w:r>
              <w:t xml:space="preserve">+48%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 cash flow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$114M (19.9% margin)</w:t>
            </w:r>
          </w:p>
        </w:tc>
        <w:tc>
          <w:tcPr/>
          <w:p>
            <w:pPr>
              <w:pStyle w:val="Compact"/>
            </w:pPr>
            <w:r>
              <w:t xml:space="preserve">+$75M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Adj. unlevered FCF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$97M (17.0% margin)</w:t>
            </w:r>
          </w:p>
        </w:tc>
        <w:tc>
          <w:tcPr/>
          <w:p>
            <w:pPr>
              <w:pStyle w:val="Compact"/>
            </w:pPr>
            <w:r>
              <w:t xml:space="preserve">+$96M</w:t>
            </w:r>
          </w:p>
        </w:tc>
      </w:tr>
    </w:tbl>
    <w:bookmarkEnd w:id="11"/>
    <w:bookmarkStart w:id="12" w:name="fy-2023-metrics"/>
    <w:p>
      <w:pPr>
        <w:pStyle w:val="Heading3"/>
      </w:pPr>
      <w:r>
        <w:t xml:space="preserve">FY 2023 metrics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Revenue</w:t>
      </w:r>
      <w:r>
        <w:t xml:space="preserve">: $2.202B (+11%); subscriptions $2.100B (+11%).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Profitability</w:t>
      </w:r>
      <w:r>
        <w:t xml:space="preserve">: GAAP op loss -$199M (improved from -$649M). Non-GAAP op income $420M (19.1% margin). Adj. EBITDA $503M (22.8%).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Earnings</w:t>
      </w:r>
      <w:r>
        <w:t xml:space="preserve">: GAAP EPS -$1.74; non-GAAP EPS $3.23 (22.5% non-GAAP tax rate).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Cash</w:t>
      </w:r>
      <w:r>
        <w:t xml:space="preserve">: Operating cash flow $400M (18.1%); adj. unlevered FCF $325M (14.8%). Cash balance $222M after ~$240M 2025 convert repurchase and &gt;$60M share buyback.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Balance sheet actions</w:t>
      </w:r>
      <w:r>
        <w:t xml:space="preserve">: Opportunistic debt reduction (convertible notes) plus buybacks signal confidence in cash generation.</w:t>
      </w:r>
    </w:p>
    <w:bookmarkEnd w:id="12"/>
    <w:bookmarkStart w:id="13" w:name="trend-takeaways"/>
    <w:p>
      <w:pPr>
        <w:pStyle w:val="Heading3"/>
      </w:pPr>
      <w:r>
        <w:t xml:space="preserve">Trend takeaways</w:t>
      </w:r>
    </w:p>
    <w:p>
      <w:pPr>
        <w:pStyle w:val="Compact"/>
        <w:numPr>
          <w:ilvl w:val="0"/>
          <w:numId w:val="1005"/>
        </w:numPr>
      </w:pPr>
      <w:r>
        <w:t xml:space="preserve">ARR growth outpaces revenue, signaling improving net expansion.</w:t>
      </w:r>
    </w:p>
    <w:p>
      <w:pPr>
        <w:pStyle w:val="Compact"/>
        <w:numPr>
          <w:ilvl w:val="0"/>
          <w:numId w:val="1005"/>
        </w:numPr>
      </w:pPr>
      <w:r>
        <w:t xml:space="preserve">Mix shift to enterprise yields higher gross margin and retention.</w:t>
      </w:r>
    </w:p>
    <w:p>
      <w:pPr>
        <w:pStyle w:val="Compact"/>
        <w:numPr>
          <w:ilvl w:val="0"/>
          <w:numId w:val="1005"/>
        </w:numPr>
      </w:pPr>
      <w:r>
        <w:t xml:space="preserve">Operating leverage from cost discipline + AI automation is driving record FCF; board should probe sustainability of ~20% cash margins.</w:t>
      </w:r>
    </w:p>
    <w:bookmarkEnd w:id="13"/>
    <w:bookmarkEnd w:id="14"/>
    <w:bookmarkStart w:id="15" w:name="ai-product-innovation"/>
    <w:p>
      <w:pPr>
        <w:pStyle w:val="Heading2"/>
      </w:pPr>
      <w:r>
        <w:t xml:space="preserve">4. AI &amp; Product Innovation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RingSense™ AI platform</w:t>
      </w:r>
      <w:r>
        <w:t xml:space="preserve">: Conversation intelligence across calls, video, and contact center interactions; now exposes APIs for transcript, summarization, diarization, and workflow automation. Positioned as differentiator vs. commodity AI copilots.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RingSense for Sales / ACE</w:t>
      </w:r>
      <w:r>
        <w:t xml:space="preserve">: Auto-logging to CRM, follow-up generation, live coaching. Opportunity to upsell existing UCaaS base with per-seat AI SKUs.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RingCX™ contact center</w:t>
      </w:r>
      <w:r>
        <w:t xml:space="preserve">: Native, AI-first CCaaS built for simplicity vs. legacy Engage. Pricing/packaging designed for fast deployments; integrates with MVP for unified agent + knowledge workflows.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RingCentral Events</w:t>
      </w:r>
      <w:r>
        <w:t xml:space="preserve">: Adds event analytics + AI-driven engagement, complementing RingSense insights.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AI monetization levers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Upsell modules (RingSense add-on, AI minutes)</w:t>
      </w:r>
    </w:p>
    <w:p>
      <w:pPr>
        <w:pStyle w:val="Compact"/>
        <w:numPr>
          <w:ilvl w:val="1"/>
          <w:numId w:val="1007"/>
        </w:numPr>
      </w:pPr>
      <w:r>
        <w:t xml:space="preserve">Value-based packaging (RingCX bundles)</w:t>
      </w:r>
    </w:p>
    <w:p>
      <w:pPr>
        <w:pStyle w:val="Compact"/>
        <w:numPr>
          <w:ilvl w:val="1"/>
          <w:numId w:val="1007"/>
        </w:numPr>
      </w:pPr>
      <w:r>
        <w:t xml:space="preserve">Efficiency (auto summaries reduce support costs; internal use to lower PS/S&amp;M).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Data/privacy considerations</w:t>
      </w:r>
      <w:r>
        <w:t xml:space="preserve">: Must maintain compliance for regulated verticals; highlight that AI operates on customer-owned data with enterprise-grade security.</w:t>
      </w:r>
    </w:p>
    <w:bookmarkEnd w:id="15"/>
    <w:bookmarkStart w:id="16" w:name="key-watch-areas"/>
    <w:p>
      <w:pPr>
        <w:pStyle w:val="Heading2"/>
      </w:pPr>
      <w:r>
        <w:t xml:space="preserve">5. Key Watch Areas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AI differentiation vs. hyperscalers</w:t>
      </w:r>
      <w:r>
        <w:t xml:space="preserve">: Microsoft/Zoom launching comparable copilots; need clarity on moats (telephony data, cross-channel insights, open APIs).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Enterprise ARR durability</w:t>
      </w:r>
      <w:r>
        <w:t xml:space="preserve">: &gt;$1B milestone, but requires continued large-deal wins and low churn amid macro scrutiny.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Margin sustainability</w:t>
      </w:r>
      <w:r>
        <w:t xml:space="preserve">: Non-GAAP op margin now &gt;20%; board should monitor reinvestment pace into AI &amp; CCaaS to maintain growth while protecting FCF.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Capital allocation</w:t>
      </w:r>
      <w:r>
        <w:t xml:space="preserve">: Balance between debt reduction (convert repurchase), share buybacks, and potential tuck-in AI acquisitions.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Platform convergence risks</w:t>
      </w:r>
      <w:r>
        <w:t xml:space="preserve">: Integrating Events, RingCX, and RingSense without over-complicating product/UX.</w:t>
      </w:r>
    </w:p>
    <w:bookmarkEnd w:id="16"/>
    <w:bookmarkStart w:id="18" w:name="X750391b0fd8f73c2893e039e8a596825237e956"/>
    <w:p>
      <w:pPr>
        <w:pStyle w:val="Heading2"/>
      </w:pPr>
      <w:r>
        <w:t xml:space="preserve">6. Discussion Guide for Vlad Shmunis (AI-focused)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AI monetization roadmap</w:t>
      </w:r>
      <w:r>
        <w:t xml:space="preserve">: How do you plan to price and bundle RingSense capabilities across UCaaS, CCaaS, and Events so AI attach exceeds 50% of enterprise seats over the next 12–18 months?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Competitive moat vs. Microsoft/Zoom</w:t>
      </w:r>
      <w:r>
        <w:t xml:space="preserve">: What proprietary data assets or telco integrations will keep RingSense differentiated as hyperscalers roll out similar copilots embedded in Teams/Office?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Contact center synergy</w:t>
      </w:r>
      <w:r>
        <w:t xml:space="preserve">: How will RingCX + RingSense jointly accelerate enterprise wins, and what KPIs (ARR, NRR) should we watch to gauge traction in FY24?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AI governance &amp; customer trust</w:t>
      </w:r>
      <w:r>
        <w:t xml:space="preserve">: What safeguards (data residency, SOC2, model explainability) are in place so regulated customers can confidently adopt AI features without compliance friction?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Resource allocation</w:t>
      </w:r>
      <w:r>
        <w:t xml:space="preserve">: Given record cash flow, how are you balancing further AI R&amp;D (models, APIs, workflow builder) against debt reduction and buybacks to maintain strategic flexibility?</w:t>
      </w:r>
    </w:p>
    <w:p>
      <w:r>
        <w:pict>
          <v:rect style="width:0;height:1.5pt" o:hralign="center" o:hrstd="t" o:hr="t"/>
        </w:pict>
      </w:r>
    </w:p>
    <w:bookmarkStart w:id="17" w:name="appendix"/>
    <w:p>
      <w:pPr>
        <w:pStyle w:val="Heading3"/>
      </w:pPr>
      <w:r>
        <w:t xml:space="preserve">Appendix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Investor relations content archived</w:t>
      </w:r>
      <w:r>
        <w:t xml:space="preserve">:</w:t>
      </w:r>
      <w:r>
        <w:t xml:space="preserve"> </w:t>
      </w:r>
      <w:r>
        <w:rPr>
          <w:rStyle w:val="VerbatimChar"/>
        </w:rPr>
        <w:t xml:space="preserve">~/ProjectScraper/RingCentral_IR/home.md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~/ProjectScraper/RingCentral_IR/q4_2023_results.md</w:t>
      </w:r>
      <w:r>
        <w:t xml:space="preserve"> </w:t>
      </w:r>
      <w:r>
        <w:t xml:space="preserve">(403 blocks encountered on q4inc-hosted pages; data pulled from accessible corporate press release).</w:t>
      </w:r>
    </w:p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2026-03-19T15:57:02Z</dcterms:created>
  <dcterms:modified xsi:type="dcterms:W3CDTF">2026-03-19T15:57:02Z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