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4CAB5" w14:textId="78FC6FDB" w:rsidR="00B57060" w:rsidRPr="00DA32C6" w:rsidRDefault="00B57060" w:rsidP="00B57060">
      <w:pPr>
        <w:jc w:val="center"/>
        <w:rPr>
          <w:rFonts w:ascii="Times New Roman" w:hAnsi="Times New Roman" w:cs="Times New Roman"/>
          <w:b/>
          <w:bCs/>
          <w:u w:val="single"/>
        </w:rPr>
      </w:pPr>
      <w:r>
        <w:rPr>
          <w:rFonts w:ascii="Times New Roman" w:hAnsi="Times New Roman" w:cs="Times New Roman"/>
          <w:b/>
          <w:bCs/>
          <w:u w:val="single"/>
        </w:rPr>
        <w:t>SUPPLEMENT ADDRESSING OUTSTANDING ISSUES RAISED BY APPEALS</w:t>
      </w:r>
    </w:p>
    <w:p w14:paraId="1D056ACC" w14:textId="15415EE2" w:rsidR="0079495E" w:rsidRPr="0079495E" w:rsidRDefault="0079495E" w:rsidP="0079495E">
      <w:pPr>
        <w:jc w:val="center"/>
        <w:rPr>
          <w:rFonts w:ascii="Times New Roman" w:hAnsi="Times New Roman" w:cs="Times New Roman"/>
          <w:b/>
          <w:bCs/>
          <w:u w:val="single"/>
        </w:rPr>
      </w:pPr>
      <w:r>
        <w:rPr>
          <w:rFonts w:ascii="Times New Roman" w:hAnsi="Times New Roman" w:cs="Times New Roman"/>
          <w:b/>
          <w:bCs/>
          <w:u w:val="single"/>
        </w:rPr>
        <w:t>Introduction</w:t>
      </w:r>
    </w:p>
    <w:p w14:paraId="0C207DB3" w14:textId="64DD68AC" w:rsidR="00C9670B" w:rsidRDefault="00B57060" w:rsidP="00B57060">
      <w:pPr>
        <w:jc w:val="both"/>
        <w:rPr>
          <w:rFonts w:ascii="Times New Roman" w:hAnsi="Times New Roman" w:cs="Times New Roman"/>
        </w:rPr>
      </w:pPr>
      <w:r>
        <w:rPr>
          <w:rFonts w:ascii="Times New Roman" w:hAnsi="Times New Roman" w:cs="Times New Roman"/>
        </w:rPr>
        <w:t xml:space="preserve">At the Appeals conference on January 21, 2026 it was highlighted by Jacob Halsey that the Service’s position centers on the assertion that the Browns did not relinquish their “dominion and control” of the donated non-voting membership interest in Old Mission Foundation, LLC (the “Partnership”). Specifically, two cases were highlighted, </w:t>
      </w:r>
      <w:proofErr w:type="spellStart"/>
      <w:r>
        <w:rPr>
          <w:rFonts w:ascii="Times New Roman" w:hAnsi="Times New Roman" w:cs="Times New Roman"/>
          <w:i/>
          <w:iCs/>
        </w:rPr>
        <w:t>Viralam</w:t>
      </w:r>
      <w:proofErr w:type="spellEnd"/>
      <w:r>
        <w:rPr>
          <w:rFonts w:ascii="Times New Roman" w:hAnsi="Times New Roman" w:cs="Times New Roman"/>
          <w:i/>
          <w:iCs/>
        </w:rPr>
        <w:t xml:space="preserve"> v. Comm’r</w:t>
      </w:r>
      <w:r>
        <w:rPr>
          <w:rFonts w:ascii="Times New Roman" w:hAnsi="Times New Roman" w:cs="Times New Roman"/>
        </w:rPr>
        <w:t>, 136 T.C. 151 (2011)</w:t>
      </w:r>
      <w:r>
        <w:rPr>
          <w:rStyle w:val="FootnoteReference"/>
          <w:rFonts w:ascii="Times New Roman" w:hAnsi="Times New Roman" w:cs="Times New Roman"/>
        </w:rPr>
        <w:footnoteReference w:id="1"/>
      </w:r>
      <w:r>
        <w:rPr>
          <w:rFonts w:ascii="Times New Roman" w:hAnsi="Times New Roman" w:cs="Times New Roman"/>
        </w:rPr>
        <w:t xml:space="preserve"> and </w:t>
      </w:r>
      <w:proofErr w:type="spellStart"/>
      <w:r>
        <w:rPr>
          <w:rFonts w:ascii="Times New Roman" w:hAnsi="Times New Roman" w:cs="Times New Roman"/>
          <w:i/>
          <w:iCs/>
        </w:rPr>
        <w:t>Fakiris</w:t>
      </w:r>
      <w:proofErr w:type="spellEnd"/>
      <w:r>
        <w:rPr>
          <w:rFonts w:ascii="Times New Roman" w:hAnsi="Times New Roman" w:cs="Times New Roman"/>
          <w:i/>
          <w:iCs/>
        </w:rPr>
        <w:t xml:space="preserve"> v. Comm’r</w:t>
      </w:r>
      <w:r>
        <w:rPr>
          <w:rFonts w:ascii="Times New Roman" w:hAnsi="Times New Roman" w:cs="Times New Roman"/>
        </w:rPr>
        <w:t xml:space="preserve">, T.C. Memo. 2017-126 (2017). Namely, it appears the Service is now presenting </w:t>
      </w:r>
      <w:proofErr w:type="spellStart"/>
      <w:r>
        <w:rPr>
          <w:rFonts w:ascii="Times New Roman" w:hAnsi="Times New Roman" w:cs="Times New Roman"/>
          <w:i/>
          <w:iCs/>
        </w:rPr>
        <w:t>Viralam</w:t>
      </w:r>
      <w:proofErr w:type="spellEnd"/>
      <w:r>
        <w:rPr>
          <w:rFonts w:ascii="Times New Roman" w:hAnsi="Times New Roman" w:cs="Times New Roman"/>
        </w:rPr>
        <w:t xml:space="preserve"> for the conclusion that if a donor-advised fund lends out money to the donor-taxpayer or interested party, that triggers both gain on the sale of any stock that was part of the donation and retention of “dominion and control.” The Service further argued that the </w:t>
      </w:r>
      <w:proofErr w:type="spellStart"/>
      <w:r>
        <w:rPr>
          <w:rFonts w:ascii="Times New Roman" w:hAnsi="Times New Roman" w:cs="Times New Roman"/>
          <w:i/>
          <w:iCs/>
        </w:rPr>
        <w:t>Viralam’s</w:t>
      </w:r>
      <w:proofErr w:type="spellEnd"/>
      <w:r>
        <w:rPr>
          <w:rFonts w:ascii="Times New Roman" w:hAnsi="Times New Roman" w:cs="Times New Roman"/>
          <w:i/>
          <w:iCs/>
        </w:rPr>
        <w:t xml:space="preserve"> </w:t>
      </w:r>
      <w:r>
        <w:rPr>
          <w:rFonts w:ascii="Times New Roman" w:hAnsi="Times New Roman" w:cs="Times New Roman"/>
        </w:rPr>
        <w:t xml:space="preserve">analysis of donor-advised funds, applies directly to the issue of Charitable limited-liability companies (CLLCs) as is in the case of the Partnership. We believe that these conclusions do not reflect the nuances of the </w:t>
      </w:r>
      <w:proofErr w:type="spellStart"/>
      <w:r>
        <w:rPr>
          <w:rFonts w:ascii="Times New Roman" w:hAnsi="Times New Roman" w:cs="Times New Roman"/>
          <w:i/>
          <w:iCs/>
        </w:rPr>
        <w:t>Viralam</w:t>
      </w:r>
      <w:proofErr w:type="spellEnd"/>
      <w:r>
        <w:rPr>
          <w:rFonts w:ascii="Times New Roman" w:hAnsi="Times New Roman" w:cs="Times New Roman"/>
          <w:i/>
          <w:iCs/>
        </w:rPr>
        <w:t xml:space="preserve"> </w:t>
      </w:r>
      <w:r>
        <w:rPr>
          <w:rFonts w:ascii="Times New Roman" w:hAnsi="Times New Roman" w:cs="Times New Roman"/>
        </w:rPr>
        <w:t xml:space="preserve">decision which specifically applies only to cases where there is an expectation of loan discharge and interest on the subsequent loan is forgiven and where the donor retains the right to compensate himself with donated funds in exchange for ambiguous and undefined “good works.” As to </w:t>
      </w:r>
      <w:proofErr w:type="spellStart"/>
      <w:r>
        <w:rPr>
          <w:rFonts w:ascii="Times New Roman" w:hAnsi="Times New Roman" w:cs="Times New Roman"/>
          <w:i/>
          <w:iCs/>
        </w:rPr>
        <w:t>Fakiris</w:t>
      </w:r>
      <w:proofErr w:type="spellEnd"/>
      <w:r>
        <w:rPr>
          <w:rFonts w:ascii="Times New Roman" w:hAnsi="Times New Roman" w:cs="Times New Roman"/>
        </w:rPr>
        <w:t xml:space="preserve">, the Service cites it as authority finding that any possibility that donated finds can be redirected to another donor triggers retention of dominion and control. We will show that the finding in </w:t>
      </w:r>
      <w:proofErr w:type="spellStart"/>
      <w:r>
        <w:rPr>
          <w:rFonts w:ascii="Times New Roman" w:hAnsi="Times New Roman" w:cs="Times New Roman"/>
          <w:i/>
          <w:iCs/>
        </w:rPr>
        <w:t>Fakiris</w:t>
      </w:r>
      <w:proofErr w:type="spellEnd"/>
      <w:r>
        <w:rPr>
          <w:rFonts w:ascii="Times New Roman" w:hAnsi="Times New Roman" w:cs="Times New Roman"/>
        </w:rPr>
        <w:t xml:space="preserve"> is specific to situations where a second charity has already been identified, the director of the second charity paid consideration in exchange for the gift, and the redirection at issue occurs on the same day as the alleged gift to the original charity. The following is a comprehensive rebuttal to the Service’s positions, including an analysis of the cases cited and an explanation of why their facts differ from those in Taxpayer’s cases and why the Court’s findings in these cases do not apply here.</w:t>
      </w:r>
    </w:p>
    <w:p w14:paraId="4F4A9429" w14:textId="00DA1217" w:rsidR="00291623" w:rsidRPr="00291623" w:rsidRDefault="00291623" w:rsidP="00291623">
      <w:pPr>
        <w:jc w:val="center"/>
        <w:rPr>
          <w:rFonts w:ascii="Times New Roman" w:hAnsi="Times New Roman" w:cs="Times New Roman"/>
          <w:b/>
          <w:bCs/>
          <w:u w:val="single"/>
        </w:rPr>
      </w:pPr>
      <w:r>
        <w:rPr>
          <w:rFonts w:ascii="Times New Roman" w:hAnsi="Times New Roman" w:cs="Times New Roman"/>
          <w:b/>
          <w:bCs/>
          <w:u w:val="single"/>
        </w:rPr>
        <w:t>Review of Taxpayer’s Facts</w:t>
      </w:r>
    </w:p>
    <w:p w14:paraId="7AAC0A3A" w14:textId="5580CF25" w:rsidR="00175B8C" w:rsidRPr="00175B8C" w:rsidRDefault="002D3D7D" w:rsidP="00AE503C">
      <w:pPr>
        <w:jc w:val="both"/>
        <w:rPr>
          <w:rFonts w:ascii="Times New Roman" w:hAnsi="Times New Roman" w:cs="Times New Roman"/>
          <w:bCs/>
        </w:rPr>
      </w:pPr>
      <w:r>
        <w:rPr>
          <w:rFonts w:ascii="Times New Roman" w:hAnsi="Times New Roman" w:cs="Times New Roman"/>
          <w:bCs/>
        </w:rPr>
        <w:t xml:space="preserve">The </w:t>
      </w:r>
      <w:r>
        <w:rPr>
          <w:rFonts w:ascii="Times New Roman" w:hAnsi="Times New Roman" w:cs="Times New Roman"/>
          <w:bCs/>
          <w:u w:val="single"/>
        </w:rPr>
        <w:t>Partnership</w:t>
      </w:r>
      <w:r>
        <w:rPr>
          <w:rFonts w:ascii="Times New Roman" w:hAnsi="Times New Roman" w:cs="Times New Roman"/>
          <w:bCs/>
        </w:rPr>
        <w:t xml:space="preserve"> was organized on February 18, 2021 with the primary purpose of supporting charitable causes, particularly the Charity, which is a qualified 501(c)(3) charity. It was originally organized with the Brown Park Family Trust, through its Trustees Eric Brown and Hyun Ju Park, as the sole member (the “</w:t>
      </w:r>
      <w:r>
        <w:rPr>
          <w:rFonts w:ascii="Times New Roman" w:hAnsi="Times New Roman" w:cs="Times New Roman"/>
          <w:bCs/>
          <w:u w:val="single"/>
        </w:rPr>
        <w:t>Founding Member</w:t>
      </w:r>
      <w:r>
        <w:rPr>
          <w:rFonts w:ascii="Times New Roman" w:hAnsi="Times New Roman" w:cs="Times New Roman"/>
          <w:bCs/>
        </w:rPr>
        <w:t xml:space="preserve">”) owning all of the membership interest in the Partnership, and with Mr. Brown and Ms. Park also named as the Managers of the Partnership (the </w:t>
      </w:r>
      <w:r>
        <w:rPr>
          <w:rFonts w:ascii="Times New Roman" w:hAnsi="Times New Roman" w:cs="Times New Roman"/>
          <w:bCs/>
        </w:rPr>
        <w:lastRenderedPageBreak/>
        <w:t>“</w:t>
      </w:r>
      <w:r>
        <w:rPr>
          <w:rFonts w:ascii="Times New Roman" w:hAnsi="Times New Roman" w:cs="Times New Roman"/>
          <w:bCs/>
          <w:u w:val="single"/>
        </w:rPr>
        <w:t>Managers</w:t>
      </w:r>
      <w:r>
        <w:rPr>
          <w:rFonts w:ascii="Times New Roman" w:hAnsi="Times New Roman" w:cs="Times New Roman"/>
          <w:bCs/>
        </w:rPr>
        <w:t>” and “</w:t>
      </w:r>
      <w:r>
        <w:rPr>
          <w:rFonts w:ascii="Times New Roman" w:hAnsi="Times New Roman" w:cs="Times New Roman"/>
          <w:bCs/>
          <w:u w:val="single"/>
        </w:rPr>
        <w:t>Taxpayers</w:t>
      </w:r>
      <w:r>
        <w:rPr>
          <w:rFonts w:ascii="Times New Roman" w:hAnsi="Times New Roman" w:cs="Times New Roman"/>
          <w:bCs/>
        </w:rPr>
        <w:t>”). Under Section 9.12 of the Partnership’s Operating Agreement (the “</w:t>
      </w:r>
      <w:r>
        <w:rPr>
          <w:rFonts w:ascii="Times New Roman" w:hAnsi="Times New Roman" w:cs="Times New Roman"/>
          <w:bCs/>
          <w:u w:val="single"/>
        </w:rPr>
        <w:t>OA</w:t>
      </w:r>
      <w:r>
        <w:rPr>
          <w:rFonts w:ascii="Times New Roman" w:hAnsi="Times New Roman" w:cs="Times New Roman"/>
          <w:bCs/>
        </w:rPr>
        <w:t>”), the Managers owe:</w:t>
      </w:r>
    </w:p>
    <w:p w14:paraId="70EEA1A1" w14:textId="5EF595F7" w:rsidR="00175B8C" w:rsidRPr="00175B8C" w:rsidRDefault="00175B8C" w:rsidP="00175B8C">
      <w:pPr>
        <w:ind w:left="1440" w:right="1440"/>
        <w:jc w:val="both"/>
        <w:rPr>
          <w:rFonts w:ascii="Times New Roman" w:hAnsi="Times New Roman" w:cs="Times New Roman"/>
          <w:bCs/>
        </w:rPr>
      </w:pPr>
      <w:r>
        <w:rPr>
          <w:rFonts w:ascii="Times New Roman" w:hAnsi="Times New Roman" w:cs="Times New Roman"/>
          <w:bCs/>
        </w:rPr>
        <w:t>“…fiduciary duties of care and loyalty to the Company and to its Members. A Manager shall discharge his or her duties under this Agreement or under the Act and exercise any rights under this Agreement, consistent with the contractual obligations of good faith and fair dealing, in a manner he or she reasonably believes to be in the best interests of the Company and its Members and with such care as an ordinarily prudent person in a like position would use under similar circumstances.”</w:t>
      </w:r>
    </w:p>
    <w:p w14:paraId="56C2B982" w14:textId="396621C0" w:rsidR="00175B8C" w:rsidRPr="00507981" w:rsidRDefault="00175B8C" w:rsidP="008E0ADF">
      <w:pPr>
        <w:jc w:val="both"/>
        <w:rPr>
          <w:rFonts w:ascii="Times New Roman" w:hAnsi="Times New Roman" w:cs="Times New Roman"/>
        </w:rPr>
      </w:pPr>
      <w:r>
        <w:rPr>
          <w:rFonts w:ascii="Times New Roman" w:hAnsi="Times New Roman" w:cs="Times New Roman"/>
        </w:rPr>
        <w:t xml:space="preserve">The OA does not only establish clear fiduciary duties owed by the Managers to all members, including the Charity. It also requires that profits and losses be allocated in proportion to the members membership interests. Section 7.01(d); Section 7.02(c). It further requires that distributions of net profits, if the Managers chose to make any, “shall be made to the Members </w:t>
      </w:r>
      <w:r>
        <w:rPr>
          <w:rFonts w:ascii="Times New Roman" w:hAnsi="Times New Roman" w:cs="Times New Roman"/>
          <w:i/>
          <w:iCs/>
        </w:rPr>
        <w:t>pro rata</w:t>
      </w:r>
      <w:r>
        <w:rPr>
          <w:rFonts w:ascii="Times New Roman" w:hAnsi="Times New Roman" w:cs="Times New Roman"/>
        </w:rPr>
        <w:t xml:space="preserve">” unless there is unanimous consent of the members otherwise. Section 8.01. In other words, any distributions must be made according to each member’s membership share only with the written consent of “all members,” not excluding any nonvoting member. Further, no member can misappropriate the Partnership’s assets. Section 10.05. The Charity’s inability to demand distributions, under Section 4.11, or participate in management does not negate its status as a partner; rather, these are common features of preferred or limited partnership interests, which are routinely recognized as bona fide for tax purposes. What is crucial is that the Taxpayer cannot make any distribution to himself without also making a proportional distribution to the Charity. Section 17.04 also provides that assets of the Partnership under dissolution must be liquidated and distributed to each member in proportion to their membership interest, and therefore under no circumstances does the Taxpayer retain control over or any ability to revoke the transferred interest. Under 17.04, the transferred interest is legally out of the Taxpayer’s control and 99% of the Partnership’s assets are permanently out of the Taxpayer’s control </w:t>
      </w:r>
      <w:proofErr w:type="spellStart"/>
      <w:r>
        <w:rPr>
          <w:rFonts w:ascii="Times New Roman" w:hAnsi="Times New Roman" w:cs="Times New Roman"/>
        </w:rPr>
        <w:t>ass</w:t>
      </w:r>
      <w:proofErr w:type="spellEnd"/>
      <w:r>
        <w:rPr>
          <w:rFonts w:ascii="Times New Roman" w:hAnsi="Times New Roman" w:cs="Times New Roman"/>
        </w:rPr>
        <w:t xml:space="preserve"> well. </w:t>
      </w:r>
    </w:p>
    <w:p w14:paraId="4BC41DAA" w14:textId="20341C68" w:rsidR="00175B8C" w:rsidRPr="00175B8C" w:rsidRDefault="00175B8C" w:rsidP="0047413B">
      <w:pPr>
        <w:jc w:val="both"/>
        <w:rPr>
          <w:rFonts w:ascii="Times New Roman" w:hAnsi="Times New Roman" w:cs="Times New Roman"/>
          <w:bCs/>
        </w:rPr>
      </w:pPr>
      <w:r>
        <w:rPr>
          <w:rFonts w:ascii="Times New Roman" w:hAnsi="Times New Roman" w:cs="Times New Roman"/>
          <w:bCs/>
        </w:rPr>
        <w:t>Ownership Interest in the Partnership was structured as follows: 1% as common voting interest (the “</w:t>
      </w:r>
      <w:r>
        <w:rPr>
          <w:rFonts w:ascii="Times New Roman" w:hAnsi="Times New Roman" w:cs="Times New Roman"/>
          <w:bCs/>
          <w:u w:val="single"/>
        </w:rPr>
        <w:t>Common Interest</w:t>
      </w:r>
      <w:r>
        <w:rPr>
          <w:rFonts w:ascii="Times New Roman" w:hAnsi="Times New Roman" w:cs="Times New Roman"/>
          <w:bCs/>
        </w:rPr>
        <w:t xml:space="preserve">”), and 99% as preferred nonvoting interest (the “Preferred Interest”). On February 19, 2021, the Founding Member deposited $10,000.00 into the Wells Fargo Account of the Partnership. On March 1, 2021, the Founding Member transferred 200,000 Series Seed Preferred Stock Shares in </w:t>
      </w:r>
      <w:proofErr w:type="spellStart"/>
      <w:r>
        <w:rPr>
          <w:rFonts w:ascii="Times New Roman" w:hAnsi="Times New Roman" w:cs="Times New Roman"/>
          <w:bCs/>
        </w:rPr>
        <w:t>TalentSky</w:t>
      </w:r>
      <w:proofErr w:type="spellEnd"/>
      <w:r>
        <w:rPr>
          <w:rFonts w:ascii="Times New Roman" w:hAnsi="Times New Roman" w:cs="Times New Roman"/>
          <w:bCs/>
        </w:rPr>
        <w:t xml:space="preserve">, Inc at $4.00 per share for a total value of $800,000 and 500,000 Class B Common Stock Shares in Tanium, Inc at $11.60 per share for a total value of $5,799,970. </w:t>
      </w:r>
    </w:p>
    <w:p w14:paraId="506D61C8" w14:textId="230D0D0B" w:rsidR="0047413B" w:rsidRDefault="00175B8C" w:rsidP="00AC21B0">
      <w:pPr>
        <w:jc w:val="both"/>
        <w:rPr>
          <w:rFonts w:ascii="Times New Roman" w:hAnsi="Times New Roman" w:cs="Times New Roman"/>
        </w:rPr>
      </w:pPr>
      <w:r>
        <w:rPr>
          <w:rFonts w:ascii="Times New Roman" w:hAnsi="Times New Roman" w:cs="Times New Roman"/>
          <w:bCs/>
        </w:rPr>
        <w:t>On March 26, 2021, the Founding Member transferred all the Preferred Interest in the Partnership to the Charity (the “</w:t>
      </w:r>
      <w:r>
        <w:rPr>
          <w:rFonts w:ascii="Times New Roman" w:hAnsi="Times New Roman" w:cs="Times New Roman"/>
          <w:bCs/>
          <w:u w:val="single"/>
        </w:rPr>
        <w:t>Donation</w:t>
      </w:r>
      <w:r>
        <w:rPr>
          <w:rFonts w:ascii="Times New Roman" w:hAnsi="Times New Roman" w:cs="Times New Roman"/>
          <w:bCs/>
        </w:rPr>
        <w:t xml:space="preserve">”). This was memorialized in an Assignment and Acceptance, signed and executed by the parties. As of March 26, 2021, Espen Robak, CFA of </w:t>
      </w:r>
      <w:proofErr w:type="spellStart"/>
      <w:r>
        <w:rPr>
          <w:rFonts w:ascii="Times New Roman" w:hAnsi="Times New Roman" w:cs="Times New Roman"/>
          <w:bCs/>
        </w:rPr>
        <w:t>Pluris</w:t>
      </w:r>
      <w:proofErr w:type="spellEnd"/>
      <w:r>
        <w:rPr>
          <w:rFonts w:ascii="Times New Roman" w:hAnsi="Times New Roman" w:cs="Times New Roman"/>
          <w:bCs/>
        </w:rPr>
        <w:t xml:space="preserve"> Valuation Advisors (the “</w:t>
      </w:r>
      <w:r>
        <w:rPr>
          <w:rFonts w:ascii="Times New Roman" w:hAnsi="Times New Roman" w:cs="Times New Roman"/>
          <w:bCs/>
          <w:u w:val="single"/>
        </w:rPr>
        <w:t>Appraiser</w:t>
      </w:r>
      <w:r>
        <w:rPr>
          <w:rFonts w:ascii="Times New Roman" w:hAnsi="Times New Roman" w:cs="Times New Roman"/>
          <w:bCs/>
        </w:rPr>
        <w:t xml:space="preserve">”) appraised the value of the 99% preferred interest in the Partnership determining </w:t>
      </w:r>
      <w:r>
        <w:rPr>
          <w:rFonts w:ascii="Times New Roman" w:hAnsi="Times New Roman" w:cs="Times New Roman"/>
          <w:bCs/>
        </w:rPr>
        <w:lastRenderedPageBreak/>
        <w:t>the value to be $5,497,000.00, with the total value of the assets appraised at $</w:t>
      </w:r>
      <w:r>
        <w:t xml:space="preserve"> </w:t>
      </w:r>
      <w:r>
        <w:rPr>
          <w:rFonts w:ascii="Times New Roman" w:hAnsi="Times New Roman" w:cs="Times New Roman"/>
          <w:bCs/>
        </w:rPr>
        <w:t>6,609,970 at an applied discount for lack of marketability and a lack of control of 16% (the “</w:t>
      </w:r>
      <w:r>
        <w:rPr>
          <w:rFonts w:ascii="Times New Roman" w:hAnsi="Times New Roman" w:cs="Times New Roman"/>
          <w:bCs/>
          <w:u w:val="single"/>
        </w:rPr>
        <w:t>Appraisal</w:t>
      </w:r>
      <w:r>
        <w:rPr>
          <w:rFonts w:ascii="Times New Roman" w:hAnsi="Times New Roman" w:cs="Times New Roman"/>
          <w:bCs/>
        </w:rPr>
        <w:t xml:space="preserve">”).  Furthermore, the Managers  signed an Asset Agreement with the Charity pledging (1) the Founding Member of the Partnership will contribute $5,000.00 to the Charity, and (2) that the Partnership will invest its assets in a “reasonable manner that shall include loans or investments that will be fully collateralized or secured, and will bear a reasonable rate of interest (Applicable Federal Rate), and will make annual distributions to the members.” </w:t>
      </w:r>
      <w:r>
        <w:rPr>
          <w:rFonts w:ascii="Times New Roman" w:hAnsi="Times New Roman" w:cs="Times New Roman"/>
        </w:rPr>
        <w:t xml:space="preserve">Note, as well, that the Charity explicitly agreed to the Applicable Federal Rate (AFR) as the interest bearing on any loans made by the Partnership using Partnership assets. </w:t>
      </w:r>
      <w:r>
        <w:rPr>
          <w:rFonts w:ascii="Times New Roman" w:hAnsi="Times New Roman" w:cs="Times New Roman"/>
          <w:bCs/>
        </w:rPr>
        <w:t>The Asset Agreement further contains a resolution that “</w:t>
      </w:r>
      <w:r>
        <w:rPr>
          <w:rFonts w:ascii="Times New Roman" w:hAnsi="Times New Roman" w:cs="Times New Roman"/>
        </w:rPr>
        <w:t xml:space="preserve">Donor may request that MITCHELL THORP FOUNDATION transfer their Membership Interest in the Company at some point in the future. Upon receiving such request, the MITCHELL THORP FOUNDATION shall </w:t>
      </w:r>
      <w:r>
        <w:rPr>
          <w:rFonts w:ascii="Times New Roman" w:hAnsi="Times New Roman" w:cs="Times New Roman"/>
          <w:b/>
          <w:bCs/>
        </w:rPr>
        <w:t>not unreasonably withhold their approval</w:t>
      </w:r>
      <w:r>
        <w:rPr>
          <w:rFonts w:ascii="Times New Roman" w:hAnsi="Times New Roman" w:cs="Times New Roman"/>
        </w:rPr>
        <w:t xml:space="preserve"> to transfer the Preferred Interest to another qualified foundation or 501(c)(3) not for profit </w:t>
      </w:r>
      <w:r>
        <w:rPr>
          <w:rFonts w:ascii="Times New Roman" w:hAnsi="Times New Roman" w:cs="Times New Roman"/>
          <w:b/>
          <w:bCs/>
        </w:rPr>
        <w:t>provided that two years of minimum distributions (described above) have been made</w:t>
      </w:r>
      <w:r>
        <w:rPr>
          <w:rFonts w:ascii="Times New Roman" w:hAnsi="Times New Roman" w:cs="Times New Roman"/>
        </w:rPr>
        <w:t xml:space="preserve">.” The provision ensures that the Charity retains its distributions for two years, and that transfer may only occur to another charitable organization, only upon approval of the Charity, maintaining the charitable intent. </w:t>
      </w:r>
    </w:p>
    <w:p w14:paraId="1EF31399" w14:textId="0C3067A3" w:rsidR="00AC21B0" w:rsidRPr="00175B8C" w:rsidRDefault="00AC21B0" w:rsidP="00AC21B0">
      <w:pPr>
        <w:jc w:val="both"/>
        <w:rPr>
          <w:rFonts w:ascii="Times New Roman" w:hAnsi="Times New Roman" w:cs="Times New Roman"/>
          <w:bCs/>
        </w:rPr>
      </w:pPr>
      <w:r>
        <w:rPr>
          <w:rFonts w:ascii="Times New Roman" w:hAnsi="Times New Roman" w:cs="Times New Roman"/>
          <w:bCs/>
        </w:rPr>
        <w:t>After the Donation, the Tanium shares were sold by the Partnership in two tranches. The first, was a sale of 331,000 shares according to a Purchase and Sale Agreement entered into on March 2, 2021, with closing occurring and payment received on April 5, 202,</w:t>
      </w:r>
      <w:r>
        <w:rPr>
          <w:rFonts w:ascii="Times New Roman" w:eastAsia="Times New Roman" w:hAnsi="Times New Roman" w:cs="Times New Roman"/>
          <w:kern w:val="0"/>
          <w14:ligatures w14:val="none"/>
        </w:rPr>
        <w:t xml:space="preserve"> </w:t>
      </w:r>
      <w:r>
        <w:rPr>
          <w:rFonts w:ascii="Times New Roman" w:hAnsi="Times New Roman" w:cs="Times New Roman"/>
          <w:bCs/>
        </w:rPr>
        <w:t xml:space="preserve">of which $139,020 was then paid out in brokerage fees, only after requisite approval and waiver of right of first refusal being provided by Tanium, Inc. on March </w:t>
      </w:r>
      <w:r w:rsidR="000028E3">
        <w:rPr>
          <w:rFonts w:ascii="Times New Roman" w:hAnsi="Times New Roman" w:cs="Times New Roman"/>
          <w:bCs/>
        </w:rPr>
        <w:t>30</w:t>
      </w:r>
      <w:r>
        <w:rPr>
          <w:rFonts w:ascii="Times New Roman" w:hAnsi="Times New Roman" w:cs="Times New Roman"/>
          <w:bCs/>
        </w:rPr>
        <w:t xml:space="preserve">, 2021. The second sale was of 169,000 shares according to a Notice of Sale dated April 12, 2021, with payment received on April 30, 2021, of which $60,980.00 was paid out in brokerage fees. The </w:t>
      </w:r>
      <w:proofErr w:type="spellStart"/>
      <w:r>
        <w:rPr>
          <w:rFonts w:ascii="Times New Roman" w:hAnsi="Times New Roman" w:cs="Times New Roman"/>
          <w:bCs/>
        </w:rPr>
        <w:t>TalentSky</w:t>
      </w:r>
      <w:proofErr w:type="spellEnd"/>
      <w:r>
        <w:rPr>
          <w:rFonts w:ascii="Times New Roman" w:hAnsi="Times New Roman" w:cs="Times New Roman"/>
          <w:bCs/>
        </w:rPr>
        <w:t xml:space="preserve"> shares are still held by the Partnership.</w:t>
      </w:r>
    </w:p>
    <w:p w14:paraId="0768857A" w14:textId="77017BCB" w:rsidR="00963EFD" w:rsidRDefault="00342B63" w:rsidP="00963EFD">
      <w:pPr>
        <w:jc w:val="both"/>
        <w:rPr>
          <w:rFonts w:ascii="Times New Roman" w:hAnsi="Times New Roman" w:cs="Times New Roman"/>
          <w:bCs/>
        </w:rPr>
      </w:pPr>
      <w:r>
        <w:rPr>
          <w:rFonts w:ascii="Times New Roman" w:hAnsi="Times New Roman" w:cs="Times New Roman"/>
          <w:bCs/>
        </w:rPr>
        <w:t>On September 4, 2021, the Partnership entered into a Promissory Note with Old Mission Ventures, LLC (“</w:t>
      </w:r>
      <w:r>
        <w:rPr>
          <w:rFonts w:ascii="Times New Roman" w:hAnsi="Times New Roman" w:cs="Times New Roman"/>
          <w:bCs/>
          <w:u w:val="single"/>
        </w:rPr>
        <w:t>Debtor</w:t>
      </w:r>
      <w:r>
        <w:rPr>
          <w:rFonts w:ascii="Times New Roman" w:hAnsi="Times New Roman" w:cs="Times New Roman"/>
          <w:bCs/>
        </w:rPr>
        <w:t>”), owned by the Founding Member, lending this entity $5,750,000 over twenty years at the long-term applicable federal rate (AFR) of 1.73% (the “</w:t>
      </w:r>
      <w:r>
        <w:rPr>
          <w:rFonts w:ascii="Times New Roman" w:hAnsi="Times New Roman" w:cs="Times New Roman"/>
          <w:bCs/>
          <w:u w:val="single"/>
        </w:rPr>
        <w:t>Promissory Note</w:t>
      </w:r>
      <w:r>
        <w:rPr>
          <w:rFonts w:ascii="Times New Roman" w:hAnsi="Times New Roman" w:cs="Times New Roman"/>
          <w:bCs/>
        </w:rPr>
        <w:t>”). Debtor simply placed the loan funds into a JP Morgan Chase brokerage account ending -8009 (“</w:t>
      </w:r>
      <w:r>
        <w:rPr>
          <w:rFonts w:ascii="Times New Roman" w:hAnsi="Times New Roman" w:cs="Times New Roman"/>
          <w:bCs/>
          <w:u w:val="single"/>
        </w:rPr>
        <w:t>Debtors Brokerage Account</w:t>
      </w:r>
      <w:r>
        <w:rPr>
          <w:rFonts w:ascii="Times New Roman" w:hAnsi="Times New Roman" w:cs="Times New Roman"/>
          <w:bCs/>
        </w:rPr>
        <w:t>”) and opened a separate JP Morgan Chase checking account ending -0478 to which interest payments are transferred before being sent to a the Partnership’s account. The December 31, 2025 asset statement for this account reflects a total value of approximately $6,072,330.32, after making the latest interest payment. Per the Security Agreement accompanying the Promissory Note, the Promissory Note is secured by 100% interest in the Debtor. That single account balance exceeds the $5.75 million principal amount of the note, providing readily verifiable third-party custodial collateral that supports repayment capacity. Furthermore, Taxpayer Eric Brown took out an insurance policy held in trust, Policy VF53835990, with a Net Death Benefit of $19,000,000 (as of 11/15/2025) as additional collateral. The annualized interest due on the note every September 4</w:t>
      </w:r>
      <w:r>
        <w:rPr>
          <w:rFonts w:ascii="Times New Roman" w:hAnsi="Times New Roman" w:cs="Times New Roman"/>
          <w:bCs/>
          <w:vertAlign w:val="superscript"/>
        </w:rPr>
        <w:t>th</w:t>
      </w:r>
      <w:r>
        <w:rPr>
          <w:rFonts w:ascii="Times New Roman" w:hAnsi="Times New Roman" w:cs="Times New Roman"/>
          <w:bCs/>
        </w:rPr>
        <w:t xml:space="preserve"> starting in 2022, is $99,475. For example, Debtor made payments amounting to $136,390.01 in December of 2022, $99,648.00 in December of 2023, $99,648.00 in November of 2024, and $99,648.00 in December of 2025.</w:t>
      </w:r>
    </w:p>
    <w:p w14:paraId="12EE96C9" w14:textId="2197FF0F" w:rsidR="00963EFD" w:rsidRDefault="00CE29C1" w:rsidP="00963EFD">
      <w:pPr>
        <w:jc w:val="center"/>
        <w:rPr>
          <w:rFonts w:ascii="Times New Roman" w:hAnsi="Times New Roman" w:cs="Times New Roman"/>
          <w:b/>
          <w:u w:val="single"/>
        </w:rPr>
      </w:pPr>
      <w:r>
        <w:rPr>
          <w:rFonts w:ascii="Times New Roman" w:hAnsi="Times New Roman" w:cs="Times New Roman"/>
          <w:b/>
          <w:u w:val="single"/>
        </w:rPr>
        <w:lastRenderedPageBreak/>
        <w:t>Argument Regarding Retention of Dominion and Control</w:t>
      </w:r>
    </w:p>
    <w:p w14:paraId="1B9253A1" w14:textId="07DF205B" w:rsidR="00DA32C6" w:rsidRPr="00CE29C1" w:rsidRDefault="00DA32C6" w:rsidP="00963EFD">
      <w:pPr>
        <w:pStyle w:val="ListParagraph"/>
        <w:numPr>
          <w:ilvl w:val="0"/>
          <w:numId w:val="9"/>
        </w:numPr>
        <w:jc w:val="center"/>
        <w:rPr>
          <w:rFonts w:ascii="Times New Roman" w:hAnsi="Times New Roman" w:cs="Times New Roman"/>
          <w:b/>
          <w:bCs/>
        </w:rPr>
      </w:pPr>
      <w:proofErr w:type="spellStart"/>
      <w:r w:rsidRPr="00CE29C1">
        <w:rPr>
          <w:rFonts w:ascii="Times New Roman" w:hAnsi="Times New Roman" w:cs="Times New Roman"/>
          <w:b/>
          <w:bCs/>
          <w:i/>
          <w:iCs/>
        </w:rPr>
        <w:t>Viralam</w:t>
      </w:r>
      <w:proofErr w:type="spellEnd"/>
      <w:r w:rsidRPr="00CE29C1">
        <w:rPr>
          <w:rFonts w:ascii="Times New Roman" w:hAnsi="Times New Roman" w:cs="Times New Roman"/>
          <w:b/>
          <w:bCs/>
        </w:rPr>
        <w:t xml:space="preserve"> Analysis</w:t>
      </w:r>
    </w:p>
    <w:p w14:paraId="5A28F795" w14:textId="0A4D7C5F" w:rsidR="00DA32C6" w:rsidRPr="00DA32C6" w:rsidRDefault="00DA32C6" w:rsidP="00DA32C6">
      <w:pPr>
        <w:pStyle w:val="ListParagraph"/>
        <w:numPr>
          <w:ilvl w:val="0"/>
          <w:numId w:val="5"/>
        </w:numPr>
        <w:jc w:val="both"/>
        <w:rPr>
          <w:rFonts w:ascii="Times New Roman" w:hAnsi="Times New Roman" w:cs="Times New Roman"/>
          <w:u w:val="single"/>
        </w:rPr>
      </w:pPr>
      <w:proofErr w:type="spellStart"/>
      <w:r>
        <w:rPr>
          <w:rFonts w:ascii="Times New Roman" w:hAnsi="Times New Roman" w:cs="Times New Roman"/>
          <w:i/>
          <w:iCs/>
          <w:u w:val="single"/>
        </w:rPr>
        <w:t>Viralam</w:t>
      </w:r>
      <w:proofErr w:type="spellEnd"/>
      <w:r>
        <w:rPr>
          <w:rFonts w:ascii="Times New Roman" w:hAnsi="Times New Roman" w:cs="Times New Roman"/>
          <w:u w:val="single"/>
        </w:rPr>
        <w:t xml:space="preserve"> Facts</w:t>
      </w:r>
    </w:p>
    <w:p w14:paraId="628138E6" w14:textId="139BC6DE" w:rsidR="000D4E23" w:rsidRPr="00DA32C6" w:rsidRDefault="000D4E23" w:rsidP="000D4E23">
      <w:pPr>
        <w:jc w:val="both"/>
        <w:rPr>
          <w:rFonts w:ascii="Times New Roman" w:hAnsi="Times New Roman" w:cs="Times New Roman"/>
        </w:rPr>
      </w:pPr>
      <w:r>
        <w:rPr>
          <w:rFonts w:ascii="Times New Roman" w:hAnsi="Times New Roman" w:cs="Times New Roman"/>
        </w:rPr>
        <w:t xml:space="preserve">In </w:t>
      </w:r>
      <w:proofErr w:type="spellStart"/>
      <w:r>
        <w:rPr>
          <w:rFonts w:ascii="Times New Roman" w:hAnsi="Times New Roman" w:cs="Times New Roman"/>
          <w:i/>
          <w:iCs/>
        </w:rPr>
        <w:t>Viralam</w:t>
      </w:r>
      <w:proofErr w:type="spellEnd"/>
      <w:r>
        <w:rPr>
          <w:rFonts w:ascii="Times New Roman" w:hAnsi="Times New Roman" w:cs="Times New Roman"/>
        </w:rPr>
        <w:t xml:space="preserve">, the petitioners, Drs. Setty </w:t>
      </w:r>
      <w:proofErr w:type="spellStart"/>
      <w:r>
        <w:rPr>
          <w:rFonts w:ascii="Times New Roman" w:hAnsi="Times New Roman" w:cs="Times New Roman"/>
        </w:rPr>
        <w:t>Gundanna</w:t>
      </w:r>
      <w:proofErr w:type="spellEnd"/>
      <w:r>
        <w:rPr>
          <w:rFonts w:ascii="Times New Roman" w:hAnsi="Times New Roman" w:cs="Times New Roman"/>
        </w:rPr>
        <w:t xml:space="preserve"> and Prabhavathi Katta Viralam, sought a charitable contribution deduction for transfers of stock and cash to the </w:t>
      </w:r>
      <w:proofErr w:type="spellStart"/>
      <w:r>
        <w:rPr>
          <w:rFonts w:ascii="Times New Roman" w:hAnsi="Times New Roman" w:cs="Times New Roman"/>
        </w:rPr>
        <w:t>xélan</w:t>
      </w:r>
      <w:proofErr w:type="spellEnd"/>
      <w:r>
        <w:rPr>
          <w:rFonts w:ascii="Times New Roman" w:hAnsi="Times New Roman" w:cs="Times New Roman"/>
        </w:rPr>
        <w:t xml:space="preserve"> Foundation (the Foundation) in 1998. Dr. </w:t>
      </w:r>
      <w:proofErr w:type="spellStart"/>
      <w:r>
        <w:rPr>
          <w:rFonts w:ascii="Times New Roman" w:hAnsi="Times New Roman" w:cs="Times New Roman"/>
        </w:rPr>
        <w:t>Viralam</w:t>
      </w:r>
      <w:proofErr w:type="spellEnd"/>
      <w:r>
        <w:rPr>
          <w:rFonts w:ascii="Times New Roman" w:hAnsi="Times New Roman" w:cs="Times New Roman"/>
        </w:rPr>
        <w:t xml:space="preserve"> had recently sold his medical practice for a significant taxable gain and joined </w:t>
      </w:r>
      <w:proofErr w:type="spellStart"/>
      <w:r>
        <w:rPr>
          <w:rFonts w:ascii="Times New Roman" w:hAnsi="Times New Roman" w:cs="Times New Roman"/>
        </w:rPr>
        <w:t>xélan</w:t>
      </w:r>
      <w:proofErr w:type="spellEnd"/>
      <w:r>
        <w:rPr>
          <w:rFonts w:ascii="Times New Roman" w:hAnsi="Times New Roman" w:cs="Times New Roman"/>
        </w:rPr>
        <w:t>, a financial planning company for doctors.</w:t>
      </w:r>
    </w:p>
    <w:p w14:paraId="1270BD8D" w14:textId="42FFAB81" w:rsidR="000D4E23" w:rsidRPr="000D4E23" w:rsidRDefault="000D4E23" w:rsidP="000D4E23">
      <w:pPr>
        <w:jc w:val="both"/>
        <w:rPr>
          <w:rFonts w:ascii="Times New Roman" w:hAnsi="Times New Roman" w:cs="Times New Roman"/>
        </w:rPr>
      </w:pPr>
      <w:proofErr w:type="spellStart"/>
      <w:r>
        <w:rPr>
          <w:rFonts w:ascii="Times New Roman" w:hAnsi="Times New Roman" w:cs="Times New Roman"/>
        </w:rPr>
        <w:t>Xélan</w:t>
      </w:r>
      <w:proofErr w:type="spellEnd"/>
      <w:r>
        <w:rPr>
          <w:rFonts w:ascii="Times New Roman" w:hAnsi="Times New Roman" w:cs="Times New Roman"/>
        </w:rPr>
        <w:t xml:space="preserve"> marketed its Foundation as a tax reduction strategy, creating "family public charities" that were essentially donor-advised funds. Promotional materials </w:t>
      </w:r>
      <w:r>
        <w:rPr>
          <w:rFonts w:ascii="Times New Roman" w:hAnsi="Times New Roman" w:cs="Times New Roman"/>
          <w:b/>
          <w:bCs/>
        </w:rPr>
        <w:t>highlighted that these accounts could benefit the doctors and their families</w:t>
      </w:r>
      <w:r>
        <w:rPr>
          <w:rFonts w:ascii="Times New Roman" w:hAnsi="Times New Roman" w:cs="Times New Roman"/>
        </w:rPr>
        <w:t>, (emphasis added) not just charitable causes. Two specific features were promoted:</w:t>
      </w:r>
    </w:p>
    <w:p w14:paraId="0A249694" w14:textId="17D68AD5" w:rsidR="000D4E23" w:rsidRPr="000D4E23" w:rsidRDefault="000D4E23" w:rsidP="000D4E23">
      <w:pPr>
        <w:numPr>
          <w:ilvl w:val="0"/>
          <w:numId w:val="4"/>
        </w:numPr>
        <w:jc w:val="both"/>
        <w:rPr>
          <w:rFonts w:ascii="Times New Roman" w:hAnsi="Times New Roman" w:cs="Times New Roman"/>
        </w:rPr>
      </w:pPr>
      <w:r>
        <w:rPr>
          <w:rFonts w:ascii="Times New Roman" w:hAnsi="Times New Roman" w:cs="Times New Roman"/>
        </w:rPr>
        <w:t>Donors and their families could be compensated from the account for performing "good works.”</w:t>
      </w:r>
    </w:p>
    <w:p w14:paraId="38B162C4" w14:textId="58C6CF19" w:rsidR="000D4E23" w:rsidRPr="000D4E23" w:rsidRDefault="000D4E23" w:rsidP="000D4E23">
      <w:pPr>
        <w:numPr>
          <w:ilvl w:val="0"/>
          <w:numId w:val="4"/>
        </w:numPr>
        <w:jc w:val="both"/>
        <w:rPr>
          <w:rFonts w:ascii="Times New Roman" w:hAnsi="Times New Roman" w:cs="Times New Roman"/>
        </w:rPr>
      </w:pPr>
      <w:r>
        <w:rPr>
          <w:rFonts w:ascii="Times New Roman" w:hAnsi="Times New Roman" w:cs="Times New Roman"/>
        </w:rPr>
        <w:t xml:space="preserve">The funds could be used for a student loan program for college and graduate school, with repayment possible through cash </w:t>
      </w:r>
      <w:r>
        <w:rPr>
          <w:rFonts w:ascii="Times New Roman" w:hAnsi="Times New Roman" w:cs="Times New Roman"/>
          <w:b/>
          <w:bCs/>
        </w:rPr>
        <w:t>or charitable service</w:t>
      </w:r>
      <w:r>
        <w:rPr>
          <w:rFonts w:ascii="Times New Roman" w:hAnsi="Times New Roman" w:cs="Times New Roman"/>
        </w:rPr>
        <w:t xml:space="preserve"> (emphasis added).</w:t>
      </w:r>
    </w:p>
    <w:p w14:paraId="038AF710" w14:textId="5402648E" w:rsidR="00A16E54" w:rsidRDefault="00A16E54" w:rsidP="00A16E54">
      <w:pPr>
        <w:shd w:val="clear" w:color="auto" w:fill="FFFFFF"/>
        <w:spacing w:after="0"/>
        <w:jc w:val="both"/>
        <w:rPr>
          <w:rFonts w:ascii="Times New Roman" w:eastAsia="Times New Roman" w:hAnsi="Times New Roman" w:cs="Times New Roman"/>
          <w:color w:val="333333"/>
          <w:kern w:val="0"/>
        </w:rPr>
      </w:pPr>
      <w:r>
        <w:rPr>
          <w:rFonts w:ascii="Times New Roman" w:eastAsia="Times New Roman" w:hAnsi="Times New Roman" w:cs="Times New Roman"/>
          <w:color w:val="333333"/>
          <w:kern w:val="0"/>
        </w:rPr>
        <w:t xml:space="preserve">The Court highlights that the promotional materials characterized Foundation accounts as a "tax reduction" program and stated that the Foundation "was created to benefit not only charitable causes, but also doctors and their families." Furthermore, the promotional materials communicate that “the Foundation is a public charity that enables doctors to contribute pre-tax earnings to their own family public charities that are subaccounts of the "umbrella" </w:t>
      </w:r>
      <w:proofErr w:type="spellStart"/>
      <w:r>
        <w:rPr>
          <w:rFonts w:ascii="Times New Roman" w:eastAsia="Times New Roman" w:hAnsi="Times New Roman" w:cs="Times New Roman"/>
          <w:color w:val="333333"/>
          <w:kern w:val="0"/>
        </w:rPr>
        <w:t>xélan</w:t>
      </w:r>
      <w:proofErr w:type="spellEnd"/>
      <w:r>
        <w:rPr>
          <w:rFonts w:ascii="Times New Roman" w:eastAsia="Times New Roman" w:hAnsi="Times New Roman" w:cs="Times New Roman"/>
          <w:color w:val="333333"/>
          <w:kern w:val="0"/>
        </w:rPr>
        <w:t xml:space="preserve"> Foundation charity. Growth on contributions within the Family Public Charity accounts accrue [sic] tax deferred. Doctor donors may direct the use of funds accumulated within their family public charity accounts to finance charitable projects including personal teaching, research, pro bono works, [and] college and graduate scholarship programs.” Furthermore, “Donors and their family members may work for and be compensated by their family public charities for good works (teaching, research, or providing pro bono services) they perform on behalf of their family public charities.” Furthermore the Court noted that “the program's terms further provided that the loans could be repaid (with interest) either through repayments generally commencing 5 years after graduation or </w:t>
      </w:r>
      <w:r>
        <w:rPr>
          <w:rFonts w:ascii="Times New Roman" w:eastAsia="Times New Roman" w:hAnsi="Times New Roman" w:cs="Times New Roman"/>
          <w:b/>
          <w:bCs/>
          <w:color w:val="333333"/>
          <w:kern w:val="0"/>
        </w:rPr>
        <w:t xml:space="preserve">by the recipient's providing charitable services for designated periods </w:t>
      </w:r>
      <w:r>
        <w:rPr>
          <w:rFonts w:ascii="Times New Roman" w:eastAsia="Times New Roman" w:hAnsi="Times New Roman" w:cs="Times New Roman"/>
          <w:color w:val="333333"/>
          <w:kern w:val="0"/>
        </w:rPr>
        <w:t xml:space="preserve">(emphasis added).” The promotional material indicated that there was an expectation of loan forgiveness in exchange for “charitable services.” </w:t>
      </w:r>
      <w:proofErr w:type="spellStart"/>
      <w:r>
        <w:rPr>
          <w:rFonts w:ascii="Times New Roman" w:eastAsia="Times New Roman" w:hAnsi="Times New Roman" w:cs="Times New Roman"/>
          <w:color w:val="333333"/>
          <w:kern w:val="0"/>
        </w:rPr>
        <w:t>xelan</w:t>
      </w:r>
      <w:proofErr w:type="spellEnd"/>
      <w:r>
        <w:rPr>
          <w:rFonts w:ascii="Times New Roman" w:eastAsia="Times New Roman" w:hAnsi="Times New Roman" w:cs="Times New Roman"/>
          <w:color w:val="333333"/>
          <w:kern w:val="0"/>
        </w:rPr>
        <w:t xml:space="preserve"> further promoted itself as a tax reduction strategy, education funding solution, and retirement planning tool, rather than just a charitable giving vehicle. The Foundation’s exempt status was later revoked in 2010 specifically because it advanced no charitable purpose other </w:t>
      </w:r>
      <w:proofErr w:type="spellStart"/>
      <w:r>
        <w:rPr>
          <w:rFonts w:ascii="Times New Roman" w:eastAsia="Times New Roman" w:hAnsi="Times New Roman" w:cs="Times New Roman"/>
          <w:color w:val="333333"/>
          <w:kern w:val="0"/>
        </w:rPr>
        <w:t>that</w:t>
      </w:r>
      <w:proofErr w:type="spellEnd"/>
      <w:r>
        <w:rPr>
          <w:rFonts w:ascii="Times New Roman" w:eastAsia="Times New Roman" w:hAnsi="Times New Roman" w:cs="Times New Roman"/>
          <w:color w:val="333333"/>
          <w:kern w:val="0"/>
        </w:rPr>
        <w:t xml:space="preserve"> benefitting its donors – the student loan program was not a charitable purpose but rather a way to inure private benefit to donors as it was solely directed to their children and family. </w:t>
      </w:r>
      <w:r>
        <w:rPr>
          <w:rFonts w:ascii="Times New Roman" w:eastAsia="Times New Roman" w:hAnsi="Times New Roman" w:cs="Times New Roman"/>
          <w:i/>
          <w:iCs/>
          <w:color w:val="333333"/>
          <w:kern w:val="0"/>
        </w:rPr>
        <w:t>See Fausner v. Commissioner</w:t>
      </w:r>
      <w:r>
        <w:rPr>
          <w:rFonts w:ascii="Times New Roman" w:eastAsia="Times New Roman" w:hAnsi="Times New Roman" w:cs="Times New Roman"/>
          <w:color w:val="333333"/>
          <w:kern w:val="0"/>
        </w:rPr>
        <w:t xml:space="preserve">, 55 T.C. 620, 624 (1971) (taxpayer's payment of </w:t>
      </w:r>
      <w:r>
        <w:rPr>
          <w:rFonts w:ascii="Times New Roman" w:eastAsia="Times New Roman" w:hAnsi="Times New Roman" w:cs="Times New Roman"/>
          <w:color w:val="333333"/>
          <w:kern w:val="0"/>
        </w:rPr>
        <w:lastRenderedPageBreak/>
        <w:t xml:space="preserve">children's secondary school tuition is a personal, not a charitable, expenditure); </w:t>
      </w:r>
      <w:r>
        <w:rPr>
          <w:rFonts w:ascii="Times New Roman" w:eastAsia="Times New Roman" w:hAnsi="Times New Roman" w:cs="Times New Roman"/>
          <w:i/>
          <w:iCs/>
          <w:color w:val="333333"/>
          <w:kern w:val="0"/>
        </w:rPr>
        <w:t>Whitaker v. Commissioner</w:t>
      </w:r>
      <w:r>
        <w:rPr>
          <w:rFonts w:ascii="Times New Roman" w:eastAsia="Times New Roman" w:hAnsi="Times New Roman" w:cs="Times New Roman"/>
          <w:color w:val="333333"/>
          <w:kern w:val="0"/>
        </w:rPr>
        <w:t>, T.C. Memo. 1994-109 (to same effect for college tuition).</w:t>
      </w:r>
    </w:p>
    <w:p w14:paraId="06D4EB4E" w14:textId="77777777" w:rsidR="00A16E54" w:rsidRPr="00A16E54" w:rsidRDefault="00A16E54" w:rsidP="00A16E54">
      <w:pPr>
        <w:shd w:val="clear" w:color="auto" w:fill="FFFFFF"/>
        <w:spacing w:after="0" w:line="240" w:lineRule="auto"/>
        <w:jc w:val="both"/>
        <w:rPr>
          <w:rFonts w:ascii="Times New Roman" w:eastAsia="Times New Roman" w:hAnsi="Times New Roman" w:cs="Times New Roman"/>
          <w:color w:val="333333"/>
          <w:kern w:val="0"/>
        </w:rPr>
      </w:pPr>
    </w:p>
    <w:p w14:paraId="0826B91F" w14:textId="14831360" w:rsidR="000D4E23" w:rsidRPr="000D4E23" w:rsidRDefault="000D4E23" w:rsidP="000D4E23">
      <w:pPr>
        <w:jc w:val="both"/>
        <w:rPr>
          <w:rFonts w:ascii="Times New Roman" w:hAnsi="Times New Roman" w:cs="Times New Roman"/>
        </w:rPr>
      </w:pPr>
      <w:r>
        <w:rPr>
          <w:rFonts w:ascii="Times New Roman" w:hAnsi="Times New Roman" w:cs="Times New Roman"/>
        </w:rPr>
        <w:t xml:space="preserve">Following the recommendation of a </w:t>
      </w:r>
      <w:proofErr w:type="spellStart"/>
      <w:r>
        <w:rPr>
          <w:rFonts w:ascii="Times New Roman" w:hAnsi="Times New Roman" w:cs="Times New Roman"/>
        </w:rPr>
        <w:t>xélan</w:t>
      </w:r>
      <w:proofErr w:type="spellEnd"/>
      <w:r>
        <w:rPr>
          <w:rFonts w:ascii="Times New Roman" w:hAnsi="Times New Roman" w:cs="Times New Roman"/>
        </w:rPr>
        <w:t xml:space="preserve"> financial counselor, and with the understanding that he could use the funds for his three children's future educational expenses, Dr. </w:t>
      </w:r>
      <w:proofErr w:type="spellStart"/>
      <w:r>
        <w:rPr>
          <w:rFonts w:ascii="Times New Roman" w:hAnsi="Times New Roman" w:cs="Times New Roman"/>
        </w:rPr>
        <w:t>Viralam</w:t>
      </w:r>
      <w:proofErr w:type="spellEnd"/>
      <w:r>
        <w:rPr>
          <w:rFonts w:ascii="Times New Roman" w:hAnsi="Times New Roman" w:cs="Times New Roman"/>
        </w:rPr>
        <w:t xml:space="preserve"> established a Foundation account in 1998. He transferred stocks valued at $262,433 and paid $1,500 in fees and initial contributions. He then claimed a charitable deduction for the full amount on his 1998 tax return and did not report the capital gains when the Foundation later sold the stock.</w:t>
      </w:r>
    </w:p>
    <w:p w14:paraId="50988B6A" w14:textId="66EA5F6A" w:rsidR="000D4E23" w:rsidRDefault="000D4E23" w:rsidP="000D4E23">
      <w:pPr>
        <w:jc w:val="both"/>
        <w:rPr>
          <w:rFonts w:ascii="Times New Roman" w:hAnsi="Times New Roman" w:cs="Times New Roman"/>
        </w:rPr>
      </w:pPr>
      <w:r>
        <w:rPr>
          <w:rFonts w:ascii="Times New Roman" w:hAnsi="Times New Roman" w:cs="Times New Roman"/>
        </w:rPr>
        <w:t xml:space="preserve">From 1999 to 2003, distributions from the account included $15,500 to legitimate charities. However, the vast majority of the funds were used for personal benefit. In 2001 and 2002, at Dr. </w:t>
      </w:r>
      <w:proofErr w:type="spellStart"/>
      <w:r>
        <w:rPr>
          <w:rFonts w:ascii="Times New Roman" w:hAnsi="Times New Roman" w:cs="Times New Roman"/>
        </w:rPr>
        <w:t>Viralam's</w:t>
      </w:r>
      <w:proofErr w:type="spellEnd"/>
      <w:r>
        <w:rPr>
          <w:rFonts w:ascii="Times New Roman" w:hAnsi="Times New Roman" w:cs="Times New Roman"/>
        </w:rPr>
        <w:t xml:space="preserve"> request, the Foundation distributed a total of $70,299 to the University of Pennsylvania as student loans for his son, Vinay. The approval for the first loan was perfunctory; the Foundation sent Dr. </w:t>
      </w:r>
      <w:proofErr w:type="spellStart"/>
      <w:r>
        <w:rPr>
          <w:rFonts w:ascii="Times New Roman" w:hAnsi="Times New Roman" w:cs="Times New Roman"/>
        </w:rPr>
        <w:t>Viralam</w:t>
      </w:r>
      <w:proofErr w:type="spellEnd"/>
      <w:r>
        <w:rPr>
          <w:rFonts w:ascii="Times New Roman" w:hAnsi="Times New Roman" w:cs="Times New Roman"/>
        </w:rPr>
        <w:t xml:space="preserve"> a pre-approved form before he had even signed the request.</w:t>
      </w:r>
    </w:p>
    <w:p w14:paraId="1FD0FA37" w14:textId="2F1BD2E5" w:rsidR="008B602B" w:rsidRDefault="008B602B" w:rsidP="008B602B">
      <w:pPr>
        <w:shd w:val="clear" w:color="auto" w:fill="FFFFFF"/>
        <w:spacing w:after="0"/>
        <w:jc w:val="both"/>
        <w:rPr>
          <w:rFonts w:ascii="Times New Roman" w:eastAsia="Times New Roman" w:hAnsi="Times New Roman" w:cs="Times New Roman"/>
          <w:color w:val="333333"/>
          <w:kern w:val="0"/>
        </w:rPr>
      </w:pPr>
      <w:r>
        <w:rPr>
          <w:rFonts w:ascii="Times New Roman" w:eastAsia="Times New Roman" w:hAnsi="Times New Roman" w:cs="Times New Roman"/>
          <w:color w:val="333333"/>
          <w:kern w:val="0"/>
        </w:rPr>
        <w:t xml:space="preserve">Vinay entered into a commitment agreement, in which he agreed to participate in the Foundation's "Educational Funding Program" and, in return for receiving educational loans from the Foundation, to provide 2,000 hours of charitable work for the Foundation for each year of educational expenses advanced. The commitment agreement stated that if Vinay did not undertake sufficient charitable work to repay the educational expenses advanced, he would repay the Foundation all educational expenses advanced that were not reduced by charitable services, together with interest according to the terms of the repayment agreement. As such, there was expectation that in exchange for an hourly commitment of volunteer work, </w:t>
      </w:r>
      <w:r>
        <w:rPr>
          <w:rFonts w:ascii="Times New Roman" w:eastAsia="Times New Roman" w:hAnsi="Times New Roman" w:cs="Times New Roman"/>
          <w:color w:val="333333"/>
          <w:kern w:val="0"/>
          <w:u w:val="single"/>
        </w:rPr>
        <w:t>the entire student loan would be forgiven</w:t>
      </w:r>
      <w:r>
        <w:rPr>
          <w:rFonts w:ascii="Times New Roman" w:eastAsia="Times New Roman" w:hAnsi="Times New Roman" w:cs="Times New Roman"/>
          <w:color w:val="333333"/>
          <w:kern w:val="0"/>
        </w:rPr>
        <w:t>.</w:t>
      </w:r>
    </w:p>
    <w:p w14:paraId="2BE29A37" w14:textId="77777777" w:rsidR="008B602B" w:rsidRPr="008B602B" w:rsidRDefault="008B602B" w:rsidP="008B602B">
      <w:pPr>
        <w:shd w:val="clear" w:color="auto" w:fill="FFFFFF"/>
        <w:spacing w:after="0"/>
        <w:jc w:val="both"/>
        <w:rPr>
          <w:rFonts w:ascii="Times New Roman" w:eastAsia="Times New Roman" w:hAnsi="Times New Roman" w:cs="Times New Roman"/>
          <w:color w:val="333333"/>
          <w:kern w:val="0"/>
        </w:rPr>
      </w:pPr>
    </w:p>
    <w:p w14:paraId="07294158" w14:textId="67CD7D6A" w:rsidR="000D4E23" w:rsidRDefault="000D4E23" w:rsidP="000D4E23">
      <w:pPr>
        <w:jc w:val="both"/>
        <w:rPr>
          <w:rFonts w:ascii="Times New Roman" w:hAnsi="Times New Roman" w:cs="Times New Roman"/>
        </w:rPr>
      </w:pPr>
      <w:r>
        <w:rPr>
          <w:rFonts w:ascii="Times New Roman" w:hAnsi="Times New Roman" w:cs="Times New Roman"/>
        </w:rPr>
        <w:t xml:space="preserve">After the IRS commenced an examination in 2001, Dr. </w:t>
      </w:r>
      <w:proofErr w:type="spellStart"/>
      <w:r>
        <w:rPr>
          <w:rFonts w:ascii="Times New Roman" w:hAnsi="Times New Roman" w:cs="Times New Roman"/>
        </w:rPr>
        <w:t>Viralam</w:t>
      </w:r>
      <w:proofErr w:type="spellEnd"/>
      <w:r>
        <w:rPr>
          <w:rFonts w:ascii="Times New Roman" w:hAnsi="Times New Roman" w:cs="Times New Roman"/>
        </w:rPr>
        <w:t xml:space="preserve"> arranged for the $70,300 principal of the loans to be repaid in 2003, just before the IRS issued a notice of deficiency. The Foundation </w:t>
      </w:r>
      <w:r>
        <w:rPr>
          <w:rFonts w:ascii="Times New Roman" w:hAnsi="Times New Roman" w:cs="Times New Roman"/>
          <w:b/>
          <w:bCs/>
        </w:rPr>
        <w:t>then waived all accrued interest</w:t>
      </w:r>
      <w:r>
        <w:rPr>
          <w:rFonts w:ascii="Times New Roman" w:hAnsi="Times New Roman" w:cs="Times New Roman"/>
        </w:rPr>
        <w:t xml:space="preserve"> (emphasis added) and marked the loans as "paid in full.” The IRS disallowed the charitable deduction, arguing the transfers were not completed gifts.</w:t>
      </w:r>
    </w:p>
    <w:p w14:paraId="4E6B9EB1" w14:textId="5354BECC" w:rsidR="00E0567E" w:rsidRPr="00877420" w:rsidRDefault="00DA32C6" w:rsidP="00DA32C6">
      <w:pPr>
        <w:pStyle w:val="ListParagraph"/>
        <w:numPr>
          <w:ilvl w:val="0"/>
          <w:numId w:val="5"/>
        </w:numPr>
        <w:jc w:val="both"/>
        <w:rPr>
          <w:rFonts w:ascii="Times New Roman" w:hAnsi="Times New Roman" w:cs="Times New Roman"/>
          <w:u w:val="single"/>
        </w:rPr>
      </w:pPr>
      <w:proofErr w:type="spellStart"/>
      <w:r>
        <w:rPr>
          <w:rFonts w:ascii="Times New Roman" w:hAnsi="Times New Roman" w:cs="Times New Roman"/>
          <w:i/>
          <w:iCs/>
          <w:u w:val="single"/>
        </w:rPr>
        <w:t>Viralam</w:t>
      </w:r>
      <w:proofErr w:type="spellEnd"/>
      <w:r>
        <w:rPr>
          <w:rFonts w:ascii="Times New Roman" w:hAnsi="Times New Roman" w:cs="Times New Roman"/>
          <w:u w:val="single"/>
        </w:rPr>
        <w:t xml:space="preserve"> Conclusions</w:t>
      </w:r>
    </w:p>
    <w:p w14:paraId="1109B158" w14:textId="1DEA33FD" w:rsidR="000D4E23" w:rsidRPr="00DA32C6" w:rsidRDefault="000D4E23" w:rsidP="00B57060">
      <w:pPr>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i/>
          <w:iCs/>
        </w:rPr>
        <w:t>Viralam</w:t>
      </w:r>
      <w:proofErr w:type="spellEnd"/>
      <w:r>
        <w:rPr>
          <w:rFonts w:ascii="Times New Roman" w:hAnsi="Times New Roman" w:cs="Times New Roman"/>
          <w:i/>
          <w:iCs/>
        </w:rPr>
        <w:t xml:space="preserve"> </w:t>
      </w:r>
      <w:r>
        <w:rPr>
          <w:rFonts w:ascii="Times New Roman" w:hAnsi="Times New Roman" w:cs="Times New Roman"/>
        </w:rPr>
        <w:t xml:space="preserve">Court found: </w:t>
      </w:r>
    </w:p>
    <w:p w14:paraId="31301AB6" w14:textId="33815830" w:rsidR="00E0567E" w:rsidRPr="00DA32C6" w:rsidRDefault="000D4E23" w:rsidP="000D4E23">
      <w:pPr>
        <w:ind w:left="1440" w:right="1440"/>
        <w:jc w:val="both"/>
        <w:rPr>
          <w:rFonts w:ascii="Times New Roman" w:hAnsi="Times New Roman" w:cs="Times New Roman"/>
        </w:rPr>
      </w:pPr>
      <w:r>
        <w:rPr>
          <w:rFonts w:ascii="Times New Roman" w:hAnsi="Times New Roman" w:cs="Times New Roman"/>
        </w:rPr>
        <w:t xml:space="preserve">We agree with respondent that petitioner retained dominion and control over the property transferred to the Foundation and held in his Foundation account. We reach this conclusion principally on the basis of the </w:t>
      </w:r>
      <w:r>
        <w:rPr>
          <w:rFonts w:ascii="Times New Roman" w:hAnsi="Times New Roman" w:cs="Times New Roman"/>
          <w:b/>
          <w:bCs/>
        </w:rPr>
        <w:t>use of funds in petitioner’s Foundation account for student loans</w:t>
      </w:r>
      <w:r>
        <w:rPr>
          <w:rFonts w:ascii="Times New Roman" w:hAnsi="Times New Roman" w:cs="Times New Roman"/>
        </w:rPr>
        <w:t xml:space="preserve"> (emphasis added) to his son. We also find that the promotion of another Foundation account feature — petitioner’s ability to arrange for distributions of account funds </w:t>
      </w:r>
      <w:r>
        <w:rPr>
          <w:rFonts w:ascii="Times New Roman" w:hAnsi="Times New Roman" w:cs="Times New Roman"/>
          <w:b/>
          <w:bCs/>
        </w:rPr>
        <w:t>to compensate himself</w:t>
      </w:r>
      <w:r>
        <w:rPr>
          <w:rFonts w:ascii="Times New Roman" w:hAnsi="Times New Roman" w:cs="Times New Roman"/>
        </w:rPr>
        <w:t xml:space="preserve"> </w:t>
      </w:r>
      <w:r>
        <w:rPr>
          <w:rFonts w:ascii="Times New Roman" w:hAnsi="Times New Roman" w:cs="Times New Roman"/>
          <w:b/>
          <w:bCs/>
        </w:rPr>
        <w:t>or family members for performance of “good works</w:t>
      </w:r>
      <w:r>
        <w:rPr>
          <w:rFonts w:ascii="Times New Roman" w:hAnsi="Times New Roman" w:cs="Times New Roman"/>
        </w:rPr>
        <w:t xml:space="preserve">” </w:t>
      </w:r>
      <w:r>
        <w:rPr>
          <w:rFonts w:ascii="Times New Roman" w:hAnsi="Times New Roman" w:cs="Times New Roman"/>
        </w:rPr>
        <w:lastRenderedPageBreak/>
        <w:t>(emphasis added) — also supports the conclusion that petitioner maintained control of the assets in his Foundation account.</w:t>
      </w:r>
    </w:p>
    <w:p w14:paraId="1E44578B" w14:textId="3FC9B047" w:rsidR="006C57B6" w:rsidRPr="00DA32C6" w:rsidRDefault="000D4E23" w:rsidP="00B57060">
      <w:pPr>
        <w:jc w:val="both"/>
        <w:rPr>
          <w:rFonts w:ascii="Times New Roman" w:hAnsi="Times New Roman" w:cs="Times New Roman"/>
        </w:rPr>
      </w:pPr>
      <w:r>
        <w:rPr>
          <w:rFonts w:ascii="Times New Roman" w:hAnsi="Times New Roman" w:cs="Times New Roman"/>
        </w:rPr>
        <w:t xml:space="preserve">As to the first issue, self-dealing by making favorable student loans, the Court focused on the fact that “more significantly, when petitioner repaid the principal amount of Vinay’s student loans, the Foundation </w:t>
      </w:r>
      <w:r>
        <w:rPr>
          <w:rFonts w:ascii="Times New Roman" w:hAnsi="Times New Roman" w:cs="Times New Roman"/>
          <w:b/>
          <w:bCs/>
        </w:rPr>
        <w:t>waived all accrued interest</w:t>
      </w:r>
      <w:r>
        <w:rPr>
          <w:rFonts w:ascii="Times New Roman" w:hAnsi="Times New Roman" w:cs="Times New Roman"/>
        </w:rPr>
        <w:t xml:space="preserve">, notwithstanding the terms of the repayment agreement providing that interest was to accrue commencing on the date the agreement was entered.” In conjunction with the promotion materials specifically referring to loan forgiveness in exchange for 2,000 hours of charitable work and the fact that the payment of the principal was only made after the audit examination had been conducted, this forgiveness of interest gave rise to the Court’s conclusion that there “is no reason to believe that the Foundation would enforce any rights it held against petitioner by virtue of his execution of the ‘Fund Advisor Statement’.” </w:t>
      </w:r>
    </w:p>
    <w:p w14:paraId="3BAF3706" w14:textId="005C01CC" w:rsidR="006C57B6" w:rsidRDefault="00454A7F" w:rsidP="00B57060">
      <w:pPr>
        <w:jc w:val="both"/>
        <w:rPr>
          <w:rFonts w:ascii="Times New Roman" w:hAnsi="Times New Roman" w:cs="Times New Roman"/>
        </w:rPr>
      </w:pPr>
      <w:r>
        <w:rPr>
          <w:rFonts w:ascii="Times New Roman" w:hAnsi="Times New Roman" w:cs="Times New Roman"/>
        </w:rPr>
        <w:t xml:space="preserve">As to the second issue related to self-compensation for “good works,” the Court emphasized “a donor advised fund creator’s option to receive fund assets as compensation for the performance of charitable services by himself or family members has been treated as evidence of retained dominion and control.” </w:t>
      </w:r>
      <w:r>
        <w:rPr>
          <w:rFonts w:ascii="Times New Roman" w:hAnsi="Times New Roman" w:cs="Times New Roman"/>
          <w:i/>
          <w:iCs/>
        </w:rPr>
        <w:t>New Dynamics Found. v. United States</w:t>
      </w:r>
      <w:r>
        <w:rPr>
          <w:rFonts w:ascii="Times New Roman" w:hAnsi="Times New Roman" w:cs="Times New Roman"/>
        </w:rPr>
        <w:t>, 70 Fed. Cl. 782, 800-801 (2006). </w:t>
      </w:r>
    </w:p>
    <w:p w14:paraId="2F60A680" w14:textId="7D33C620" w:rsidR="00974BB4" w:rsidRDefault="00DA32C6" w:rsidP="00A37124">
      <w:pPr>
        <w:pStyle w:val="ListParagraph"/>
        <w:numPr>
          <w:ilvl w:val="0"/>
          <w:numId w:val="5"/>
        </w:numPr>
        <w:spacing w:after="0" w:line="240" w:lineRule="auto"/>
        <w:jc w:val="both"/>
        <w:rPr>
          <w:rFonts w:ascii="Times New Roman" w:hAnsi="Times New Roman" w:cs="Times New Roman"/>
          <w:u w:val="single"/>
        </w:rPr>
      </w:pPr>
      <w:r>
        <w:rPr>
          <w:rFonts w:ascii="Times New Roman" w:hAnsi="Times New Roman" w:cs="Times New Roman"/>
          <w:u w:val="single"/>
        </w:rPr>
        <w:t xml:space="preserve">Why </w:t>
      </w:r>
      <w:proofErr w:type="spellStart"/>
      <w:r>
        <w:rPr>
          <w:rFonts w:ascii="Times New Roman" w:hAnsi="Times New Roman" w:cs="Times New Roman"/>
          <w:i/>
          <w:iCs/>
          <w:u w:val="single"/>
        </w:rPr>
        <w:t>Viralam</w:t>
      </w:r>
      <w:proofErr w:type="spellEnd"/>
      <w:r>
        <w:rPr>
          <w:rFonts w:ascii="Times New Roman" w:hAnsi="Times New Roman" w:cs="Times New Roman"/>
          <w:i/>
          <w:iCs/>
          <w:u w:val="single"/>
        </w:rPr>
        <w:t xml:space="preserve"> </w:t>
      </w:r>
      <w:r>
        <w:rPr>
          <w:rFonts w:ascii="Times New Roman" w:hAnsi="Times New Roman" w:cs="Times New Roman"/>
          <w:u w:val="single"/>
        </w:rPr>
        <w:t>Does Not Apply</w:t>
      </w:r>
    </w:p>
    <w:p w14:paraId="337BBC0F" w14:textId="77777777" w:rsidR="00A37124" w:rsidRDefault="00A37124" w:rsidP="00A37124">
      <w:pPr>
        <w:pStyle w:val="ListParagraph"/>
        <w:spacing w:after="0" w:line="240" w:lineRule="auto"/>
        <w:jc w:val="both"/>
        <w:rPr>
          <w:rFonts w:ascii="Times New Roman" w:hAnsi="Times New Roman" w:cs="Times New Roman"/>
          <w:u w:val="single"/>
        </w:rPr>
      </w:pPr>
    </w:p>
    <w:p w14:paraId="148655AC" w14:textId="00F2858F" w:rsidR="00A37124" w:rsidRDefault="007B7D21" w:rsidP="00A37124">
      <w:pPr>
        <w:pStyle w:val="ListParagraph"/>
        <w:numPr>
          <w:ilvl w:val="0"/>
          <w:numId w:val="10"/>
        </w:numPr>
        <w:spacing w:after="0" w:line="240" w:lineRule="auto"/>
        <w:jc w:val="both"/>
        <w:rPr>
          <w:rFonts w:ascii="Times New Roman" w:hAnsi="Times New Roman" w:cs="Times New Roman"/>
        </w:rPr>
      </w:pPr>
      <w:r>
        <w:rPr>
          <w:rFonts w:ascii="Times New Roman" w:hAnsi="Times New Roman" w:cs="Times New Roman"/>
        </w:rPr>
        <w:t>Overview</w:t>
      </w:r>
    </w:p>
    <w:p w14:paraId="36E37D91" w14:textId="77777777" w:rsidR="00A37124" w:rsidRPr="00A37124" w:rsidRDefault="00A37124" w:rsidP="00A37124">
      <w:pPr>
        <w:spacing w:after="0" w:line="240" w:lineRule="auto"/>
        <w:ind w:left="720"/>
        <w:jc w:val="both"/>
        <w:rPr>
          <w:rFonts w:ascii="Times New Roman" w:hAnsi="Times New Roman" w:cs="Times New Roman"/>
        </w:rPr>
      </w:pPr>
    </w:p>
    <w:p w14:paraId="5018F460" w14:textId="3EC7DD6C" w:rsidR="00BD373A" w:rsidRDefault="00CB1CFA" w:rsidP="004452EB">
      <w:pPr>
        <w:jc w:val="both"/>
        <w:rPr>
          <w:rFonts w:ascii="Times New Roman" w:hAnsi="Times New Roman" w:cs="Times New Roman"/>
        </w:rPr>
      </w:pPr>
      <w:r>
        <w:rPr>
          <w:rFonts w:ascii="Times New Roman" w:hAnsi="Times New Roman" w:cs="Times New Roman"/>
        </w:rPr>
        <w:t xml:space="preserve">First, while the “student loan” in </w:t>
      </w:r>
      <w:proofErr w:type="spellStart"/>
      <w:r>
        <w:rPr>
          <w:rFonts w:ascii="Times New Roman" w:hAnsi="Times New Roman" w:cs="Times New Roman"/>
          <w:i/>
          <w:iCs/>
        </w:rPr>
        <w:t>Viralam</w:t>
      </w:r>
      <w:proofErr w:type="spellEnd"/>
      <w:r>
        <w:rPr>
          <w:rFonts w:ascii="Times New Roman" w:hAnsi="Times New Roman" w:cs="Times New Roman"/>
          <w:i/>
          <w:iCs/>
        </w:rPr>
        <w:t xml:space="preserve"> </w:t>
      </w:r>
      <w:r>
        <w:rPr>
          <w:rFonts w:ascii="Times New Roman" w:hAnsi="Times New Roman" w:cs="Times New Roman"/>
        </w:rPr>
        <w:t>has the characteristics of income, the loan in the Taxpayer’s case has all of the underpinnings of bona fide debt. The absence of “a maturity date, repayment schedule of regular interest and principal payments, and collateral to secure payment” strongly suggests a transfer is not a bona fide debt.</w:t>
      </w:r>
      <w:bookmarkStart w:id="0" w:name="13-ref"/>
      <w:bookmarkEnd w:id="0"/>
      <w:r>
        <w:rPr>
          <w:rFonts w:ascii="Times New Roman" w:hAnsi="Times New Roman" w:cs="Times New Roman"/>
        </w:rPr>
        <w:t> See </w:t>
      </w:r>
      <w:r>
        <w:rPr>
          <w:rFonts w:ascii="Times New Roman" w:hAnsi="Times New Roman" w:cs="Times New Roman"/>
          <w:i/>
          <w:iCs/>
        </w:rPr>
        <w:t>Sundby v. Commissioner,</w:t>
      </w:r>
      <w:r>
        <w:rPr>
          <w:rFonts w:ascii="Times New Roman" w:hAnsi="Times New Roman" w:cs="Times New Roman"/>
        </w:rPr>
        <w:t xml:space="preserve"> T.C. Memo. 2003-204, 2003 WL 21638265 at *4. If the transaction </w:t>
      </w:r>
      <w:r>
        <w:rPr>
          <w:rFonts w:ascii="Times New Roman" w:hAnsi="Times New Roman" w:cs="Times New Roman"/>
          <w:b/>
          <w:bCs/>
        </w:rPr>
        <w:t>lacks interest, repayment schedules, and security</w:t>
      </w:r>
      <w:r>
        <w:rPr>
          <w:rFonts w:ascii="Times New Roman" w:hAnsi="Times New Roman" w:cs="Times New Roman"/>
        </w:rPr>
        <w:t>, it is highly unlikely that it will be treated as a loan.</w:t>
      </w:r>
      <w:r>
        <w:rPr>
          <w:rFonts w:ascii="Times New Roman" w:hAnsi="Times New Roman" w:cs="Times New Roman"/>
          <w:i/>
          <w:iCs/>
        </w:rPr>
        <w:t xml:space="preserve"> See, e.g.,</w:t>
      </w:r>
      <w:r>
        <w:rPr>
          <w:rFonts w:ascii="Times New Roman" w:hAnsi="Times New Roman" w:cs="Times New Roman"/>
        </w:rPr>
        <w:t> </w:t>
      </w:r>
      <w:proofErr w:type="spellStart"/>
      <w:r>
        <w:rPr>
          <w:rFonts w:ascii="Times New Roman" w:hAnsi="Times New Roman" w:cs="Times New Roman"/>
          <w:i/>
          <w:iCs/>
        </w:rPr>
        <w:t>Sotiros</w:t>
      </w:r>
      <w:proofErr w:type="spellEnd"/>
      <w:r>
        <w:rPr>
          <w:rFonts w:ascii="Times New Roman" w:hAnsi="Times New Roman" w:cs="Times New Roman"/>
          <w:i/>
          <w:iCs/>
        </w:rPr>
        <w:t xml:space="preserve"> v. Commissioner</w:t>
      </w:r>
      <w:r>
        <w:rPr>
          <w:rFonts w:ascii="Times New Roman" w:hAnsi="Times New Roman" w:cs="Times New Roman"/>
        </w:rPr>
        <w:t>, T.C. Memo 1991-95; </w:t>
      </w:r>
      <w:r>
        <w:rPr>
          <w:rFonts w:ascii="Times New Roman" w:hAnsi="Times New Roman" w:cs="Times New Roman"/>
          <w:i/>
          <w:iCs/>
        </w:rPr>
        <w:t>Nix v. Commissioner</w:t>
      </w:r>
      <w:r>
        <w:rPr>
          <w:rFonts w:ascii="Times New Roman" w:hAnsi="Times New Roman" w:cs="Times New Roman"/>
        </w:rPr>
        <w:t xml:space="preserve">, T.C. Memo 1982-330. Factors such as the </w:t>
      </w:r>
      <w:r>
        <w:rPr>
          <w:rFonts w:ascii="Times New Roman" w:hAnsi="Times New Roman" w:cs="Times New Roman"/>
          <w:b/>
          <w:bCs/>
        </w:rPr>
        <w:t xml:space="preserve">existence of a debt instrument, the existence of a written loan agreement, the provision of collateral securing the purported loan, the accrual of interest on the purported loan, the solvency of the purported borrower at the time of the purported loan, the treatment of the transferred funds as a loan by the purported lender and the purported borrower, a demand for repayment of the transferred funds, and the repayment of the transferred funds </w:t>
      </w:r>
      <w:r>
        <w:rPr>
          <w:rFonts w:ascii="Times New Roman" w:hAnsi="Times New Roman" w:cs="Times New Roman"/>
        </w:rPr>
        <w:t xml:space="preserve">indicate an advance is a loan, and, in fact bona fide debt. </w:t>
      </w:r>
      <w:r>
        <w:rPr>
          <w:rFonts w:ascii="Times New Roman" w:hAnsi="Times New Roman" w:cs="Times New Roman"/>
          <w:i/>
          <w:iCs/>
        </w:rPr>
        <w:t>Salloum v. Commissioner, T</w:t>
      </w:r>
      <w:r>
        <w:rPr>
          <w:rFonts w:ascii="Times New Roman" w:hAnsi="Times New Roman" w:cs="Times New Roman"/>
        </w:rPr>
        <w:t>.C. Memo 2017-127</w:t>
      </w:r>
      <w:r>
        <w:rPr>
          <w:rFonts w:ascii="Times New Roman" w:hAnsi="Times New Roman" w:cs="Times New Roman"/>
          <w:i/>
          <w:iCs/>
        </w:rPr>
        <w:t xml:space="preserve"> citing Haag v. Commissioner, </w:t>
      </w:r>
      <w:r>
        <w:rPr>
          <w:rFonts w:ascii="Times New Roman" w:hAnsi="Times New Roman" w:cs="Times New Roman"/>
        </w:rPr>
        <w:t>88 T.C. at 616 n.6</w:t>
      </w:r>
      <w:r>
        <w:rPr>
          <w:rFonts w:ascii="Times New Roman" w:hAnsi="Times New Roman" w:cs="Times New Roman"/>
          <w:i/>
          <w:iCs/>
        </w:rPr>
        <w:t xml:space="preserve">; Clark v. Commissioner, </w:t>
      </w:r>
      <w:r>
        <w:rPr>
          <w:rFonts w:ascii="Times New Roman" w:hAnsi="Times New Roman" w:cs="Times New Roman"/>
        </w:rPr>
        <w:t>18 T.C. 780, 783 (1952)</w:t>
      </w:r>
      <w:r>
        <w:rPr>
          <w:rFonts w:ascii="Times New Roman" w:hAnsi="Times New Roman" w:cs="Times New Roman"/>
          <w:i/>
          <w:iCs/>
        </w:rPr>
        <w:t xml:space="preserve">, </w:t>
      </w:r>
      <w:r>
        <w:rPr>
          <w:rFonts w:ascii="Times New Roman" w:hAnsi="Times New Roman" w:cs="Times New Roman"/>
        </w:rPr>
        <w:t xml:space="preserve">aff'd per </w:t>
      </w:r>
      <w:proofErr w:type="spellStart"/>
      <w:r>
        <w:rPr>
          <w:rFonts w:ascii="Times New Roman" w:hAnsi="Times New Roman" w:cs="Times New Roman"/>
        </w:rPr>
        <w:t>curiam</w:t>
      </w:r>
      <w:proofErr w:type="spellEnd"/>
      <w:r>
        <w:rPr>
          <w:rFonts w:ascii="Times New Roman" w:hAnsi="Times New Roman" w:cs="Times New Roman"/>
        </w:rPr>
        <w:t>, 205 F.2d 353 (2d Cir. 1953)</w:t>
      </w:r>
      <w:r>
        <w:rPr>
          <w:rFonts w:ascii="Times New Roman" w:hAnsi="Times New Roman" w:cs="Times New Roman"/>
          <w:i/>
          <w:iCs/>
        </w:rPr>
        <w:t>; McFadden v. Commissioner</w:t>
      </w:r>
      <w:r>
        <w:rPr>
          <w:rFonts w:ascii="Times New Roman" w:hAnsi="Times New Roman" w:cs="Times New Roman"/>
        </w:rPr>
        <w:t>, T.C. Memo. 2002-166, 2002 WL 1424637, at *8</w:t>
      </w:r>
      <w:r>
        <w:rPr>
          <w:rFonts w:ascii="Times New Roman" w:hAnsi="Times New Roman" w:cs="Times New Roman"/>
          <w:i/>
          <w:iCs/>
        </w:rPr>
        <w:t>.</w:t>
      </w:r>
      <w:r>
        <w:rPr>
          <w:rFonts w:ascii="Times New Roman" w:hAnsi="Times New Roman" w:cs="Times New Roman"/>
        </w:rPr>
        <w:t xml:space="preserve"> Likewise, if there is no written evidence of indebtedness, no guaranty or other security, and no restrictions on use, and the “loan” is made by a lessee to a lessor, it is likely that the transaction will be treated as income and not a loan. </w:t>
      </w:r>
      <w:r>
        <w:rPr>
          <w:rFonts w:ascii="Times New Roman" w:hAnsi="Times New Roman" w:cs="Times New Roman"/>
          <w:i/>
          <w:iCs/>
        </w:rPr>
        <w:t>See, e.g.,</w:t>
      </w:r>
      <w:r>
        <w:rPr>
          <w:rFonts w:ascii="Times New Roman" w:hAnsi="Times New Roman" w:cs="Times New Roman"/>
        </w:rPr>
        <w:t> </w:t>
      </w:r>
      <w:r>
        <w:rPr>
          <w:rFonts w:ascii="Times New Roman" w:hAnsi="Times New Roman" w:cs="Times New Roman"/>
          <w:i/>
          <w:iCs/>
        </w:rPr>
        <w:t>Adams v. Commissioner</w:t>
      </w:r>
      <w:r>
        <w:rPr>
          <w:rFonts w:ascii="Times New Roman" w:hAnsi="Times New Roman" w:cs="Times New Roman"/>
        </w:rPr>
        <w:t>, 58 T.C. 41 (1972); </w:t>
      </w:r>
      <w:r>
        <w:rPr>
          <w:rFonts w:ascii="Times New Roman" w:hAnsi="Times New Roman" w:cs="Times New Roman"/>
          <w:i/>
          <w:iCs/>
        </w:rPr>
        <w:t>see also</w:t>
      </w:r>
      <w:r>
        <w:rPr>
          <w:rFonts w:ascii="Times New Roman" w:hAnsi="Times New Roman" w:cs="Times New Roman"/>
        </w:rPr>
        <w:t xml:space="preserve"> PLR 9342006 (payments under adjustment account </w:t>
      </w:r>
      <w:r>
        <w:rPr>
          <w:rFonts w:ascii="Times New Roman" w:hAnsi="Times New Roman" w:cs="Times New Roman"/>
        </w:rPr>
        <w:lastRenderedPageBreak/>
        <w:t xml:space="preserve">constituted gross income because it set price for minimum payment under power sales agreement and did not evidence indebtedness); PLR 9337008 (same), PLR 9337007 (same). </w:t>
      </w:r>
    </w:p>
    <w:p w14:paraId="62EFD34D" w14:textId="4BF34E8A" w:rsidR="004452EB" w:rsidRPr="00044CF4" w:rsidRDefault="00B41A42" w:rsidP="004452EB">
      <w:pPr>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Viralam’s</w:t>
      </w:r>
      <w:proofErr w:type="spellEnd"/>
      <w:r>
        <w:rPr>
          <w:rFonts w:ascii="Times New Roman" w:hAnsi="Times New Roman" w:cs="Times New Roman"/>
        </w:rPr>
        <w:t xml:space="preserve"> knew they would never have to pay the student loan made for the benefit of their child as long as they conducted ambiguously undefined “good works,” for which no substantiation procedures had been provided. The Tax Court identified this at two levels: (1) the failure to make any payments on the student loan until after a notice of deficiency was submitted; and (2) the subsequent forgiveness of all interest after the principal had been repaid. The Tax Court further noted that the promotional materials in </w:t>
      </w:r>
      <w:proofErr w:type="spellStart"/>
      <w:r>
        <w:rPr>
          <w:rFonts w:ascii="Times New Roman" w:hAnsi="Times New Roman" w:cs="Times New Roman"/>
          <w:i/>
          <w:iCs/>
        </w:rPr>
        <w:t>Viralam</w:t>
      </w:r>
      <w:proofErr w:type="spellEnd"/>
      <w:r>
        <w:rPr>
          <w:rFonts w:ascii="Times New Roman" w:hAnsi="Times New Roman" w:cs="Times New Roman"/>
          <w:i/>
          <w:iCs/>
        </w:rPr>
        <w:t xml:space="preserve"> </w:t>
      </w:r>
      <w:r>
        <w:rPr>
          <w:rFonts w:ascii="Times New Roman" w:hAnsi="Times New Roman" w:cs="Times New Roman"/>
        </w:rPr>
        <w:t xml:space="preserve">indicated an intent to forgive the entire debt and the actions of the parties showed that, at the very least, the interest was forgiven and that the principal would have been forgiven if not for the ensuing audit. As such the “student loan” functioned more as a distribution or some form of income to the taxpayer, and did not satisfy the definition of debt, since there was the expectation that it would never be repaid. Here, Taxpayers contributed stock to the Partnership, after which 99% nonvoting membership interest in the </w:t>
      </w:r>
      <w:proofErr w:type="spellStart"/>
      <w:r>
        <w:rPr>
          <w:rFonts w:ascii="Times New Roman" w:hAnsi="Times New Roman" w:cs="Times New Roman"/>
        </w:rPr>
        <w:t>Parthership</w:t>
      </w:r>
      <w:proofErr w:type="spellEnd"/>
      <w:r>
        <w:rPr>
          <w:rFonts w:ascii="Times New Roman" w:hAnsi="Times New Roman" w:cs="Times New Roman"/>
        </w:rPr>
        <w:t xml:space="preserve"> was transferred to the Charity and some of the stock was later sold, with the proceeds leant to Debtor, at the required annual Applicable Federal Rate to be paid off with interest within 20 years. Annual interest payments have been made regularly every year from 2022 through 2025. Also, the Charity receives a copy of the Partnership’s Form 1065 filing every year and has visibility into the interest income for each taxable year. In the event payments were not made timely, the Charity could discern that and, through its legal rights under section 9.12 of the OA, may compel the interest payments to be paid and even challenge the Manager’s position if he fails to ensure the loan is performing. The loan here is also fully secured by a 100% interest in the Debtor, which is fully capitalized as all of the loan proceeds have been invested in a growing brokerage account that is owned by Debtor and worth more than the principal amount. As the loan in Taxpayer’s case is secured, evidenced in writing with specific payment and interest terms, and has been performing with regular annual interest payments made, the loan proceeds are “debt”.</w:t>
      </w:r>
    </w:p>
    <w:p w14:paraId="716A187A" w14:textId="776C30D5" w:rsidR="000D4056" w:rsidRDefault="00755AF7" w:rsidP="00B57060">
      <w:pPr>
        <w:jc w:val="both"/>
        <w:rPr>
          <w:rFonts w:ascii="Times New Roman" w:hAnsi="Times New Roman" w:cs="Times New Roman"/>
        </w:rPr>
      </w:pPr>
      <w:r>
        <w:rPr>
          <w:rFonts w:ascii="Times New Roman" w:hAnsi="Times New Roman" w:cs="Times New Roman"/>
        </w:rPr>
        <w:t xml:space="preserve">Furthermore, unlike in </w:t>
      </w:r>
      <w:proofErr w:type="spellStart"/>
      <w:r>
        <w:rPr>
          <w:rFonts w:ascii="Times New Roman" w:hAnsi="Times New Roman" w:cs="Times New Roman"/>
          <w:i/>
          <w:iCs/>
        </w:rPr>
        <w:t>Viralam</w:t>
      </w:r>
      <w:proofErr w:type="spellEnd"/>
      <w:r>
        <w:rPr>
          <w:rFonts w:ascii="Times New Roman" w:hAnsi="Times New Roman" w:cs="Times New Roman"/>
        </w:rPr>
        <w:t xml:space="preserve">, the Taxpayer has no control of the Charity nor has any board-position or other decision-making power on behalf of the Charity. In </w:t>
      </w:r>
      <w:proofErr w:type="spellStart"/>
      <w:r>
        <w:rPr>
          <w:rFonts w:ascii="Times New Roman" w:hAnsi="Times New Roman" w:cs="Times New Roman"/>
          <w:i/>
          <w:iCs/>
        </w:rPr>
        <w:t>Viralam</w:t>
      </w:r>
      <w:proofErr w:type="spellEnd"/>
      <w:r>
        <w:rPr>
          <w:rFonts w:ascii="Times New Roman" w:hAnsi="Times New Roman" w:cs="Times New Roman"/>
        </w:rPr>
        <w:t>, the Foundation’s accounts were split among the Donors, with the Donor’s being able to guide and determine what the Foundation does with the donated gift. The Donors could further pay themselves or their family compensation for conducting undefined good works “anytime you want” and their children could request loan forgiveness in exchange for good works and charity. Here, the Charity has full enforceable right over the interest in the Partnership, and regardless of how the Partnership’s assets are utilized, has a full and complete right over those assets and an ability to enforce said right. The Charity is wholly independent and has every incentive to enforce its right to the asset corpus of the CLLC. Like other cases</w:t>
      </w:r>
      <w:r>
        <w:rPr>
          <w:rStyle w:val="FootnoteReference"/>
          <w:rFonts w:ascii="Times New Roman" w:hAnsi="Times New Roman" w:cs="Times New Roman"/>
        </w:rPr>
        <w:footnoteReference w:id="2"/>
      </w:r>
      <w:r>
        <w:rPr>
          <w:rFonts w:ascii="Times New Roman" w:hAnsi="Times New Roman" w:cs="Times New Roman"/>
        </w:rPr>
        <w:t xml:space="preserve"> where the donor-taxpayer later borrowed from </w:t>
      </w:r>
      <w:proofErr w:type="spellStart"/>
      <w:r>
        <w:rPr>
          <w:rFonts w:ascii="Times New Roman" w:hAnsi="Times New Roman" w:cs="Times New Roman"/>
        </w:rPr>
        <w:t>donees</w:t>
      </w:r>
      <w:proofErr w:type="spellEnd"/>
      <w:r>
        <w:rPr>
          <w:rFonts w:ascii="Times New Roman" w:hAnsi="Times New Roman" w:cs="Times New Roman"/>
        </w:rPr>
        <w:t xml:space="preserve"> or </w:t>
      </w:r>
      <w:proofErr w:type="spellStart"/>
      <w:r>
        <w:rPr>
          <w:rFonts w:ascii="Times New Roman" w:hAnsi="Times New Roman" w:cs="Times New Roman"/>
        </w:rPr>
        <w:t>donee</w:t>
      </w:r>
      <w:proofErr w:type="spellEnd"/>
      <w:r>
        <w:rPr>
          <w:rFonts w:ascii="Times New Roman" w:hAnsi="Times New Roman" w:cs="Times New Roman"/>
        </w:rPr>
        <w:t>-</w:t>
      </w:r>
      <w:r>
        <w:rPr>
          <w:rFonts w:ascii="Times New Roman" w:hAnsi="Times New Roman" w:cs="Times New Roman"/>
        </w:rPr>
        <w:lastRenderedPageBreak/>
        <w:t xml:space="preserve">affiliated parties after making donations, the Court in </w:t>
      </w:r>
      <w:proofErr w:type="spellStart"/>
      <w:r>
        <w:rPr>
          <w:rFonts w:ascii="Times New Roman" w:hAnsi="Times New Roman" w:cs="Times New Roman"/>
          <w:i/>
          <w:iCs/>
        </w:rPr>
        <w:t>Viralam</w:t>
      </w:r>
      <w:proofErr w:type="spellEnd"/>
      <w:r>
        <w:rPr>
          <w:rFonts w:ascii="Times New Roman" w:hAnsi="Times New Roman" w:cs="Times New Roman"/>
        </w:rPr>
        <w:t xml:space="preserve"> does not in any way make an absolute finding that subsequent loans from a done to a donor abrogate relinquishment of “dominion and control” and invalidate a charitable deduction. Instead the </w:t>
      </w:r>
      <w:proofErr w:type="spellStart"/>
      <w:r>
        <w:rPr>
          <w:rFonts w:ascii="Times New Roman" w:hAnsi="Times New Roman" w:cs="Times New Roman"/>
          <w:i/>
          <w:iCs/>
        </w:rPr>
        <w:t>Viralam</w:t>
      </w:r>
      <w:proofErr w:type="spellEnd"/>
      <w:r>
        <w:rPr>
          <w:rFonts w:ascii="Times New Roman" w:hAnsi="Times New Roman" w:cs="Times New Roman"/>
        </w:rPr>
        <w:t xml:space="preserve"> Court couches its decision within the specific facts of the case, where the charity promoted a tax reduction strategy in which donors would donate money to which they retained a right to use as compensation for “good works” and which they could loan out to themselves with the expectation that they could pay no interest and have the loan forgiven in exchange for charity or “good works.” Here, there was a bona fide loan, bearing interest with well-documented payments being made, which is satisfactorily secured by 100% interest in the Debtor, and, effectively, its assets amounting to greater than the amount loaned. Furthermore, here, unlike in </w:t>
      </w:r>
      <w:proofErr w:type="spellStart"/>
      <w:r>
        <w:rPr>
          <w:rFonts w:ascii="Times New Roman" w:hAnsi="Times New Roman" w:cs="Times New Roman"/>
          <w:i/>
          <w:iCs/>
        </w:rPr>
        <w:t>Viralam</w:t>
      </w:r>
      <w:proofErr w:type="spellEnd"/>
      <w:r>
        <w:rPr>
          <w:rFonts w:ascii="Times New Roman" w:hAnsi="Times New Roman" w:cs="Times New Roman"/>
        </w:rPr>
        <w:t xml:space="preserve"> or the other cited cases, the charitable organization has a clear enforceable right to 99% of the assets of the Partnership and no subsequent behavior of the parties involved indicates a reluctance to exercise said right. In fact there is no incentive for the Charity not to enforce its rights to its pro rata share of distributions and assets. </w:t>
      </w:r>
    </w:p>
    <w:p w14:paraId="78B19175" w14:textId="700391FC" w:rsidR="007B7D21" w:rsidRDefault="007B7D21" w:rsidP="007B7D21">
      <w:pPr>
        <w:pStyle w:val="ListParagraph"/>
        <w:numPr>
          <w:ilvl w:val="0"/>
          <w:numId w:val="10"/>
        </w:numPr>
        <w:jc w:val="both"/>
        <w:rPr>
          <w:rFonts w:ascii="Times New Roman" w:hAnsi="Times New Roman" w:cs="Times New Roman"/>
        </w:rPr>
      </w:pPr>
      <w:r>
        <w:rPr>
          <w:rFonts w:ascii="Times New Roman" w:hAnsi="Times New Roman" w:cs="Times New Roman"/>
        </w:rPr>
        <w:t xml:space="preserve">Additional Note: </w:t>
      </w:r>
      <w:r>
        <w:rPr>
          <w:rFonts w:ascii="Times New Roman" w:hAnsi="Times New Roman" w:cs="Times New Roman"/>
          <w:i/>
          <w:iCs/>
        </w:rPr>
        <w:t>Estate of Petter</w:t>
      </w:r>
      <w:r>
        <w:rPr>
          <w:rFonts w:ascii="Times New Roman" w:hAnsi="Times New Roman" w:cs="Times New Roman"/>
        </w:rPr>
        <w:t xml:space="preserve"> and Non-Voting Interest as a Complete Gift</w:t>
      </w:r>
    </w:p>
    <w:p w14:paraId="179E5AD5" w14:textId="1CF16FBF" w:rsidR="00D045F0" w:rsidRPr="00D045F0" w:rsidRDefault="00D045F0" w:rsidP="00D045F0">
      <w:pPr>
        <w:jc w:val="center"/>
        <w:rPr>
          <w:rFonts w:ascii="Times New Roman" w:hAnsi="Times New Roman" w:cs="Times New Roman"/>
          <w:i/>
          <w:iCs/>
        </w:rPr>
      </w:pPr>
      <w:r>
        <w:rPr>
          <w:rFonts w:ascii="Times New Roman" w:hAnsi="Times New Roman" w:cs="Times New Roman"/>
          <w:i/>
          <w:iCs/>
        </w:rPr>
        <w:t>Petter Analysis</w:t>
      </w:r>
    </w:p>
    <w:p w14:paraId="564E87DE" w14:textId="31A4BAC8" w:rsidR="0070276A" w:rsidRDefault="0045094F" w:rsidP="0045094F">
      <w:pPr>
        <w:jc w:val="both"/>
        <w:rPr>
          <w:rFonts w:ascii="Times New Roman" w:hAnsi="Times New Roman" w:cs="Times New Roman"/>
        </w:rPr>
      </w:pPr>
      <w:r>
        <w:rPr>
          <w:rFonts w:ascii="Times New Roman" w:hAnsi="Times New Roman" w:cs="Times New Roman"/>
        </w:rPr>
        <w:t xml:space="preserve">The Court’s decision in </w:t>
      </w:r>
      <w:r>
        <w:rPr>
          <w:rFonts w:ascii="Times New Roman" w:hAnsi="Times New Roman" w:cs="Times New Roman"/>
          <w:i/>
          <w:iCs/>
        </w:rPr>
        <w:t>Estate of Petter v. Commissioner</w:t>
      </w:r>
      <w:r>
        <w:rPr>
          <w:rFonts w:ascii="Times New Roman" w:hAnsi="Times New Roman" w:cs="Times New Roman"/>
        </w:rPr>
        <w:t xml:space="preserve">, 653 F.3d 1012 (9th Cir. 2011), supports the validity of restricted LLC interest contributions to charities. In </w:t>
      </w:r>
      <w:r>
        <w:rPr>
          <w:rFonts w:ascii="Times New Roman" w:hAnsi="Times New Roman" w:cs="Times New Roman"/>
          <w:i/>
          <w:iCs/>
        </w:rPr>
        <w:t>Petter</w:t>
      </w:r>
      <w:r>
        <w:rPr>
          <w:rFonts w:ascii="Times New Roman" w:hAnsi="Times New Roman" w:cs="Times New Roman"/>
        </w:rPr>
        <w:t xml:space="preserve">, the taxpayer Anne Y. Petter transferred membership units in a family-owned LLC partly as a gift and partly by sale to two trusts and coupled the transfers with simultaneous gifts of LLC units to two charitable foundations. The transfer documents include both a dollar formula clause — which assigns to the trusts a number of LLC units worth a specified dollar amount and assigns the remainder of the units to the foundations — and a reallocation clause — which obligates the trusts to transfer additional units to the foundations if the value of the units the trusts initially receive is finally determined for federal gift tax purposes to exceed the specified dollar amount. Furthermore, the units were heavily burdened with transfer restrictions. Based on an initial appraisal of the LLC units, each foundation received a particular number of units. But after an audit determined that the units had been undervalued, the foundations discovered they would receive additional units. All parties agreed that the Taxpayer is entitled to a charitable deduction equal to the value of the units </w:t>
      </w:r>
      <w:r>
        <w:rPr>
          <w:rFonts w:ascii="Times New Roman" w:hAnsi="Times New Roman" w:cs="Times New Roman"/>
        </w:rPr>
        <w:lastRenderedPageBreak/>
        <w:t>the foundations initially received. The Court further found Taxpayer was also entitled to a charitable deduction equal to the value of the additional units the foundations will receive.</w:t>
      </w:r>
    </w:p>
    <w:p w14:paraId="64D74158" w14:textId="0ABCF9E5" w:rsidR="00D045F0" w:rsidRPr="00D045F0" w:rsidRDefault="00D045F0" w:rsidP="00D045F0">
      <w:pPr>
        <w:jc w:val="center"/>
        <w:rPr>
          <w:rFonts w:ascii="Times New Roman" w:hAnsi="Times New Roman" w:cs="Times New Roman"/>
          <w:i/>
          <w:iCs/>
        </w:rPr>
      </w:pPr>
      <w:r>
        <w:rPr>
          <w:rFonts w:ascii="Times New Roman" w:hAnsi="Times New Roman" w:cs="Times New Roman"/>
          <w:i/>
          <w:iCs/>
        </w:rPr>
        <w:t>PLR 201129033 Analysis</w:t>
      </w:r>
    </w:p>
    <w:p w14:paraId="15FD2B51" w14:textId="36828F72" w:rsidR="00F72511" w:rsidRPr="001E2DF4" w:rsidRDefault="00F72511" w:rsidP="00F72511">
      <w:pPr>
        <w:jc w:val="both"/>
        <w:rPr>
          <w:rFonts w:ascii="Times New Roman" w:hAnsi="Times New Roman" w:cs="Times New Roman"/>
        </w:rPr>
      </w:pPr>
      <w:r>
        <w:rPr>
          <w:rFonts w:ascii="Times New Roman" w:hAnsi="Times New Roman" w:cs="Times New Roman"/>
        </w:rPr>
        <w:t xml:space="preserve">In Private Letter Ruling 201129033, the Service, itself, found that a taxpayer’s transfer of nonvoting and restricted stock to charity, while retaining all of the voting stock and only some of the nonvoting stock were transfers of the entire interest in property and not a “split-interest” under 26 USC § 2522. Donor was the 100 percent shareholder of a corporation, which had two classes of common stock, Class A voting and Class B non-voting. The Donor, via his revocable trust, is the beneficial owner of approximately 100% percent of the Class A outstanding shares and a portion of the Class B outstanding shares. Donor owned outright the remaining Class B outstanding shares. The rights of the Class A shares were freely transferable. In contrast, the nonvoting Class B shares were not transferable except: (1) to the Corporation; (2) in connection with an acquisition of the Corporation; (3) in the case of natural persons, upon death or pursuant to a valid and binding court order mandating transfer; or (4) with the consent of the Corporation's Board of Directors. Donor and Donor's Spouse intended to transfer at least 50 percent of the Class B shares to a public charity and also to make additional transfers of the Class B shares to Charity during their life. Donor also planned to transfer during life or at death all the Class A shares to a special purpose trust, Trust, for which Donor could not serve as trustee but for which he had the power to designate persons to fill vacancies on the succession committee. Donor, upon death, was to transfer the Class B shares owned outright to trusts for the benefit of his children and any grandchild. Upon the death of the children and grandchild, any remaining Class B shares would pass to Charity. Upon death, the share’s Donor owned through his revocable trust would transfer to the Spouse, after which to Charity or Trust, or, in the even he is predeceased by Spouse, partly to Trust and partly to Trust. Corporation and Charity entered into an agreement that once the shares transfer, Corporation will pay an annual dividend at a fixed percent of the prior year's net income and that Charity will not attempt to compel a sale of Corporation. The Service concluded, the nonvoting Class B stock “is a separate property interest apart from the other class of stock in Corporation…the shares of one class of stock do not constitute an interest in the shares of any other class of stock.”. The Service further concluded that, for gift tax purposes, the plan will not result in interests in the same property passing for both charitable and noncharitable purposes within the meaning of § 2522(c)(2). </w:t>
      </w:r>
    </w:p>
    <w:p w14:paraId="2F80215D" w14:textId="73D6D3CB" w:rsidR="00D045F0" w:rsidRPr="00D045F0" w:rsidRDefault="00D045F0" w:rsidP="00D045F0">
      <w:pPr>
        <w:jc w:val="center"/>
        <w:rPr>
          <w:rFonts w:ascii="Times New Roman" w:hAnsi="Times New Roman" w:cs="Times New Roman"/>
          <w:i/>
          <w:iCs/>
        </w:rPr>
      </w:pPr>
      <w:r>
        <w:rPr>
          <w:rFonts w:ascii="Times New Roman" w:hAnsi="Times New Roman" w:cs="Times New Roman"/>
          <w:i/>
          <w:iCs/>
        </w:rPr>
        <w:t>McCord Majority and Concurrence Analysis</w:t>
      </w:r>
    </w:p>
    <w:p w14:paraId="48054308" w14:textId="0C21956B" w:rsidR="00EE6802" w:rsidRPr="00EE6802" w:rsidRDefault="00EE6802" w:rsidP="00EE6802">
      <w:pPr>
        <w:jc w:val="both"/>
        <w:rPr>
          <w:rFonts w:ascii="Times New Roman" w:hAnsi="Times New Roman" w:cs="Times New Roman"/>
        </w:rPr>
      </w:pPr>
      <w:r>
        <w:rPr>
          <w:rFonts w:ascii="Times New Roman" w:hAnsi="Times New Roman" w:cs="Times New Roman"/>
        </w:rPr>
        <w:t xml:space="preserve">In </w:t>
      </w:r>
      <w:r>
        <w:rPr>
          <w:rFonts w:ascii="Times New Roman" w:hAnsi="Times New Roman" w:cs="Times New Roman"/>
          <w:i/>
          <w:iCs/>
        </w:rPr>
        <w:t>McCord v. Comm'r of Internal Revenue</w:t>
      </w:r>
      <w:r>
        <w:rPr>
          <w:rFonts w:ascii="Times New Roman" w:hAnsi="Times New Roman" w:cs="Times New Roman"/>
        </w:rPr>
        <w:t>, 120 T.C. 358 (2003), Petitioners, Charles McCord Jr. and wife, Mary McCord, formed a limited partnership, in October of 1995, McCord Interests, Ltd., LLP (MIL), in Texas, with their four sons, all adults: Charles III, Michael, Frederick, and Stephen. In MIL, the Petitioners were class A limited partners; petitioners, the children, and another partnership formed by the children (McCord Brothers Partnership), as class B limited partners; and the children as general partners. On formation, as well as on the date of the assignments in question, the principal assets of </w:t>
      </w:r>
      <w:r>
        <w:rPr>
          <w:rFonts w:ascii="Times New Roman" w:hAnsi="Times New Roman" w:cs="Times New Roman"/>
          <w:i/>
          <w:iCs/>
        </w:rPr>
        <w:t>MIL</w:t>
      </w:r>
      <w:r>
        <w:rPr>
          <w:rFonts w:ascii="Times New Roman" w:hAnsi="Times New Roman" w:cs="Times New Roman"/>
        </w:rPr>
        <w:t xml:space="preserve"> were stocks, bonds, real estate, oil and gas investments, and </w:t>
      </w:r>
      <w:r>
        <w:rPr>
          <w:rFonts w:ascii="Times New Roman" w:hAnsi="Times New Roman" w:cs="Times New Roman"/>
        </w:rPr>
        <w:lastRenderedPageBreak/>
        <w:t>other closely held business interests. On the date of the assignments, approximately 65 percent and 30 percent of the partnership's assets consisted of marketable securities and interests in real estate limited partnerships, respectively. The remaining 5 percent of the partnership's assets consisted of direct real estate holdings, interests in oil and gas partnerships, and other oil and gas interests.</w:t>
      </w:r>
    </w:p>
    <w:p w14:paraId="1C341A66" w14:textId="42093783" w:rsidR="00EE6802" w:rsidRPr="00EE6802" w:rsidRDefault="00EE6802" w:rsidP="00EE6802">
      <w:pPr>
        <w:jc w:val="both"/>
        <w:rPr>
          <w:rFonts w:ascii="Times New Roman" w:hAnsi="Times New Roman" w:cs="Times New Roman"/>
        </w:rPr>
      </w:pPr>
      <w:r>
        <w:rPr>
          <w:rFonts w:ascii="Times New Roman" w:hAnsi="Times New Roman" w:cs="Times New Roman"/>
        </w:rPr>
        <w:t>Among other things, the MIL partnership agreement provided as follows: (1) a thirty-year termination date, December 31, 2025; (2) any class B limited partners have a put right whereby they can chose to withdraw and be bought out at FMV of their holdings in MIL; (3) partners can freely assign interests to family and charities, but no assignee can be admitted as a partner without unanimous consent of all of the partners; (4) any other assignments or transfers are subject to a right of first refusal; (5) MIL has a call right whereby it can buy out any charity-assignee as it pleases as long as the purchase is at FMV; (6) a class B limited partner's put right is disregarded for purposes of determining the fair market value of such partner's class B limited partnership interest, and any dispute with respect to the fair market value of any interest in </w:t>
      </w:r>
      <w:r>
        <w:rPr>
          <w:rFonts w:ascii="Times New Roman" w:hAnsi="Times New Roman" w:cs="Times New Roman"/>
          <w:i/>
          <w:iCs/>
        </w:rPr>
        <w:t>MIL</w:t>
      </w:r>
      <w:r>
        <w:rPr>
          <w:rFonts w:ascii="Times New Roman" w:hAnsi="Times New Roman" w:cs="Times New Roman"/>
        </w:rPr>
        <w:t> is to be resolved by arbitration; (7) limited partners generally do not participate in the management of the partnership's affairs, but have certain veto power in “major decisions.”</w:t>
      </w:r>
    </w:p>
    <w:p w14:paraId="5AED2C6F" w14:textId="0F90F9FF" w:rsidR="004438B0" w:rsidRDefault="004438B0" w:rsidP="0045094F">
      <w:pPr>
        <w:jc w:val="both"/>
        <w:rPr>
          <w:rFonts w:ascii="Times New Roman" w:hAnsi="Times New Roman" w:cs="Times New Roman"/>
        </w:rPr>
      </w:pPr>
      <w:r>
        <w:rPr>
          <w:rFonts w:ascii="Times New Roman" w:hAnsi="Times New Roman" w:cs="Times New Roman"/>
        </w:rPr>
        <w:t>Soon after formation, in November of 1995, the Charles Jr. and Mary McCord assigned all of their Class A limited partner interests to the Hazel Kytle Endowment Fund of The Southfield School Foundation (Southfield Foundation). Just a few months later, in January of 1996, the couple also assigned all of their 82.33% share of the Class B limited partner interests to their children, four trusts for the benefit of the children (the trusts), and two charitable organizations, Communities Foundation of Texas, Inc. (</w:t>
      </w:r>
      <w:r>
        <w:rPr>
          <w:rFonts w:ascii="Times New Roman" w:hAnsi="Times New Roman" w:cs="Times New Roman"/>
          <w:i/>
          <w:iCs/>
        </w:rPr>
        <w:t>CFT</w:t>
      </w:r>
      <w:r>
        <w:rPr>
          <w:rFonts w:ascii="Times New Roman" w:hAnsi="Times New Roman" w:cs="Times New Roman"/>
        </w:rPr>
        <w:t xml:space="preserve">) and Shreveport Symphony, Inc. (the Symphony). These Class B assignees then, by agreement, apportioned the shares with CFT receiving 3.623% and Symphony receiving 1.497% of the interests. At the time of assignment, an appraisal report concluded that, taking into account discounts for lack of control and lack of marketability, the fair market value of a 1-percent "assignee's interest in the Class B Limited Partnership Interests" on the valuation date was $89,505, which means the interests apportioned to CFT and the Symphony were valued at around $458,265. On June 26, 1996, MIL exercised the call right with respect to the interests held by CFT and the Symphony, for $338,967 and $140,041, respectively. </w:t>
      </w:r>
    </w:p>
    <w:p w14:paraId="1142A0BD" w14:textId="1B41D916" w:rsidR="00876D5B" w:rsidRDefault="00393420" w:rsidP="0045094F">
      <w:pPr>
        <w:jc w:val="both"/>
        <w:rPr>
          <w:rFonts w:ascii="Times New Roman" w:hAnsi="Times New Roman" w:cs="Times New Roman"/>
        </w:rPr>
      </w:pPr>
      <w:r>
        <w:rPr>
          <w:rFonts w:ascii="Times New Roman" w:hAnsi="Times New Roman" w:cs="Times New Roman"/>
        </w:rPr>
        <w:t>Although Mr. and Mrs. McCord attempted to claim all of Class B interests as charitable contribution, arguing that the subsequent apportionment was not contemplated in the original assignment and could have been apportioned 100% to the two charities, the Court upheld $435,019.47 in charitable contributions.</w:t>
      </w:r>
    </w:p>
    <w:p w14:paraId="0ED27994" w14:textId="51A3F9F7" w:rsidR="00393420" w:rsidRPr="00393420" w:rsidRDefault="00393420" w:rsidP="00393420">
      <w:pPr>
        <w:jc w:val="both"/>
        <w:rPr>
          <w:rFonts w:ascii="Times New Roman" w:hAnsi="Times New Roman" w:cs="Times New Roman"/>
        </w:rPr>
      </w:pPr>
      <w:r>
        <w:rPr>
          <w:rFonts w:ascii="Times New Roman" w:hAnsi="Times New Roman" w:cs="Times New Roman"/>
        </w:rPr>
        <w:t xml:space="preserve">In concurring with the findings, Justice Swift wrote a supplemental concurrence where he discussed partial interest analysis and whether the parties retained substantial interest in the property transferred to the charities. He found “Generally, and apart from certain specified statutory exceptions, where less than donors' entire interests in property are transferred to charity, the charitable contributions—for Federal gift tax purposes, as well as for Federal income and estate tax purposes—are to be treated as partial interests, and any claimed gift, income, and estate tax </w:t>
      </w:r>
      <w:r>
        <w:rPr>
          <w:rFonts w:ascii="Times New Roman" w:hAnsi="Times New Roman" w:cs="Times New Roman"/>
        </w:rPr>
        <w:lastRenderedPageBreak/>
        <w:t xml:space="preserve">charitable deductions relating thereto are to be disallowed. See secs. 2522(c)(2) (gift tax disallowance), 170(f)(3) (income tax disallowance), 2055(e)(2) (estate tax disallowance).” Citing </w:t>
      </w:r>
      <w:r>
        <w:rPr>
          <w:rFonts w:ascii="Times New Roman" w:hAnsi="Times New Roman" w:cs="Times New Roman"/>
          <w:i/>
          <w:iCs/>
        </w:rPr>
        <w:t>Stark v. Commissioner</w:t>
      </w:r>
      <w:r>
        <w:rPr>
          <w:rFonts w:ascii="Times New Roman" w:hAnsi="Times New Roman" w:cs="Times New Roman"/>
        </w:rPr>
        <w:t xml:space="preserve">, 86 T.C. 243 (1986), Judge Swift mentioned that a gift to the U.S. Forest Service of real property constituted a partial interest where the donor retained a mineral interest in the real property, but the gift to charity of the partial interest was deductible because the particular restricted mineral interest retained by the taxpayer was not regarded as substantial. In interpreting 26 USC § 170(f)(3) for income tax purposes, the </w:t>
      </w:r>
      <w:r>
        <w:rPr>
          <w:rFonts w:ascii="Times New Roman" w:hAnsi="Times New Roman" w:cs="Times New Roman"/>
          <w:i/>
          <w:iCs/>
        </w:rPr>
        <w:t xml:space="preserve">Stark </w:t>
      </w:r>
      <w:r>
        <w:rPr>
          <w:rFonts w:ascii="Times New Roman" w:hAnsi="Times New Roman" w:cs="Times New Roman"/>
        </w:rPr>
        <w:t xml:space="preserve">Court concluded the partial interest rule "applies to contributions [to charity] of less than the taxpayer's entire interest in property, including, but not limited to, contributions of the right to use property." </w:t>
      </w:r>
      <w:r>
        <w:rPr>
          <w:rFonts w:ascii="Times New Roman" w:hAnsi="Times New Roman" w:cs="Times New Roman"/>
          <w:i/>
          <w:iCs/>
        </w:rPr>
        <w:t>Id</w:t>
      </w:r>
      <w:r>
        <w:rPr>
          <w:rFonts w:ascii="Times New Roman" w:hAnsi="Times New Roman" w:cs="Times New Roman"/>
        </w:rPr>
        <w:t xml:space="preserve">. at 250; </w:t>
      </w:r>
      <w:r>
        <w:rPr>
          <w:rFonts w:ascii="Times New Roman" w:hAnsi="Times New Roman" w:cs="Times New Roman"/>
          <w:i/>
          <w:iCs/>
        </w:rPr>
        <w:t>see also</w:t>
      </w:r>
      <w:r>
        <w:rPr>
          <w:rFonts w:ascii="Times New Roman" w:hAnsi="Times New Roman" w:cs="Times New Roman"/>
        </w:rPr>
        <w:t xml:space="preserve"> </w:t>
      </w:r>
      <w:r>
        <w:rPr>
          <w:rFonts w:ascii="Times New Roman" w:hAnsi="Times New Roman" w:cs="Times New Roman"/>
          <w:i/>
          <w:iCs/>
        </w:rPr>
        <w:t>Miami Natl. Bank v. Commissioner</w:t>
      </w:r>
      <w:r>
        <w:rPr>
          <w:rFonts w:ascii="Times New Roman" w:hAnsi="Times New Roman" w:cs="Times New Roman"/>
        </w:rPr>
        <w:t xml:space="preserve">, 67 T.C. 793, 800 (1977) (involving the transfer of stock into a subordinated securities account, the court concluded that retained voting rights on the donated stock, among others, such as right to dividends, constitute substantial rights.) In Rev. Rul. 81-282, 1981-2 C.B. 78, it was held that a gift to charity of corporate stock constituted a disallowed partial interest where the donor retains the voting rights that were attached to the gifted stock. Judge Swift attempted to connect this important fact to CFT, which appears to have been rejected by the majority.  </w:t>
      </w:r>
      <w:r>
        <w:rPr>
          <w:rFonts w:ascii="Times New Roman" w:hAnsi="Times New Roman" w:cs="Times New Roman"/>
          <w:i/>
          <w:iCs/>
        </w:rPr>
        <w:t>Citing</w:t>
      </w:r>
      <w:r>
        <w:rPr>
          <w:rFonts w:ascii="Times New Roman" w:hAnsi="Times New Roman" w:cs="Times New Roman"/>
        </w:rPr>
        <w:t xml:space="preserve"> </w:t>
      </w:r>
      <w:r>
        <w:rPr>
          <w:rFonts w:ascii="Times New Roman" w:hAnsi="Times New Roman" w:cs="Times New Roman"/>
          <w:i/>
          <w:iCs/>
        </w:rPr>
        <w:t>Stewart et al., Charitable Giving and Solicitation</w:t>
      </w:r>
      <w:r>
        <w:rPr>
          <w:rFonts w:ascii="Times New Roman" w:hAnsi="Times New Roman" w:cs="Times New Roman"/>
        </w:rPr>
        <w:t>, par. 9004, at 9002 (1999) (“A donor can run afoul of the partial interest rules by retaining a property interest or right while transferring the primary incidents of ownership to charity.”)</w:t>
      </w:r>
    </w:p>
    <w:p w14:paraId="3A82D356" w14:textId="39FF7C9A" w:rsidR="00393420" w:rsidRDefault="00993F14" w:rsidP="00393420">
      <w:pPr>
        <w:jc w:val="both"/>
        <w:rPr>
          <w:rFonts w:ascii="Times New Roman" w:hAnsi="Times New Roman" w:cs="Times New Roman"/>
        </w:rPr>
      </w:pPr>
      <w:r>
        <w:rPr>
          <w:rFonts w:ascii="Times New Roman" w:hAnsi="Times New Roman" w:cs="Times New Roman"/>
        </w:rPr>
        <w:t>Judge Swift further mentions that 26 USC § 170(f)(3)(B) sets forth a number of other types of partial interest gifts with respect to which charitable deductions are allowable. Under section 170(f)(3)(B), charitable deductions are allowed for gifts not in trust of remainder interests in a personal residence or farm (§ 170(f)(3)(B)(</w:t>
      </w:r>
      <w:proofErr w:type="spellStart"/>
      <w:r>
        <w:rPr>
          <w:rFonts w:ascii="Times New Roman" w:hAnsi="Times New Roman" w:cs="Times New Roman"/>
        </w:rPr>
        <w:t>i</w:t>
      </w:r>
      <w:proofErr w:type="spellEnd"/>
      <w:r>
        <w:rPr>
          <w:rFonts w:ascii="Times New Roman" w:hAnsi="Times New Roman" w:cs="Times New Roman"/>
        </w:rPr>
        <w:t>)), gifts to charity not in trust of an "undivided portion" of a transferor's entire interest in property (§ 170(f)(3)(B)(ii)), and qualified conservation contributions (§ 170(f)(3)(B)(iii)). Judge Swift proposed that the correct interpretation would be to treat petitioners' MIL limited partnership interest as one interest consisting of both economic and noneconomic rights, with petitioners having transferred to CFT only their economic rights therein. Under this interpretation, it would appear that petitioners should be regarded as having made a charitable gift to CFT of a partial interest in their MIL limited partnership interest, which charitable gift would be subject to the gift tax disallowance provision of § 2522(c)(2). The majority did not embrace this approach, and reviewed the Class A and Class B as separate interests.</w:t>
      </w:r>
    </w:p>
    <w:p w14:paraId="49CD5D35" w14:textId="7D78ADED" w:rsidR="00507416" w:rsidRPr="00507416" w:rsidRDefault="00507416" w:rsidP="00507416">
      <w:pPr>
        <w:jc w:val="center"/>
        <w:rPr>
          <w:rFonts w:ascii="Times New Roman" w:hAnsi="Times New Roman" w:cs="Times New Roman"/>
          <w:i/>
          <w:iCs/>
        </w:rPr>
      </w:pPr>
      <w:r>
        <w:rPr>
          <w:rFonts w:ascii="Times New Roman" w:hAnsi="Times New Roman" w:cs="Times New Roman"/>
          <w:i/>
          <w:iCs/>
        </w:rPr>
        <w:t>26 CFR 1.704-1(e)(2)</w:t>
      </w:r>
    </w:p>
    <w:p w14:paraId="32018B3F" w14:textId="523EAF06" w:rsidR="00507416" w:rsidRDefault="00D045F0" w:rsidP="00507416">
      <w:pPr>
        <w:jc w:val="both"/>
        <w:rPr>
          <w:rFonts w:ascii="Times New Roman" w:hAnsi="Times New Roman" w:cs="Times New Roman"/>
        </w:rPr>
      </w:pPr>
      <w:r>
        <w:rPr>
          <w:rFonts w:ascii="Times New Roman" w:hAnsi="Times New Roman" w:cs="Times New Roman"/>
        </w:rPr>
        <w:t xml:space="preserve">Under 26 CFR 1.704-1(e)(2), “whether an alleged partner who is a </w:t>
      </w:r>
      <w:proofErr w:type="spellStart"/>
      <w:r>
        <w:rPr>
          <w:rFonts w:ascii="Times New Roman" w:hAnsi="Times New Roman" w:cs="Times New Roman"/>
        </w:rPr>
        <w:t>donee</w:t>
      </w:r>
      <w:proofErr w:type="spellEnd"/>
      <w:r>
        <w:rPr>
          <w:rFonts w:ascii="Times New Roman" w:hAnsi="Times New Roman" w:cs="Times New Roman"/>
        </w:rPr>
        <w:t xml:space="preserve"> of a capital interest in a partnership is the real owner of such capital interest, and whether the </w:t>
      </w:r>
      <w:proofErr w:type="spellStart"/>
      <w:r>
        <w:rPr>
          <w:rFonts w:ascii="Times New Roman" w:hAnsi="Times New Roman" w:cs="Times New Roman"/>
        </w:rPr>
        <w:t>donee</w:t>
      </w:r>
      <w:proofErr w:type="spellEnd"/>
      <w:r>
        <w:rPr>
          <w:rFonts w:ascii="Times New Roman" w:hAnsi="Times New Roman" w:cs="Times New Roman"/>
        </w:rPr>
        <w:t xml:space="preserve"> has dominion and control over such interest, must be ascertained from all the facts and circumstances of the particular case.” Furthermore, isolated facts are not determinative; the reality of the </w:t>
      </w:r>
      <w:proofErr w:type="spellStart"/>
      <w:r>
        <w:rPr>
          <w:rFonts w:ascii="Times New Roman" w:hAnsi="Times New Roman" w:cs="Times New Roman"/>
        </w:rPr>
        <w:t>donee's</w:t>
      </w:r>
      <w:proofErr w:type="spellEnd"/>
      <w:r>
        <w:rPr>
          <w:rFonts w:ascii="Times New Roman" w:hAnsi="Times New Roman" w:cs="Times New Roman"/>
        </w:rPr>
        <w:t xml:space="preserve"> ownership is to be determined in the light of the transaction as a whole and the execution of “legally sufficient and irrevocable deeds or other instruments of gift” under State law is a factor to be taken into account. 26 CFR 1.704-1(e)(2)(</w:t>
      </w:r>
      <w:proofErr w:type="spellStart"/>
      <w:r>
        <w:rPr>
          <w:rFonts w:ascii="Times New Roman" w:hAnsi="Times New Roman" w:cs="Times New Roman"/>
        </w:rPr>
        <w:t>i</w:t>
      </w:r>
      <w:proofErr w:type="spellEnd"/>
      <w:r>
        <w:rPr>
          <w:rFonts w:ascii="Times New Roman" w:hAnsi="Times New Roman" w:cs="Times New Roman"/>
        </w:rPr>
        <w:t xml:space="preserve">). The donor may have retained substantial control over the interest which he has purported to transfer to the </w:t>
      </w:r>
      <w:proofErr w:type="spellStart"/>
      <w:r>
        <w:rPr>
          <w:rFonts w:ascii="Times New Roman" w:hAnsi="Times New Roman" w:cs="Times New Roman"/>
        </w:rPr>
        <w:t>donee</w:t>
      </w:r>
      <w:proofErr w:type="spellEnd"/>
      <w:r>
        <w:rPr>
          <w:rFonts w:ascii="Times New Roman" w:hAnsi="Times New Roman" w:cs="Times New Roman"/>
        </w:rPr>
        <w:t xml:space="preserve"> that the donor should be treated as remaining the </w:t>
      </w:r>
      <w:r>
        <w:rPr>
          <w:rFonts w:ascii="Times New Roman" w:hAnsi="Times New Roman" w:cs="Times New Roman"/>
        </w:rPr>
        <w:lastRenderedPageBreak/>
        <w:t xml:space="preserve">substantial owner of the interest, including control of the distribution of amounts of income or restrictions on the distributions of amounts of income (amounts of income may be retained in the partnership if organizing documents provide for a managing partner), limitation of the right of the </w:t>
      </w:r>
      <w:proofErr w:type="spellStart"/>
      <w:r>
        <w:rPr>
          <w:rFonts w:ascii="Times New Roman" w:hAnsi="Times New Roman" w:cs="Times New Roman"/>
        </w:rPr>
        <w:t>donee</w:t>
      </w:r>
      <w:proofErr w:type="spellEnd"/>
      <w:r>
        <w:rPr>
          <w:rFonts w:ascii="Times New Roman" w:hAnsi="Times New Roman" w:cs="Times New Roman"/>
        </w:rPr>
        <w:t xml:space="preserve"> to liquidate or sell his interest, control of assets essential to the business, management powers inconsistent with normal relationships among partners. Retention by the donor of control of business management or of voting control, such as is common in ordinary business relationships, is not by itself to be considered as inconsistent with normal relationships among partners, provided the </w:t>
      </w:r>
      <w:proofErr w:type="spellStart"/>
      <w:r>
        <w:rPr>
          <w:rFonts w:ascii="Times New Roman" w:hAnsi="Times New Roman" w:cs="Times New Roman"/>
        </w:rPr>
        <w:t>donee</w:t>
      </w:r>
      <w:proofErr w:type="spellEnd"/>
      <w:r>
        <w:rPr>
          <w:rFonts w:ascii="Times New Roman" w:hAnsi="Times New Roman" w:cs="Times New Roman"/>
        </w:rPr>
        <w:t xml:space="preserve"> is free to liquidate his interest at his discretion without financial detriment. The </w:t>
      </w:r>
      <w:proofErr w:type="spellStart"/>
      <w:r>
        <w:rPr>
          <w:rFonts w:ascii="Times New Roman" w:hAnsi="Times New Roman" w:cs="Times New Roman"/>
        </w:rPr>
        <w:t>donee</w:t>
      </w:r>
      <w:proofErr w:type="spellEnd"/>
      <w:r>
        <w:rPr>
          <w:rFonts w:ascii="Times New Roman" w:hAnsi="Times New Roman" w:cs="Times New Roman"/>
        </w:rPr>
        <w:t xml:space="preserve"> may not be considered free to liquidate his interest unless, considering all the facts, it is evident that the </w:t>
      </w:r>
      <w:proofErr w:type="spellStart"/>
      <w:r>
        <w:rPr>
          <w:rFonts w:ascii="Times New Roman" w:hAnsi="Times New Roman" w:cs="Times New Roman"/>
        </w:rPr>
        <w:t>donee</w:t>
      </w:r>
      <w:proofErr w:type="spellEnd"/>
      <w:r>
        <w:rPr>
          <w:rFonts w:ascii="Times New Roman" w:hAnsi="Times New Roman" w:cs="Times New Roman"/>
        </w:rPr>
        <w:t xml:space="preserve"> is independent of the donor and has such maturity and understanding of his rights as to be capable of deciding to exercise, and capable of exercising, his right to withdraw his capital interest from the partnership. </w:t>
      </w:r>
    </w:p>
    <w:p w14:paraId="1086AE7B" w14:textId="0047ACF5" w:rsidR="00507416" w:rsidRDefault="00D045F0" w:rsidP="00507416">
      <w:pPr>
        <w:jc w:val="both"/>
        <w:rPr>
          <w:rFonts w:ascii="Times New Roman" w:hAnsi="Times New Roman" w:cs="Times New Roman"/>
        </w:rPr>
      </w:pPr>
      <w:r>
        <w:rPr>
          <w:rFonts w:ascii="Times New Roman" w:hAnsi="Times New Roman" w:cs="Times New Roman"/>
        </w:rPr>
        <w:t xml:space="preserve">The existence of some of the indicated controls, though amounting to less than substantial ownership retained by the donor, may be considered along with other facts and circumstances as tending to show the lack of reality of the partnership interest of the </w:t>
      </w:r>
      <w:proofErr w:type="spellStart"/>
      <w:r>
        <w:rPr>
          <w:rFonts w:ascii="Times New Roman" w:hAnsi="Times New Roman" w:cs="Times New Roman"/>
        </w:rPr>
        <w:t>donee</w:t>
      </w:r>
      <w:proofErr w:type="spellEnd"/>
      <w:r>
        <w:rPr>
          <w:rFonts w:ascii="Times New Roman" w:hAnsi="Times New Roman" w:cs="Times New Roman"/>
        </w:rPr>
        <w:t xml:space="preserve">. Furthermore, substantial participation by the </w:t>
      </w:r>
      <w:proofErr w:type="spellStart"/>
      <w:r>
        <w:rPr>
          <w:rFonts w:ascii="Times New Roman" w:hAnsi="Times New Roman" w:cs="Times New Roman"/>
        </w:rPr>
        <w:t>donee</w:t>
      </w:r>
      <w:proofErr w:type="spellEnd"/>
      <w:r>
        <w:rPr>
          <w:rFonts w:ascii="Times New Roman" w:hAnsi="Times New Roman" w:cs="Times New Roman"/>
        </w:rPr>
        <w:t xml:space="preserve"> in the control and management of the business (including participation in the major policy decisions affecting the business) is strong evidence of a </w:t>
      </w:r>
      <w:proofErr w:type="spellStart"/>
      <w:r>
        <w:rPr>
          <w:rFonts w:ascii="Times New Roman" w:hAnsi="Times New Roman" w:cs="Times New Roman"/>
        </w:rPr>
        <w:t>donee</w:t>
      </w:r>
      <w:proofErr w:type="spellEnd"/>
      <w:r>
        <w:rPr>
          <w:rFonts w:ascii="Times New Roman" w:hAnsi="Times New Roman" w:cs="Times New Roman"/>
        </w:rPr>
        <w:t xml:space="preserve"> partner's exercise of dominion and control over his interest, but the actual distribution to a </w:t>
      </w:r>
      <w:proofErr w:type="spellStart"/>
      <w:r>
        <w:rPr>
          <w:rFonts w:ascii="Times New Roman" w:hAnsi="Times New Roman" w:cs="Times New Roman"/>
        </w:rPr>
        <w:t>donee</w:t>
      </w:r>
      <w:proofErr w:type="spellEnd"/>
      <w:r>
        <w:rPr>
          <w:rFonts w:ascii="Times New Roman" w:hAnsi="Times New Roman" w:cs="Times New Roman"/>
        </w:rPr>
        <w:t xml:space="preserve"> partner of the entire amount or a major portion of his distributive share of the business income for the sole benefit and use of the </w:t>
      </w:r>
      <w:proofErr w:type="spellStart"/>
      <w:r>
        <w:rPr>
          <w:rFonts w:ascii="Times New Roman" w:hAnsi="Times New Roman" w:cs="Times New Roman"/>
        </w:rPr>
        <w:t>donee</w:t>
      </w:r>
      <w:proofErr w:type="spellEnd"/>
      <w:r>
        <w:rPr>
          <w:rFonts w:ascii="Times New Roman" w:hAnsi="Times New Roman" w:cs="Times New Roman"/>
        </w:rPr>
        <w:t xml:space="preserve"> is substantial evidence of the reality of the </w:t>
      </w:r>
      <w:proofErr w:type="spellStart"/>
      <w:r>
        <w:rPr>
          <w:rFonts w:ascii="Times New Roman" w:hAnsi="Times New Roman" w:cs="Times New Roman"/>
        </w:rPr>
        <w:t>donee's</w:t>
      </w:r>
      <w:proofErr w:type="spellEnd"/>
      <w:r>
        <w:rPr>
          <w:rFonts w:ascii="Times New Roman" w:hAnsi="Times New Roman" w:cs="Times New Roman"/>
        </w:rPr>
        <w:t xml:space="preserve"> interest, provided the donor has not retained controls inconsistent with real ownership by the </w:t>
      </w:r>
      <w:proofErr w:type="spellStart"/>
      <w:r>
        <w:rPr>
          <w:rFonts w:ascii="Times New Roman" w:hAnsi="Times New Roman" w:cs="Times New Roman"/>
        </w:rPr>
        <w:t>donee</w:t>
      </w:r>
      <w:proofErr w:type="spellEnd"/>
      <w:r>
        <w:rPr>
          <w:rFonts w:ascii="Times New Roman" w:hAnsi="Times New Roman" w:cs="Times New Roman"/>
        </w:rPr>
        <w:t xml:space="preserve">. 26 CFR 1.704-1(e)(2)(iv)-(v). Amounts distributed are not considered to be used for the </w:t>
      </w:r>
      <w:proofErr w:type="spellStart"/>
      <w:r>
        <w:rPr>
          <w:rFonts w:ascii="Times New Roman" w:hAnsi="Times New Roman" w:cs="Times New Roman"/>
        </w:rPr>
        <w:t>donee's</w:t>
      </w:r>
      <w:proofErr w:type="spellEnd"/>
      <w:r>
        <w:rPr>
          <w:rFonts w:ascii="Times New Roman" w:hAnsi="Times New Roman" w:cs="Times New Roman"/>
        </w:rPr>
        <w:t xml:space="preserve"> sole benefit if, for example, they are deposited, loaned, or invested in such manner that the donor controls or can control the use or enjoyment of such funds.</w:t>
      </w:r>
    </w:p>
    <w:p w14:paraId="3C4ECE41" w14:textId="580F193F" w:rsidR="006C57B6" w:rsidRDefault="00507416" w:rsidP="00B57060">
      <w:pPr>
        <w:jc w:val="both"/>
        <w:rPr>
          <w:rFonts w:ascii="Times New Roman" w:hAnsi="Times New Roman" w:cs="Times New Roman"/>
        </w:rPr>
      </w:pPr>
      <w:r>
        <w:rPr>
          <w:rFonts w:ascii="Times New Roman" w:hAnsi="Times New Roman" w:cs="Times New Roman"/>
        </w:rPr>
        <w:t xml:space="preserve">Here, although the Taxpayer retained the sole voting membership interests, there are multiple indicators that he parted with dominion and control of a separate interest in the Partnership </w:t>
      </w:r>
      <w:proofErr w:type="spellStart"/>
      <w:r>
        <w:rPr>
          <w:rFonts w:ascii="Times New Roman" w:hAnsi="Times New Roman" w:cs="Times New Roman"/>
        </w:rPr>
        <w:t>an</w:t>
      </w:r>
      <w:proofErr w:type="spellEnd"/>
      <w:r>
        <w:rPr>
          <w:rFonts w:ascii="Times New Roman" w:hAnsi="Times New Roman" w:cs="Times New Roman"/>
        </w:rPr>
        <w:t xml:space="preserve"> that the Charity became the “real owner” of the nonvoting interest in the Partnership. Specifically, Taxpayer transferred the entirety of the 99% nonvoting interest, retaining no right within that class of membership interest. Furthermore, in addition to the full economic right to those interests, the Charity received the legal right to enforce its economic interest against the Taxpayer. Any loans entered between the Charity and Taxpayer or his related entities have been regularly paid off and the Partnership makes regular minimum distributions to the Charity every year. Because Taxpayer owes a clear and explicit fiduciary duty to the Charity to invest the Partnership’s assets properly and grow the investment, Taxpayer has forfeited dominion and control over the donated interests.</w:t>
      </w:r>
    </w:p>
    <w:p w14:paraId="7ACF1B4E" w14:textId="77777777" w:rsidR="00712E8A" w:rsidRPr="00712E8A" w:rsidRDefault="00712E8A" w:rsidP="00974BB4">
      <w:pPr>
        <w:spacing w:after="0" w:line="240" w:lineRule="auto"/>
        <w:jc w:val="center"/>
        <w:rPr>
          <w:rFonts w:ascii="Times New Roman" w:hAnsi="Times New Roman" w:cs="Times New Roman"/>
          <w:i/>
          <w:iCs/>
        </w:rPr>
      </w:pPr>
      <w:r>
        <w:rPr>
          <w:rFonts w:ascii="Times New Roman" w:hAnsi="Times New Roman" w:cs="Times New Roman"/>
          <w:i/>
          <w:iCs/>
        </w:rPr>
        <w:t>Partial Interest and Substantiality of Retained Interest under</w:t>
      </w:r>
    </w:p>
    <w:p w14:paraId="64B3C3E5" w14:textId="334BB798" w:rsidR="003B7C9E" w:rsidRDefault="00712E8A" w:rsidP="00974BB4">
      <w:pPr>
        <w:spacing w:after="0" w:line="240" w:lineRule="auto"/>
        <w:jc w:val="center"/>
        <w:rPr>
          <w:rFonts w:ascii="Times New Roman" w:hAnsi="Times New Roman" w:cs="Times New Roman"/>
          <w:i/>
          <w:iCs/>
        </w:rPr>
      </w:pPr>
      <w:r>
        <w:rPr>
          <w:rFonts w:ascii="Times New Roman" w:hAnsi="Times New Roman" w:cs="Times New Roman"/>
          <w:i/>
          <w:iCs/>
        </w:rPr>
        <w:t xml:space="preserve"> 26 USC §170(f)(3) and 26 CFR §1.170A-7</w:t>
      </w:r>
    </w:p>
    <w:p w14:paraId="35A6650A" w14:textId="77777777" w:rsidR="001B7AFE" w:rsidRPr="00712E8A" w:rsidRDefault="001B7AFE" w:rsidP="00974BB4">
      <w:pPr>
        <w:spacing w:after="0" w:line="240" w:lineRule="auto"/>
        <w:jc w:val="center"/>
        <w:rPr>
          <w:rFonts w:ascii="Times New Roman" w:hAnsi="Times New Roman" w:cs="Times New Roman"/>
          <w:i/>
          <w:iCs/>
        </w:rPr>
      </w:pPr>
    </w:p>
    <w:p w14:paraId="181B173F" w14:textId="47C7C9B3" w:rsidR="003B7C9E" w:rsidRPr="003B7C9E" w:rsidRDefault="00712E8A" w:rsidP="003B7C9E">
      <w:pPr>
        <w:jc w:val="both"/>
        <w:rPr>
          <w:rFonts w:ascii="Times New Roman" w:hAnsi="Times New Roman" w:cs="Times New Roman"/>
        </w:rPr>
      </w:pPr>
      <w:r>
        <w:rPr>
          <w:rFonts w:ascii="Times New Roman" w:hAnsi="Times New Roman" w:cs="Times New Roman"/>
        </w:rPr>
        <w:t xml:space="preserve">As discussed in the Swift concurrence in McCord, if a donor who owns property outright transfers property to a permissible done and if the donor retains some right or interest in the donated </w:t>
      </w:r>
      <w:r>
        <w:rPr>
          <w:rFonts w:ascii="Times New Roman" w:hAnsi="Times New Roman" w:cs="Times New Roman"/>
        </w:rPr>
        <w:lastRenderedPageBreak/>
        <w:t xml:space="preserve">property, or control over the donated property, a deduction may be disallowed under 26 USC §170(f)(3) because the </w:t>
      </w:r>
      <w:proofErr w:type="spellStart"/>
      <w:r>
        <w:rPr>
          <w:rFonts w:ascii="Times New Roman" w:hAnsi="Times New Roman" w:cs="Times New Roman"/>
        </w:rPr>
        <w:t>donee</w:t>
      </w:r>
      <w:proofErr w:type="spellEnd"/>
      <w:r>
        <w:rPr>
          <w:rFonts w:ascii="Times New Roman" w:hAnsi="Times New Roman" w:cs="Times New Roman"/>
        </w:rPr>
        <w:t xml:space="preserve"> received only a partial interest, depending upon the substantiality of the retained interest. If the interest retained by a donor is insubstantial, the donor is considered to have contributed the donor's entire interest and the deduction is not disallowed. PLR 8514028 (where taxpayer leased real property to charitable organization under 99-year lease for $1 rent per year, subsequent contribution of taxpayer's entire interest in the property was deductible; amount deductible was full fair market value of property on date of gift). In contrast, the retention of a substantial interest will be considered the retention of a partial interest and the interest contributed will be a nondeductible partial interest.</w:t>
      </w:r>
      <w:r>
        <w:rPr>
          <w:rFonts w:ascii="Times New Roman" w:hAnsi="Times New Roman" w:cs="Times New Roman"/>
          <w:i/>
          <w:iCs/>
        </w:rPr>
        <w:t xml:space="preserve"> See</w:t>
      </w:r>
      <w:r>
        <w:rPr>
          <w:rFonts w:ascii="Times New Roman" w:hAnsi="Times New Roman" w:cs="Times New Roman"/>
        </w:rPr>
        <w:t> TAM 200610017 (contribution by railroad company of its railway right-of-way to qualified trail provider under rails-to-trails federal statute was nondeductible gift of partial interest because taxpayer's retention of right to reactivate rail service in future was substantial interest).</w:t>
      </w:r>
    </w:p>
    <w:p w14:paraId="62579384" w14:textId="599ED9DA" w:rsidR="003B7C9E" w:rsidRDefault="003B7C9E" w:rsidP="003B7C9E">
      <w:pPr>
        <w:jc w:val="both"/>
        <w:rPr>
          <w:rFonts w:ascii="Times New Roman" w:hAnsi="Times New Roman" w:cs="Times New Roman"/>
        </w:rPr>
      </w:pPr>
      <w:r>
        <w:rPr>
          <w:rFonts w:ascii="Times New Roman" w:hAnsi="Times New Roman" w:cs="Times New Roman"/>
        </w:rPr>
        <w:t>Whether a particular property interest is a partial interest for purposes of §170(f)(3) is not always a simple determination. For example, in </w:t>
      </w:r>
      <w:r>
        <w:rPr>
          <w:rFonts w:ascii="Times New Roman" w:hAnsi="Times New Roman" w:cs="Times New Roman"/>
          <w:i/>
          <w:iCs/>
        </w:rPr>
        <w:t>Patel v. Commissioner</w:t>
      </w:r>
      <w:r>
        <w:rPr>
          <w:rFonts w:ascii="Times New Roman" w:hAnsi="Times New Roman" w:cs="Times New Roman"/>
        </w:rPr>
        <w:t xml:space="preserve">, taxpayers planned to demolish their home and build a new home on the property. </w:t>
      </w:r>
      <w:r>
        <w:rPr>
          <w:rFonts w:ascii="Times New Roman" w:hAnsi="Times New Roman" w:cs="Times New Roman"/>
          <w:i/>
          <w:iCs/>
        </w:rPr>
        <w:t>Patel v. Commissioner</w:t>
      </w:r>
      <w:r>
        <w:rPr>
          <w:rFonts w:ascii="Times New Roman" w:hAnsi="Times New Roman" w:cs="Times New Roman"/>
        </w:rPr>
        <w:t xml:space="preserve">, 138 T.C. 395 (2012), </w:t>
      </w:r>
      <w:proofErr w:type="spellStart"/>
      <w:r>
        <w:rPr>
          <w:rFonts w:ascii="Times New Roman" w:hAnsi="Times New Roman" w:cs="Times New Roman"/>
          <w:i/>
          <w:iCs/>
        </w:rPr>
        <w:t>nonacq</w:t>
      </w:r>
      <w:proofErr w:type="spellEnd"/>
      <w:r>
        <w:rPr>
          <w:rFonts w:ascii="Times New Roman" w:hAnsi="Times New Roman" w:cs="Times New Roman"/>
          <w:i/>
          <w:iCs/>
        </w:rPr>
        <w:t>. on another issue</w:t>
      </w:r>
      <w:r>
        <w:rPr>
          <w:rFonts w:ascii="Times New Roman" w:hAnsi="Times New Roman" w:cs="Times New Roman"/>
        </w:rPr>
        <w:t xml:space="preserve">, AOD 2013-7. The taxpayers allowed a local fire department to conduct a training exercise on the house. The house was destroyed by the fire during the exercise. Afterward, the taxpayers’ contractor removed the charred debris and constructed a new home. The taxpayers claimed that they had contributed their entire interest in the house. The IRS disallowed a deduction on the ground that the gift was a non-deductible partial interest. The Tax Court focused on what the taxpayers actually owned and what they gave to the fire department. Under the applicable state law, a fixture or structure attached to land is treated as a part of the land unless it is severed from the land. Thus, at most the taxpayers donated part of their fee simple interest in the land. Granting the fire department the right to destroy the house did not transfer to the department ownership, title, or possession to the house or all the benefits and burdens of owning the house. Nor was there a formal conveyance of the house that would result in a severance. The transaction merely constituted a license to use the structure for a particular purpose rather than a conveyance of ownership, title, or possession. </w:t>
      </w:r>
      <w:r>
        <w:rPr>
          <w:rFonts w:ascii="Times New Roman" w:hAnsi="Times New Roman" w:cs="Times New Roman"/>
          <w:i/>
          <w:iCs/>
        </w:rPr>
        <w:t>See also Mann v. United States</w:t>
      </w:r>
      <w:r>
        <w:rPr>
          <w:rFonts w:ascii="Times New Roman" w:hAnsi="Times New Roman" w:cs="Times New Roman"/>
        </w:rPr>
        <w:t xml:space="preserve">, 364 F. Supp. 3d 553 (D. Md. 2019), aff'd, 984 F.3d 317 (4th Cir. 2021) (where taxpayers failed to record charitable donation of separate interest in house to be deconstructed by charitable organization, taxpayers denied charitable deduction because Maryland law requires that severance of house from property and transfer of entire interest in separated house would be valid for tax purposes only if transaction is separately recorded in county land records; also noted that taxpayers could not have contributed entire interest in house because charitable organization only removed for resale a fraction of all possible materials, with any remaining materials being demolished). </w:t>
      </w:r>
    </w:p>
    <w:p w14:paraId="14B0F905" w14:textId="39F892E4" w:rsidR="006E3B0C" w:rsidRPr="006E3B0C" w:rsidRDefault="006E3B0C" w:rsidP="006E3B0C">
      <w:pPr>
        <w:jc w:val="both"/>
        <w:rPr>
          <w:rFonts w:ascii="Times New Roman" w:hAnsi="Times New Roman" w:cs="Times New Roman"/>
        </w:rPr>
      </w:pPr>
      <w:r>
        <w:rPr>
          <w:rFonts w:ascii="Times New Roman" w:hAnsi="Times New Roman" w:cs="Times New Roman"/>
        </w:rPr>
        <w:t>A contribution of a partial interest in property not in trust is deductible if the interest is the donor's entire interest in the property. 26 CFR §1.170A-7(a)(2)(</w:t>
      </w:r>
      <w:proofErr w:type="spellStart"/>
      <w:r>
        <w:rPr>
          <w:rFonts w:ascii="Times New Roman" w:hAnsi="Times New Roman" w:cs="Times New Roman"/>
        </w:rPr>
        <w:t>i</w:t>
      </w:r>
      <w:proofErr w:type="spellEnd"/>
      <w:r>
        <w:rPr>
          <w:rFonts w:ascii="Times New Roman" w:hAnsi="Times New Roman" w:cs="Times New Roman"/>
        </w:rPr>
        <w:t xml:space="preserve">) (A contribution of property subject to a retained interest of the donor is not treated as a gift of a partial interest if the retained interest is insubstantial; such a gift would be deductible as a contribution of the donor's entire interest in the </w:t>
      </w:r>
      <w:r>
        <w:rPr>
          <w:rFonts w:ascii="Times New Roman" w:hAnsi="Times New Roman" w:cs="Times New Roman"/>
        </w:rPr>
        <w:lastRenderedPageBreak/>
        <w:t>property.) For example, if the entire interest of a donor in property consists of a legal life estate or a legal remainder, a gift of such entire interest to a charitable organization is deductible. 26 CFR §1.170A-7(a)(2)(</w:t>
      </w:r>
      <w:proofErr w:type="spellStart"/>
      <w:r>
        <w:rPr>
          <w:rFonts w:ascii="Times New Roman" w:hAnsi="Times New Roman" w:cs="Times New Roman"/>
        </w:rPr>
        <w:t>i</w:t>
      </w:r>
      <w:proofErr w:type="spellEnd"/>
      <w:r>
        <w:rPr>
          <w:rFonts w:ascii="Times New Roman" w:hAnsi="Times New Roman" w:cs="Times New Roman"/>
        </w:rPr>
        <w:t>) provides that the rule against the deduction of partial interests does not apply if a donor contributes not in trust the entire interest in property, such as an income interest or a remainder interest. 26 CFR §1.170A-6(a)(2) provides a comparable exception for contributions in trust of a donor's entire interest in property. Thus, the same rule applies when a donor contributes the donor's entire interest in property, whether in trust or not in trust. If a donor is the beneficiary of an income or remainder interest in a trust and contributes the interest to a charitable organization, the IRS treats the transaction as a gift not in trust of the donor's entire interest in property rather than a gift in trust of the donor's entire interest. In Rev. Rul. 86-60, for example, which dealt with the contribution of an annuity interest in a charitable remainder trust, the IRS stated that “under section 1.170A-7(a)(1)(</w:t>
      </w:r>
      <w:proofErr w:type="spellStart"/>
      <w:r>
        <w:rPr>
          <w:rFonts w:ascii="Times New Roman" w:hAnsi="Times New Roman" w:cs="Times New Roman"/>
        </w:rPr>
        <w:t>i</w:t>
      </w:r>
      <w:proofErr w:type="spellEnd"/>
      <w:r>
        <w:rPr>
          <w:rFonts w:ascii="Times New Roman" w:hAnsi="Times New Roman" w:cs="Times New Roman"/>
        </w:rPr>
        <w:t xml:space="preserve">)” the donor's transfer of the donor's entire annuity interest qualified for an income tax deduction. Thus, the IRS relied on 26 CFR §1.170A-7, which deals with gifts not in trust, to conclude that the donor's entire interest in a trust was a deductible charitable contribution. When a taxpayer owns multiple units of the same or similar property and donates less than all of the units to an eligible </w:t>
      </w:r>
      <w:proofErr w:type="spellStart"/>
      <w:r>
        <w:rPr>
          <w:rFonts w:ascii="Times New Roman" w:hAnsi="Times New Roman" w:cs="Times New Roman"/>
        </w:rPr>
        <w:t>donee</w:t>
      </w:r>
      <w:proofErr w:type="spellEnd"/>
      <w:r>
        <w:rPr>
          <w:rFonts w:ascii="Times New Roman" w:hAnsi="Times New Roman" w:cs="Times New Roman"/>
        </w:rPr>
        <w:t xml:space="preserve">, whether the taxpayer contributed the entire interest in the property is determined on a unit-by-unit basis. In PLR 201132011, a taxpayer purchased 14 low-power broadcast station licenses and immediately resold seven of the licenses. More than one year later, the taxpayer contributed all of its right, title, and interest in five of the licenses and related equipment to an eligible </w:t>
      </w:r>
      <w:proofErr w:type="spellStart"/>
      <w:r>
        <w:rPr>
          <w:rFonts w:ascii="Times New Roman" w:hAnsi="Times New Roman" w:cs="Times New Roman"/>
        </w:rPr>
        <w:t>donee</w:t>
      </w:r>
      <w:proofErr w:type="spellEnd"/>
      <w:r>
        <w:rPr>
          <w:rFonts w:ascii="Times New Roman" w:hAnsi="Times New Roman" w:cs="Times New Roman"/>
        </w:rPr>
        <w:t>. After the contribution, the taxpayer continued to own and operate the other stations. A charitable contributions deduction was allowed because the taxpayer transferred its entire interest in the three stations.</w:t>
      </w:r>
    </w:p>
    <w:p w14:paraId="3F06EDFC" w14:textId="37006E95" w:rsidR="00340884" w:rsidRPr="00974BB4" w:rsidRDefault="0082139B" w:rsidP="006E3B0C">
      <w:pPr>
        <w:jc w:val="both"/>
        <w:rPr>
          <w:rFonts w:ascii="Times New Roman" w:hAnsi="Times New Roman" w:cs="Times New Roman"/>
        </w:rPr>
      </w:pPr>
      <w:r>
        <w:rPr>
          <w:rFonts w:ascii="Times New Roman" w:hAnsi="Times New Roman" w:cs="Times New Roman"/>
        </w:rPr>
        <w:t xml:space="preserve">26 USC § 170(f)(3)(B)(ii) allows a deduction for a contribution not in trust of an undivided portion of a donor's entire interest in property. </w:t>
      </w:r>
      <w:r>
        <w:rPr>
          <w:rFonts w:ascii="Times New Roman" w:hAnsi="Times New Roman" w:cs="Times New Roman"/>
          <w:i/>
          <w:iCs/>
        </w:rPr>
        <w:t>See,</w:t>
      </w:r>
      <w:r>
        <w:rPr>
          <w:rFonts w:ascii="Times New Roman" w:hAnsi="Times New Roman" w:cs="Times New Roman"/>
        </w:rPr>
        <w:t xml:space="preserve"> §170(o); </w:t>
      </w:r>
      <w:r>
        <w:rPr>
          <w:rFonts w:ascii="Times New Roman" w:hAnsi="Times New Roman" w:cs="Times New Roman"/>
          <w:i/>
          <w:iCs/>
        </w:rPr>
        <w:t xml:space="preserve"> see e.g.,</w:t>
      </w:r>
      <w:r>
        <w:rPr>
          <w:rFonts w:ascii="Times New Roman" w:hAnsi="Times New Roman" w:cs="Times New Roman"/>
        </w:rPr>
        <w:t> </w:t>
      </w:r>
      <w:r>
        <w:rPr>
          <w:rFonts w:ascii="Times New Roman" w:hAnsi="Times New Roman" w:cs="Times New Roman"/>
          <w:i/>
          <w:iCs/>
        </w:rPr>
        <w:t>Ashkar v. Commissioner</w:t>
      </w:r>
      <w:r>
        <w:rPr>
          <w:rFonts w:ascii="Times New Roman" w:hAnsi="Times New Roman" w:cs="Times New Roman"/>
        </w:rPr>
        <w:t>, T.C. Memo 1991-11 (charitable contributions deductions allowed for taxpayers’ donations to university of undivided 5/22 interests in collection of ancient manuscript fragments); PLR 200223014 (deduction allowed for contributions of percentage interests in artworks). To qualify for this exception, the undivided portion must consist of a fraction or percentage of every substantial interest or right owned by the donor and must extend over the entire term of the donor's interest in the property or in other property into which such property is converted. 26 CFR §1.170A-7(b)(1)(</w:t>
      </w:r>
      <w:proofErr w:type="spellStart"/>
      <w:r>
        <w:rPr>
          <w:rFonts w:ascii="Times New Roman" w:hAnsi="Times New Roman" w:cs="Times New Roman"/>
        </w:rPr>
        <w:t>i</w:t>
      </w:r>
      <w:proofErr w:type="spellEnd"/>
      <w:r>
        <w:rPr>
          <w:rFonts w:ascii="Times New Roman" w:hAnsi="Times New Roman" w:cs="Times New Roman"/>
        </w:rPr>
        <w:t>). </w:t>
      </w:r>
      <w:r>
        <w:rPr>
          <w:rFonts w:ascii="Times New Roman" w:hAnsi="Times New Roman" w:cs="Times New Roman"/>
          <w:i/>
          <w:iCs/>
        </w:rPr>
        <w:t>E.g.,</w:t>
      </w:r>
      <w:r>
        <w:rPr>
          <w:rFonts w:ascii="Times New Roman" w:hAnsi="Times New Roman" w:cs="Times New Roman"/>
        </w:rPr>
        <w:t> </w:t>
      </w:r>
      <w:r>
        <w:rPr>
          <w:rFonts w:ascii="Times New Roman" w:hAnsi="Times New Roman" w:cs="Times New Roman"/>
          <w:i/>
          <w:iCs/>
        </w:rPr>
        <w:t>Patel v. Commissioner</w:t>
      </w:r>
      <w:r>
        <w:rPr>
          <w:rFonts w:ascii="Times New Roman" w:hAnsi="Times New Roman" w:cs="Times New Roman"/>
        </w:rPr>
        <w:t>, 138 T.C. 395 (2012), </w:t>
      </w:r>
      <w:proofErr w:type="spellStart"/>
      <w:r>
        <w:rPr>
          <w:rFonts w:ascii="Times New Roman" w:hAnsi="Times New Roman" w:cs="Times New Roman"/>
          <w:i/>
          <w:iCs/>
        </w:rPr>
        <w:t>nonacq</w:t>
      </w:r>
      <w:proofErr w:type="spellEnd"/>
      <w:r>
        <w:rPr>
          <w:rFonts w:ascii="Times New Roman" w:hAnsi="Times New Roman" w:cs="Times New Roman"/>
          <w:i/>
          <w:iCs/>
        </w:rPr>
        <w:t>. on another issue,</w:t>
      </w:r>
      <w:r>
        <w:rPr>
          <w:rFonts w:ascii="Times New Roman" w:hAnsi="Times New Roman" w:cs="Times New Roman"/>
        </w:rPr>
        <w:t> AOD 2013-7 (taxpayer who allowed fire department to perform training exercises on his house did not transfer undivided portion of property because he retained substantial ownership, title, and possession rights in property). </w:t>
      </w:r>
      <w:r>
        <w:rPr>
          <w:rFonts w:ascii="Times New Roman" w:hAnsi="Times New Roman" w:cs="Times New Roman"/>
          <w:i/>
          <w:iCs/>
        </w:rPr>
        <w:t>See</w:t>
      </w:r>
      <w:r>
        <w:rPr>
          <w:rFonts w:ascii="Times New Roman" w:hAnsi="Times New Roman" w:cs="Times New Roman"/>
        </w:rPr>
        <w:t> Rev. Rul. 76-143, </w:t>
      </w:r>
      <w:proofErr w:type="spellStart"/>
      <w:r>
        <w:rPr>
          <w:rFonts w:ascii="Times New Roman" w:hAnsi="Times New Roman" w:cs="Times New Roman"/>
          <w:i/>
          <w:iCs/>
        </w:rPr>
        <w:t>rev'g</w:t>
      </w:r>
      <w:proofErr w:type="spellEnd"/>
      <w:r>
        <w:rPr>
          <w:rFonts w:ascii="Times New Roman" w:hAnsi="Times New Roman" w:cs="Times New Roman"/>
        </w:rPr>
        <w:t> Rev. Rul. 69-79, </w:t>
      </w:r>
      <w:r>
        <w:rPr>
          <w:rFonts w:ascii="Times New Roman" w:hAnsi="Times New Roman" w:cs="Times New Roman"/>
          <w:i/>
          <w:iCs/>
        </w:rPr>
        <w:t>and</w:t>
      </w:r>
      <w:r>
        <w:rPr>
          <w:rFonts w:ascii="Times New Roman" w:hAnsi="Times New Roman" w:cs="Times New Roman"/>
        </w:rPr>
        <w:t> Rev. Rul. 69-215 (irrevocable assignment of cash surrender value of paid-up life insurance policy to charitable organization, where taxpayer retained rights to change beneficiary and assign balance of policy subject to organization's right to cash surrender value, was not gift of undivided portion of taxpayer's entire interest because of substantial retained rights). In </w:t>
      </w:r>
      <w:r>
        <w:rPr>
          <w:rFonts w:ascii="Times New Roman" w:hAnsi="Times New Roman" w:cs="Times New Roman"/>
          <w:i/>
          <w:iCs/>
        </w:rPr>
        <w:t>Mast v. Commissioner</w:t>
      </w:r>
      <w:r>
        <w:rPr>
          <w:rFonts w:ascii="Times New Roman" w:hAnsi="Times New Roman" w:cs="Times New Roman"/>
        </w:rPr>
        <w:t xml:space="preserve">, T.C. Memo 1989-119, five siblings each owned an undivided 20% interest in a collection of antique stereoscopic negatives. In 1977, all five joined in a conveyance of a 25% interest in the collection </w:t>
      </w:r>
      <w:r>
        <w:rPr>
          <w:rFonts w:ascii="Times New Roman" w:hAnsi="Times New Roman" w:cs="Times New Roman"/>
        </w:rPr>
        <w:lastRenderedPageBreak/>
        <w:t>to a charitable organization. In 1981, they donated an additional 10% interest to the same organization. The charitable contributions deductions claimed by the taxpayers were disproportionate and did not correspond to their pro rata ownership interests; however, the aggregate deductions taken by all five taxpayers did equal 25% and 10%, respectively, of the claimed value of the collection. According to the Tax Court, nothing in 26 CFR §1.170A-7(b)(1)(</w:t>
      </w:r>
      <w:proofErr w:type="spellStart"/>
      <w:r>
        <w:rPr>
          <w:rFonts w:ascii="Times New Roman" w:hAnsi="Times New Roman" w:cs="Times New Roman"/>
        </w:rPr>
        <w:t>i</w:t>
      </w:r>
      <w:proofErr w:type="spellEnd"/>
      <w:r>
        <w:rPr>
          <w:rFonts w:ascii="Times New Roman" w:hAnsi="Times New Roman" w:cs="Times New Roman"/>
        </w:rPr>
        <w:t xml:space="preserve">) prohibits charitable contributions of unequal portions of undivided interests in property, so long as each taxpayer contributes a fraction of each and every substantial interest. The 26 USC §170(f)(3)(B)(ii) exception depends on the </w:t>
      </w:r>
      <w:proofErr w:type="spellStart"/>
      <w:r>
        <w:rPr>
          <w:rFonts w:ascii="Times New Roman" w:hAnsi="Times New Roman" w:cs="Times New Roman"/>
        </w:rPr>
        <w:t>donee's</w:t>
      </w:r>
      <w:proofErr w:type="spellEnd"/>
      <w:r>
        <w:rPr>
          <w:rFonts w:ascii="Times New Roman" w:hAnsi="Times New Roman" w:cs="Times New Roman"/>
        </w:rPr>
        <w:t xml:space="preserve"> entitlement to, not the </w:t>
      </w:r>
      <w:proofErr w:type="spellStart"/>
      <w:r>
        <w:rPr>
          <w:rFonts w:ascii="Times New Roman" w:hAnsi="Times New Roman" w:cs="Times New Roman"/>
        </w:rPr>
        <w:t>donee's</w:t>
      </w:r>
      <w:proofErr w:type="spellEnd"/>
      <w:r>
        <w:rPr>
          <w:rFonts w:ascii="Times New Roman" w:hAnsi="Times New Roman" w:cs="Times New Roman"/>
        </w:rPr>
        <w:t xml:space="preserve"> exercise of, the rights of a tenant in common, according to the Tax Court. </w:t>
      </w:r>
    </w:p>
    <w:p w14:paraId="449F2DE6" w14:textId="6F0D3745" w:rsidR="006E3B0C" w:rsidRPr="00974BB4" w:rsidRDefault="006E3B0C" w:rsidP="006E3B0C">
      <w:pPr>
        <w:jc w:val="both"/>
        <w:rPr>
          <w:rFonts w:ascii="Times New Roman" w:hAnsi="Times New Roman" w:cs="Times New Roman"/>
        </w:rPr>
      </w:pPr>
      <w:r>
        <w:rPr>
          <w:rFonts w:ascii="Times New Roman" w:hAnsi="Times New Roman" w:cs="Times New Roman"/>
        </w:rPr>
        <w:t>In </w:t>
      </w:r>
      <w:r>
        <w:rPr>
          <w:rFonts w:ascii="Times New Roman" w:hAnsi="Times New Roman" w:cs="Times New Roman"/>
          <w:i/>
          <w:iCs/>
        </w:rPr>
        <w:t>Winokur v. Commissioner</w:t>
      </w:r>
      <w:r>
        <w:rPr>
          <w:rFonts w:ascii="Times New Roman" w:hAnsi="Times New Roman" w:cs="Times New Roman"/>
        </w:rPr>
        <w:t xml:space="preserve">, a taxpayer donated to an art museum a 10% undivided interest in 44 works of art, including paintings, drawings, and sculptures. </w:t>
      </w:r>
      <w:r>
        <w:rPr>
          <w:rFonts w:ascii="Times New Roman" w:hAnsi="Times New Roman" w:cs="Times New Roman"/>
          <w:i/>
          <w:iCs/>
        </w:rPr>
        <w:t>Winokur v. Commissioner</w:t>
      </w:r>
      <w:r>
        <w:rPr>
          <w:rFonts w:ascii="Times New Roman" w:hAnsi="Times New Roman" w:cs="Times New Roman"/>
        </w:rPr>
        <w:t>, 90 T.C. 733, 737–740 (1988), </w:t>
      </w:r>
      <w:proofErr w:type="spellStart"/>
      <w:r>
        <w:rPr>
          <w:rFonts w:ascii="Times New Roman" w:hAnsi="Times New Roman" w:cs="Times New Roman"/>
          <w:i/>
          <w:iCs/>
        </w:rPr>
        <w:t>acq</w:t>
      </w:r>
      <w:proofErr w:type="spellEnd"/>
      <w:r>
        <w:rPr>
          <w:rFonts w:ascii="Times New Roman" w:hAnsi="Times New Roman" w:cs="Times New Roman"/>
          <w:i/>
          <w:iCs/>
        </w:rPr>
        <w:t>.</w:t>
      </w:r>
      <w:r>
        <w:rPr>
          <w:rFonts w:ascii="Times New Roman" w:hAnsi="Times New Roman" w:cs="Times New Roman"/>
        </w:rPr>
        <w:t xml:space="preserve">, 1989-1 C.B. 1. Under the terms of the gift, the art museum was entitled to possession of the 44 artworks for a portion of each 12-month period after the date of the gift. The length of the period of possession was the number of days in a 12-month period as determined based on the ratio of the value of the donated interest to the value of the 44 artworks. The art museum had the right to designate the days during which it would have possession of the artworks. The art museum did not exercise its right to take physical possession of any of the artworks during the period following the gift. The IRS argued that, because the art museum did not actually assume possession of the artworks during the year following the gift, the taxpayer's contribution was a nondeductible gift of a future interest in tangible personal property. The Tax Court concluded that it was the </w:t>
      </w:r>
      <w:proofErr w:type="spellStart"/>
      <w:r>
        <w:rPr>
          <w:rFonts w:ascii="Times New Roman" w:hAnsi="Times New Roman" w:cs="Times New Roman"/>
        </w:rPr>
        <w:t>donee's</w:t>
      </w:r>
      <w:proofErr w:type="spellEnd"/>
      <w:r>
        <w:rPr>
          <w:rFonts w:ascii="Times New Roman" w:hAnsi="Times New Roman" w:cs="Times New Roman"/>
        </w:rPr>
        <w:t xml:space="preserve"> entitlement to possession, not the exercise of that right that distinguished a present interest from a future interest. Because there was no evidence of any collateral agreement or understanding between the donor and </w:t>
      </w:r>
      <w:proofErr w:type="spellStart"/>
      <w:r>
        <w:rPr>
          <w:rFonts w:ascii="Times New Roman" w:hAnsi="Times New Roman" w:cs="Times New Roman"/>
        </w:rPr>
        <w:t>donee</w:t>
      </w:r>
      <w:proofErr w:type="spellEnd"/>
      <w:r>
        <w:rPr>
          <w:rFonts w:ascii="Times New Roman" w:hAnsi="Times New Roman" w:cs="Times New Roman"/>
        </w:rPr>
        <w:t xml:space="preserve"> that the </w:t>
      </w:r>
      <w:proofErr w:type="spellStart"/>
      <w:r>
        <w:rPr>
          <w:rFonts w:ascii="Times New Roman" w:hAnsi="Times New Roman" w:cs="Times New Roman"/>
        </w:rPr>
        <w:t>donee</w:t>
      </w:r>
      <w:proofErr w:type="spellEnd"/>
      <w:r>
        <w:rPr>
          <w:rFonts w:ascii="Times New Roman" w:hAnsi="Times New Roman" w:cs="Times New Roman"/>
        </w:rPr>
        <w:t xml:space="preserve"> would refrain from exercising its right of possession, the taxpayer's gift of the undivided interest in the art collection was deductible as a charitable contribution. </w:t>
      </w:r>
      <w:r>
        <w:rPr>
          <w:rFonts w:ascii="Times New Roman" w:hAnsi="Times New Roman" w:cs="Times New Roman"/>
          <w:i/>
          <w:iCs/>
        </w:rPr>
        <w:t>Winokur v. Commissioner</w:t>
      </w:r>
      <w:r>
        <w:rPr>
          <w:rFonts w:ascii="Times New Roman" w:hAnsi="Times New Roman" w:cs="Times New Roman"/>
        </w:rPr>
        <w:t>, 90 T.C. 733, 740. </w:t>
      </w:r>
      <w:r>
        <w:rPr>
          <w:rFonts w:ascii="Times New Roman" w:hAnsi="Times New Roman" w:cs="Times New Roman"/>
          <w:i/>
          <w:iCs/>
        </w:rPr>
        <w:t>See also</w:t>
      </w:r>
      <w:r>
        <w:rPr>
          <w:rFonts w:ascii="Times New Roman" w:hAnsi="Times New Roman" w:cs="Times New Roman"/>
        </w:rPr>
        <w:t> 26 CFR §1.170A-5(a)(2).</w:t>
      </w:r>
    </w:p>
    <w:p w14:paraId="0CF70913" w14:textId="77777777" w:rsidR="00C173A0" w:rsidRDefault="00340884" w:rsidP="00340884">
      <w:pPr>
        <w:jc w:val="both"/>
        <w:rPr>
          <w:rFonts w:ascii="Times New Roman" w:hAnsi="Times New Roman" w:cs="Times New Roman"/>
        </w:rPr>
      </w:pPr>
      <w:r>
        <w:rPr>
          <w:rFonts w:ascii="Times New Roman" w:hAnsi="Times New Roman" w:cs="Times New Roman"/>
        </w:rPr>
        <w:t>In </w:t>
      </w:r>
      <w:r>
        <w:rPr>
          <w:rFonts w:ascii="Times New Roman" w:hAnsi="Times New Roman" w:cs="Times New Roman"/>
          <w:i/>
          <w:iCs/>
        </w:rPr>
        <w:t>Greene v. United States</w:t>
      </w:r>
      <w:r>
        <w:rPr>
          <w:rFonts w:ascii="Times New Roman" w:hAnsi="Times New Roman" w:cs="Times New Roman"/>
        </w:rPr>
        <w:t xml:space="preserve">, a federal district court addressed the question of what constitutes an undivided interest in property for purposes of §170(f)(3)(B)(ii). </w:t>
      </w:r>
      <w:r>
        <w:rPr>
          <w:rFonts w:ascii="Times New Roman" w:hAnsi="Times New Roman" w:cs="Times New Roman"/>
          <w:i/>
          <w:iCs/>
        </w:rPr>
        <w:t>Greene v. United States</w:t>
      </w:r>
      <w:r>
        <w:rPr>
          <w:rFonts w:ascii="Times New Roman" w:hAnsi="Times New Roman" w:cs="Times New Roman"/>
        </w:rPr>
        <w:t>, 864 F. Supp. 407 (S.D.N.Y. 1994), </w:t>
      </w:r>
      <w:r>
        <w:rPr>
          <w:rFonts w:ascii="Times New Roman" w:hAnsi="Times New Roman" w:cs="Times New Roman"/>
          <w:i/>
          <w:iCs/>
        </w:rPr>
        <w:t xml:space="preserve">aff'd in part, </w:t>
      </w:r>
      <w:proofErr w:type="spellStart"/>
      <w:r>
        <w:rPr>
          <w:rFonts w:ascii="Times New Roman" w:hAnsi="Times New Roman" w:cs="Times New Roman"/>
          <w:i/>
          <w:iCs/>
        </w:rPr>
        <w:t>rev'd</w:t>
      </w:r>
      <w:proofErr w:type="spellEnd"/>
      <w:r>
        <w:rPr>
          <w:rFonts w:ascii="Times New Roman" w:hAnsi="Times New Roman" w:cs="Times New Roman"/>
          <w:i/>
          <w:iCs/>
        </w:rPr>
        <w:t xml:space="preserve"> in part, and </w:t>
      </w:r>
      <w:proofErr w:type="spellStart"/>
      <w:r>
        <w:rPr>
          <w:rFonts w:ascii="Times New Roman" w:hAnsi="Times New Roman" w:cs="Times New Roman"/>
          <w:i/>
          <w:iCs/>
        </w:rPr>
        <w:t>rem'd</w:t>
      </w:r>
      <w:proofErr w:type="spellEnd"/>
      <w:r>
        <w:rPr>
          <w:rFonts w:ascii="Times New Roman" w:hAnsi="Times New Roman" w:cs="Times New Roman"/>
        </w:rPr>
        <w:t xml:space="preserve">, 79 F.3d 1348 (2d Cir. 1996). The court in </w:t>
      </w:r>
      <w:r>
        <w:rPr>
          <w:rFonts w:ascii="Times New Roman" w:hAnsi="Times New Roman" w:cs="Times New Roman"/>
          <w:i/>
          <w:iCs/>
        </w:rPr>
        <w:t>Greene</w:t>
      </w:r>
      <w:r>
        <w:rPr>
          <w:rFonts w:ascii="Times New Roman" w:hAnsi="Times New Roman" w:cs="Times New Roman"/>
        </w:rPr>
        <w:t xml:space="preserve"> built off of PLR 9303007, where a donor proposed to give a museum undivided interests in certain artworks under the terms of a loan and gift agreement by which the donor and her successors in interest retained certain rights regarding the display and publicity of the artworks, where the Service concluded that the retained rights </w:t>
      </w:r>
      <w:r>
        <w:rPr>
          <w:rFonts w:ascii="Times New Roman" w:hAnsi="Times New Roman" w:cs="Times New Roman"/>
          <w:b/>
          <w:bCs/>
          <w:u w:val="single"/>
        </w:rPr>
        <w:t>were largely fiduciary powers</w:t>
      </w:r>
      <w:r>
        <w:rPr>
          <w:rFonts w:ascii="Times New Roman" w:hAnsi="Times New Roman" w:cs="Times New Roman"/>
        </w:rPr>
        <w:t xml:space="preserve"> exercisable in furtherance of the </w:t>
      </w:r>
      <w:proofErr w:type="spellStart"/>
      <w:r>
        <w:rPr>
          <w:rFonts w:ascii="Times New Roman" w:hAnsi="Times New Roman" w:cs="Times New Roman"/>
        </w:rPr>
        <w:t>donee's</w:t>
      </w:r>
      <w:proofErr w:type="spellEnd"/>
      <w:r>
        <w:rPr>
          <w:rFonts w:ascii="Times New Roman" w:hAnsi="Times New Roman" w:cs="Times New Roman"/>
        </w:rPr>
        <w:t xml:space="preserve"> exempt charitable purposes. Given that the rights were required to be exercised consistently with a “good museum practice” standard, and the parties were obligated to submit any disagreements concerning the standard to arbitration, the gifts were deductible as undivided interests because the retained rights were not substantial. </w:t>
      </w:r>
    </w:p>
    <w:p w14:paraId="085D42CC" w14:textId="77777777" w:rsidR="00C173A0" w:rsidRDefault="00340884" w:rsidP="00340884">
      <w:pPr>
        <w:jc w:val="both"/>
        <w:rPr>
          <w:rFonts w:ascii="Times New Roman" w:hAnsi="Times New Roman" w:cs="Times New Roman"/>
        </w:rPr>
      </w:pPr>
      <w:r>
        <w:rPr>
          <w:rFonts w:ascii="Times New Roman" w:hAnsi="Times New Roman" w:cs="Times New Roman"/>
        </w:rPr>
        <w:t>The taxpayers in </w:t>
      </w:r>
      <w:r>
        <w:rPr>
          <w:rFonts w:ascii="Times New Roman" w:hAnsi="Times New Roman" w:cs="Times New Roman"/>
          <w:i/>
          <w:iCs/>
        </w:rPr>
        <w:t>Greene</w:t>
      </w:r>
      <w:r>
        <w:rPr>
          <w:rFonts w:ascii="Times New Roman" w:hAnsi="Times New Roman" w:cs="Times New Roman"/>
        </w:rPr>
        <w:t xml:space="preserve"> sought charitable contribution deductions for donations of commodities futures contracts to a private foundation. For taxable years before 1983, pursuant to a private letter </w:t>
      </w:r>
      <w:r>
        <w:rPr>
          <w:rFonts w:ascii="Times New Roman" w:hAnsi="Times New Roman" w:cs="Times New Roman"/>
        </w:rPr>
        <w:lastRenderedPageBreak/>
        <w:t>ruling obtained from the IRS, the taxpayers made deductible donations of commodities futures contracts to the foundation. In response to changes in the tax laws made by the Economic Recovery Tax Act of 1981, Pub. L. No. 97-34, the taxpayers changed their method of donating the contracts for taxable years after 1982. Under the revised law, gains or losses from a termination of a taxpayer's obligations or rights under commodities futures contracts are treated as 60% long-term capital gain and 40% short-term capital gain. These changes affected the taxpayer's method of donating the commodities futures contracts, because 26 USC §170(e)(1)(A) requires the amount of any contribution of property to be reduced by the amount that would not have been long-term capital gain if the property had been sold by the taxpayer at the time of the contribution. To avoid the operation of §170(e)(1)(A), the taxpayers began contributing to the foundation only the portion of the futures contracts characterized under 26 USC §1256 as long-term capital gain, while retaining the portion of the contracts characterized as short-term capital gain. Shortly after contribution to the foundation from the taxpayers’ personal account, the contracts were sold, with the portion of the proceeds representing long-term capital gain being transferred to the foundation, while the short-term capital gain portion was transferred to the taxpayers and reported by them as income. The IRS assessed a deficiency for taxable years 1983 through 1987, seeking to tax the taxpayers on the portion of the proceeds representing long-term capital gain and to deny the charitable contributions deductions on the ground that the donations were nondeductible partial interests. The IRS assessed a deficiency for taxable year 1982 on the ground that the taxpayers should have reported and paid tax on the portion of the proceeds representing the long-term capital gain. The taxpayers were allowed a deduction for a charitable contribution characterized by the IRS as a contribution of cash equal to the amount of long-term capital gain. </w:t>
      </w:r>
      <w:r>
        <w:rPr>
          <w:rFonts w:ascii="Times New Roman" w:hAnsi="Times New Roman" w:cs="Times New Roman"/>
          <w:i/>
          <w:iCs/>
        </w:rPr>
        <w:t>Greene v. United States</w:t>
      </w:r>
      <w:r>
        <w:rPr>
          <w:rFonts w:ascii="Times New Roman" w:hAnsi="Times New Roman" w:cs="Times New Roman"/>
        </w:rPr>
        <w:t>, 806 F. Supp. 1165 (S.D.N.Y. 1992), </w:t>
      </w:r>
      <w:r>
        <w:rPr>
          <w:rFonts w:ascii="Times New Roman" w:hAnsi="Times New Roman" w:cs="Times New Roman"/>
          <w:i/>
          <w:iCs/>
        </w:rPr>
        <w:t>aff'd</w:t>
      </w:r>
      <w:r>
        <w:rPr>
          <w:rFonts w:ascii="Times New Roman" w:hAnsi="Times New Roman" w:cs="Times New Roman"/>
        </w:rPr>
        <w:t>, 13 F.3d 577 (2d Cir. 1994). The district court in </w:t>
      </w:r>
      <w:r>
        <w:rPr>
          <w:rFonts w:ascii="Times New Roman" w:hAnsi="Times New Roman" w:cs="Times New Roman"/>
          <w:i/>
          <w:iCs/>
        </w:rPr>
        <w:t>Greene</w:t>
      </w:r>
      <w:r>
        <w:rPr>
          <w:rFonts w:ascii="Times New Roman" w:hAnsi="Times New Roman" w:cs="Times New Roman"/>
        </w:rPr>
        <w:t xml:space="preserve"> thoroughly analyzed whether the contributions were nondeductible partial interests under §170(f)(3)(A) or deductible undivided interests covered by the exception under §170(f)(3)(B)(ii). </w:t>
      </w:r>
      <w:r>
        <w:rPr>
          <w:rFonts w:ascii="Times New Roman" w:hAnsi="Times New Roman" w:cs="Times New Roman"/>
          <w:i/>
          <w:iCs/>
        </w:rPr>
        <w:t>Greene v. United States</w:t>
      </w:r>
      <w:r>
        <w:rPr>
          <w:rFonts w:ascii="Times New Roman" w:hAnsi="Times New Roman" w:cs="Times New Roman"/>
        </w:rPr>
        <w:t xml:space="preserve">, 864 F. Supp. 407, 412–15. First, the </w:t>
      </w:r>
      <w:r>
        <w:rPr>
          <w:rFonts w:ascii="Times New Roman" w:hAnsi="Times New Roman" w:cs="Times New Roman"/>
          <w:i/>
          <w:iCs/>
        </w:rPr>
        <w:t xml:space="preserve">Greene </w:t>
      </w:r>
      <w:r>
        <w:rPr>
          <w:rFonts w:ascii="Times New Roman" w:hAnsi="Times New Roman" w:cs="Times New Roman"/>
        </w:rPr>
        <w:t xml:space="preserve">court examined whether the deduction for the futures contracts should be denied in light of the rationale underlying §170(f)(3). The court noted that, in enacting §170(f)(3), Congress was concerned with preventing a double benefit to taxpayers who donated to charity the rent-free use of property for a limited period of time. Although the taxpayers did escape income taxation of the long-term capital gain in the donated contracts while benefiting from a tax deduction of the full value of the portions donated, the court distinguished the donation of appreciated assets from the donation of the use of property. </w:t>
      </w:r>
    </w:p>
    <w:p w14:paraId="57E87148" w14:textId="7C23E6E1" w:rsidR="00340884" w:rsidRPr="00340884" w:rsidRDefault="00340884" w:rsidP="00340884">
      <w:pPr>
        <w:jc w:val="both"/>
        <w:rPr>
          <w:rFonts w:ascii="Times New Roman" w:hAnsi="Times New Roman" w:cs="Times New Roman"/>
        </w:rPr>
      </w:pPr>
      <w:r>
        <w:rPr>
          <w:rFonts w:ascii="Times New Roman" w:hAnsi="Times New Roman" w:cs="Times New Roman"/>
        </w:rPr>
        <w:t>The </w:t>
      </w:r>
      <w:r>
        <w:rPr>
          <w:rFonts w:ascii="Times New Roman" w:hAnsi="Times New Roman" w:cs="Times New Roman"/>
          <w:i/>
          <w:iCs/>
        </w:rPr>
        <w:t>Greene</w:t>
      </w:r>
      <w:r>
        <w:rPr>
          <w:rFonts w:ascii="Times New Roman" w:hAnsi="Times New Roman" w:cs="Times New Roman"/>
        </w:rPr>
        <w:t xml:space="preserve"> court also considered whether the taxpayers took a deduction for the full value of the donated futures contracts while retaining substantial rights in those contracts. </w:t>
      </w:r>
      <w:r>
        <w:rPr>
          <w:rFonts w:ascii="Times New Roman" w:hAnsi="Times New Roman" w:cs="Times New Roman"/>
          <w:i/>
          <w:iCs/>
        </w:rPr>
        <w:t>Greene v. United States</w:t>
      </w:r>
      <w:r>
        <w:rPr>
          <w:rFonts w:ascii="Times New Roman" w:hAnsi="Times New Roman" w:cs="Times New Roman"/>
        </w:rPr>
        <w:t xml:space="preserve">, 864 F. Supp. 407, 413–415. The government argued that the tax aspects of the futures contracts represented important interests and that an undivided portion of a futures contract would have to retain the 60% long-term capital gain/40% short-term capital gain ratio of the whole contract. Looking at the legislative history concerning the change in the taxation of futures contracts enacted in 1981, the court found that the 60%/40% split was the arbitrary result of a </w:t>
      </w:r>
      <w:r>
        <w:rPr>
          <w:rFonts w:ascii="Times New Roman" w:hAnsi="Times New Roman" w:cs="Times New Roman"/>
        </w:rPr>
        <w:lastRenderedPageBreak/>
        <w:t xml:space="preserve">compromise between the futures industry and the Treasury Department and, therefore, did not constitute substantial interests or rights of the donors that could not be divided in donating a portion of the contracts. The court concluded that the taxpayers had contributed undivided portions of their interests in the futures contracts and were eligible for a charitable contributions deduction. </w:t>
      </w:r>
    </w:p>
    <w:p w14:paraId="7773E45F" w14:textId="04D3DBDF" w:rsidR="003D35B7" w:rsidRPr="003D35B7" w:rsidRDefault="003D35B7" w:rsidP="003D35B7">
      <w:pPr>
        <w:jc w:val="both"/>
        <w:rPr>
          <w:rFonts w:ascii="Times New Roman" w:hAnsi="Times New Roman" w:cs="Times New Roman"/>
        </w:rPr>
      </w:pPr>
      <w:r>
        <w:rPr>
          <w:rFonts w:ascii="Times New Roman" w:hAnsi="Times New Roman" w:cs="Times New Roman"/>
        </w:rPr>
        <w:t>Where a donor of all of his stock in a company retained the right to vote that stock after the donation to charity, even though the charity possessed the ownership of the donated shares, had the right to receive dividends, and could dispose of the shares, the right to vote constituted a substantial right with respect to voting common stock and the donation was deemed a nondeductible gift of a partial interest. Rev. Rul. 81-282; </w:t>
      </w:r>
      <w:r>
        <w:rPr>
          <w:rFonts w:ascii="Times New Roman" w:hAnsi="Times New Roman" w:cs="Times New Roman"/>
          <w:i/>
          <w:iCs/>
        </w:rPr>
        <w:t>see also Miami Natl. Bank v. Commissioner</w:t>
      </w:r>
      <w:r>
        <w:rPr>
          <w:rFonts w:ascii="Times New Roman" w:hAnsi="Times New Roman" w:cs="Times New Roman"/>
        </w:rPr>
        <w:t>, 67 T.C. 793, 800 (1977); </w:t>
      </w:r>
      <w:r>
        <w:rPr>
          <w:rFonts w:ascii="Times New Roman" w:hAnsi="Times New Roman" w:cs="Times New Roman"/>
          <w:i/>
          <w:iCs/>
        </w:rPr>
        <w:t>McCord v. Commissioner</w:t>
      </w:r>
      <w:r>
        <w:rPr>
          <w:rFonts w:ascii="Times New Roman" w:hAnsi="Times New Roman" w:cs="Times New Roman"/>
        </w:rPr>
        <w:t>, 120 T.C. 358 (2003) (Judge Swift attempted to apply this principle to when two separate classes of stock exist and voting stock is retained while nonvoting stock is donated, but the majority opinion found that where taxpayer transferred nonvoting stock to a permissible done the value of the actual amount of stock received by the charity was deductible); Rev. Rul. 76-143, </w:t>
      </w:r>
      <w:proofErr w:type="spellStart"/>
      <w:r>
        <w:rPr>
          <w:rFonts w:ascii="Times New Roman" w:hAnsi="Times New Roman" w:cs="Times New Roman"/>
          <w:i/>
          <w:iCs/>
        </w:rPr>
        <w:t>rev'g</w:t>
      </w:r>
      <w:proofErr w:type="spellEnd"/>
      <w:r>
        <w:rPr>
          <w:rFonts w:ascii="Times New Roman" w:hAnsi="Times New Roman" w:cs="Times New Roman"/>
        </w:rPr>
        <w:t> Rev. Rul. 69-79, Rev. Rul. 69-215 (irrevocable assignment of cash surrender value of paid-up life insurance policy to charitable organization, where taxpayer retained rights to change beneficiary and assign balance of policy was nondeductible gift), and Rev. Rul. 76-1 (transfer of annuity contract to charitable organization, where taxpayer retained benefit of term life insurance purchased under contract before gift and right to continue annually renewing term insurance at favorable rates, was nondeductible transfer).</w:t>
      </w:r>
    </w:p>
    <w:p w14:paraId="070D542A" w14:textId="70C109C6" w:rsidR="00340884" w:rsidRPr="006E3B0C" w:rsidRDefault="00A37124" w:rsidP="006E3B0C">
      <w:pPr>
        <w:jc w:val="both"/>
        <w:rPr>
          <w:rFonts w:ascii="Times New Roman" w:hAnsi="Times New Roman" w:cs="Times New Roman"/>
        </w:rPr>
      </w:pPr>
      <w:r>
        <w:rPr>
          <w:rFonts w:ascii="Times New Roman" w:hAnsi="Times New Roman" w:cs="Times New Roman"/>
        </w:rPr>
        <w:t xml:space="preserve">Here, the rights Taxpayer retained can be defined as wholly fiduciary powers, consistent with the taxpayer-donor in PLR 9303007. The voting powers and management position in this case are limited and bound by Section 9.12 of the OA, which imposes a fiduciary duty owed by Taxpayer to the Charity to maximize investments and ensure growth of the Partnership’s assets. Section 4.11 and 17.04 further grant an enforceable right to the Charity over 99% of the assets of the Partnership and any annual distributions made by the Charity. Also, unlike in Rev. Rul. 81-282, the Taxpayer did not retain any rights otherwise a part of the donated interest – the OA is clear that there are separate classes of interest the 1% voting interest and the 99% nonvoting interest. The entirety of that 99% interest was donated along with any rights and duties related to those interests. In </w:t>
      </w:r>
      <w:r>
        <w:rPr>
          <w:rFonts w:ascii="Times New Roman" w:hAnsi="Times New Roman" w:cs="Times New Roman"/>
          <w:i/>
          <w:iCs/>
        </w:rPr>
        <w:t xml:space="preserve">PLR 201129033 </w:t>
      </w:r>
      <w:r>
        <w:rPr>
          <w:rFonts w:ascii="Times New Roman" w:hAnsi="Times New Roman" w:cs="Times New Roman"/>
        </w:rPr>
        <w:t xml:space="preserve">there were similarly two classes of stock, voting and nonvoting, and although the taxpayer transferred all of the voting stock he did so to a trust he set up with management that he had sole power to appoint. Just as the voting and nonvoting stock in PLR 201129033 were deemed to be separate interests, here the voting and non-voting interests are entirely separate from each other and should not be merged. </w:t>
      </w:r>
    </w:p>
    <w:p w14:paraId="06D08895" w14:textId="4AED7C86" w:rsidR="00DA32C6" w:rsidRPr="00963EFD" w:rsidRDefault="00DA32C6" w:rsidP="00963EFD">
      <w:pPr>
        <w:pStyle w:val="ListParagraph"/>
        <w:numPr>
          <w:ilvl w:val="0"/>
          <w:numId w:val="9"/>
        </w:numPr>
        <w:jc w:val="center"/>
        <w:rPr>
          <w:rFonts w:ascii="Times New Roman" w:hAnsi="Times New Roman" w:cs="Times New Roman"/>
          <w:b/>
          <w:bCs/>
        </w:rPr>
      </w:pPr>
      <w:proofErr w:type="spellStart"/>
      <w:r>
        <w:rPr>
          <w:rFonts w:ascii="Times New Roman" w:hAnsi="Times New Roman" w:cs="Times New Roman"/>
          <w:b/>
          <w:bCs/>
          <w:i/>
          <w:iCs/>
        </w:rPr>
        <w:t>Fakiris</w:t>
      </w:r>
      <w:proofErr w:type="spellEnd"/>
      <w:r>
        <w:rPr>
          <w:rFonts w:ascii="Times New Roman" w:hAnsi="Times New Roman" w:cs="Times New Roman"/>
          <w:b/>
          <w:bCs/>
        </w:rPr>
        <w:t xml:space="preserve"> Analysis</w:t>
      </w:r>
    </w:p>
    <w:p w14:paraId="10BD403A" w14:textId="71F7FA3D" w:rsidR="00DA32C6" w:rsidRPr="00DA32C6" w:rsidRDefault="00DA32C6" w:rsidP="00DA32C6">
      <w:pPr>
        <w:pStyle w:val="ListParagraph"/>
        <w:numPr>
          <w:ilvl w:val="0"/>
          <w:numId w:val="6"/>
        </w:numPr>
        <w:jc w:val="both"/>
        <w:rPr>
          <w:rFonts w:ascii="Times New Roman" w:hAnsi="Times New Roman" w:cs="Times New Roman"/>
          <w:u w:val="single"/>
        </w:rPr>
      </w:pPr>
      <w:proofErr w:type="spellStart"/>
      <w:r>
        <w:rPr>
          <w:rFonts w:ascii="Times New Roman" w:hAnsi="Times New Roman" w:cs="Times New Roman"/>
          <w:i/>
          <w:iCs/>
          <w:u w:val="single"/>
        </w:rPr>
        <w:t>Fakiris</w:t>
      </w:r>
      <w:proofErr w:type="spellEnd"/>
      <w:r>
        <w:rPr>
          <w:rFonts w:ascii="Times New Roman" w:hAnsi="Times New Roman" w:cs="Times New Roman"/>
          <w:u w:val="single"/>
        </w:rPr>
        <w:t xml:space="preserve"> Facts</w:t>
      </w:r>
    </w:p>
    <w:p w14:paraId="2C2688A1" w14:textId="5091DCCD" w:rsidR="006C57B6" w:rsidRPr="006C57B6" w:rsidRDefault="006C57B6" w:rsidP="006C57B6">
      <w:pPr>
        <w:jc w:val="both"/>
        <w:rPr>
          <w:rFonts w:ascii="Times New Roman" w:hAnsi="Times New Roman" w:cs="Times New Roman"/>
        </w:rPr>
      </w:pPr>
      <w:r>
        <w:rPr>
          <w:rFonts w:ascii="Times New Roman" w:hAnsi="Times New Roman" w:cs="Times New Roman"/>
        </w:rPr>
        <w:t xml:space="preserve">In </w:t>
      </w:r>
      <w:proofErr w:type="spellStart"/>
      <w:r>
        <w:rPr>
          <w:rFonts w:ascii="Times New Roman" w:hAnsi="Times New Roman" w:cs="Times New Roman"/>
          <w:i/>
          <w:iCs/>
        </w:rPr>
        <w:t>Fakiris</w:t>
      </w:r>
      <w:proofErr w:type="spellEnd"/>
      <w:r>
        <w:rPr>
          <w:rFonts w:ascii="Times New Roman" w:hAnsi="Times New Roman" w:cs="Times New Roman"/>
        </w:rPr>
        <w:t>, the</w:t>
      </w:r>
      <w:r>
        <w:rPr>
          <w:rFonts w:ascii="Times New Roman" w:hAnsi="Times New Roman" w:cs="Times New Roman"/>
          <w:b/>
          <w:bCs/>
        </w:rPr>
        <w:t xml:space="preserve"> </w:t>
      </w:r>
      <w:r>
        <w:rPr>
          <w:rFonts w:ascii="Times New Roman" w:hAnsi="Times New Roman" w:cs="Times New Roman"/>
        </w:rPr>
        <w:t xml:space="preserve">petitioner, George Fakiris, was a commercial real estate developer and the managing member of </w:t>
      </w:r>
      <w:proofErr w:type="spellStart"/>
      <w:r>
        <w:rPr>
          <w:rFonts w:ascii="Times New Roman" w:hAnsi="Times New Roman" w:cs="Times New Roman"/>
        </w:rPr>
        <w:t>Grou</w:t>
      </w:r>
      <w:proofErr w:type="spellEnd"/>
      <w:r>
        <w:rPr>
          <w:rFonts w:ascii="Times New Roman" w:hAnsi="Times New Roman" w:cs="Times New Roman"/>
        </w:rPr>
        <w:t xml:space="preserve"> Development LLC (</w:t>
      </w:r>
      <w:proofErr w:type="spellStart"/>
      <w:r>
        <w:rPr>
          <w:rFonts w:ascii="Times New Roman" w:hAnsi="Times New Roman" w:cs="Times New Roman"/>
        </w:rPr>
        <w:t>Grou</w:t>
      </w:r>
      <w:proofErr w:type="spellEnd"/>
      <w:r>
        <w:rPr>
          <w:rFonts w:ascii="Times New Roman" w:hAnsi="Times New Roman" w:cs="Times New Roman"/>
        </w:rPr>
        <w:t xml:space="preserve">). On March 14, 2001, </w:t>
      </w:r>
      <w:proofErr w:type="spellStart"/>
      <w:r>
        <w:rPr>
          <w:rFonts w:ascii="Times New Roman" w:hAnsi="Times New Roman" w:cs="Times New Roman"/>
        </w:rPr>
        <w:t>Grou</w:t>
      </w:r>
      <w:proofErr w:type="spellEnd"/>
      <w:r>
        <w:rPr>
          <w:rFonts w:ascii="Times New Roman" w:hAnsi="Times New Roman" w:cs="Times New Roman"/>
        </w:rPr>
        <w:t xml:space="preserve"> purchased the St. George Theatre in Staten Island, New York, for $700,000. </w:t>
      </w:r>
      <w:proofErr w:type="spellStart"/>
      <w:r>
        <w:rPr>
          <w:rFonts w:ascii="Times New Roman" w:hAnsi="Times New Roman" w:cs="Times New Roman"/>
        </w:rPr>
        <w:t>Grou</w:t>
      </w:r>
      <w:proofErr w:type="spellEnd"/>
      <w:r>
        <w:rPr>
          <w:rFonts w:ascii="Times New Roman" w:hAnsi="Times New Roman" w:cs="Times New Roman"/>
        </w:rPr>
        <w:t xml:space="preserve"> initially planned to demolish the theater </w:t>
      </w:r>
      <w:r>
        <w:rPr>
          <w:rFonts w:ascii="Times New Roman" w:hAnsi="Times New Roman" w:cs="Times New Roman"/>
        </w:rPr>
        <w:lastRenderedPageBreak/>
        <w:t xml:space="preserve">to build a high-rise structure, but this plan was abandoned due to significant community opposition. Subsequently, </w:t>
      </w:r>
      <w:proofErr w:type="spellStart"/>
      <w:r>
        <w:rPr>
          <w:rFonts w:ascii="Times New Roman" w:hAnsi="Times New Roman" w:cs="Times New Roman"/>
        </w:rPr>
        <w:t>Grou</w:t>
      </w:r>
      <w:proofErr w:type="spellEnd"/>
      <w:r>
        <w:rPr>
          <w:rFonts w:ascii="Times New Roman" w:hAnsi="Times New Roman" w:cs="Times New Roman"/>
        </w:rPr>
        <w:t xml:space="preserve"> decided to donate the theater to a tax-exempt organization; however, offers to the City of New York and a local college were declined.</w:t>
      </w:r>
    </w:p>
    <w:p w14:paraId="08C8C824" w14:textId="6965AC16" w:rsidR="006C57B6" w:rsidRPr="006C57B6" w:rsidRDefault="006C57B6" w:rsidP="006C57B6">
      <w:pPr>
        <w:jc w:val="both"/>
        <w:rPr>
          <w:rFonts w:ascii="Times New Roman" w:hAnsi="Times New Roman" w:cs="Times New Roman"/>
        </w:rPr>
      </w:pPr>
      <w:r>
        <w:rPr>
          <w:rFonts w:ascii="Times New Roman" w:hAnsi="Times New Roman" w:cs="Times New Roman"/>
        </w:rPr>
        <w:t xml:space="preserve">Around December 2003, Rosemary </w:t>
      </w:r>
      <w:proofErr w:type="spellStart"/>
      <w:r>
        <w:rPr>
          <w:rFonts w:ascii="Times New Roman" w:hAnsi="Times New Roman" w:cs="Times New Roman"/>
        </w:rPr>
        <w:t>Cappozalo</w:t>
      </w:r>
      <w:proofErr w:type="spellEnd"/>
      <w:r>
        <w:rPr>
          <w:rFonts w:ascii="Times New Roman" w:hAnsi="Times New Roman" w:cs="Times New Roman"/>
        </w:rPr>
        <w:t xml:space="preserve"> formed a nonprofit corporation, Richmond Dance Ensemble, Inc. (Richmond Dance), with the stated purpose of preserving and restoring the St. George Theatre. </w:t>
      </w:r>
      <w:proofErr w:type="spellStart"/>
      <w:r>
        <w:rPr>
          <w:rFonts w:ascii="Times New Roman" w:hAnsi="Times New Roman" w:cs="Times New Roman"/>
        </w:rPr>
        <w:t>Grou</w:t>
      </w:r>
      <w:proofErr w:type="spellEnd"/>
      <w:r>
        <w:rPr>
          <w:rFonts w:ascii="Times New Roman" w:hAnsi="Times New Roman" w:cs="Times New Roman"/>
        </w:rPr>
        <w:t xml:space="preserve"> and Richmond Dance reached an agreement in principle for </w:t>
      </w:r>
      <w:proofErr w:type="spellStart"/>
      <w:r>
        <w:rPr>
          <w:rFonts w:ascii="Times New Roman" w:hAnsi="Times New Roman" w:cs="Times New Roman"/>
        </w:rPr>
        <w:t>Grou</w:t>
      </w:r>
      <w:proofErr w:type="spellEnd"/>
      <w:r>
        <w:rPr>
          <w:rFonts w:ascii="Times New Roman" w:hAnsi="Times New Roman" w:cs="Times New Roman"/>
        </w:rPr>
        <w:t xml:space="preserve"> to donate the theater.</w:t>
      </w:r>
    </w:p>
    <w:p w14:paraId="19B2BDDC" w14:textId="7C38F616" w:rsidR="006C57B6" w:rsidRPr="006C57B6" w:rsidRDefault="006C57B6" w:rsidP="006C57B6">
      <w:pPr>
        <w:jc w:val="both"/>
        <w:rPr>
          <w:rFonts w:ascii="Times New Roman" w:hAnsi="Times New Roman" w:cs="Times New Roman"/>
        </w:rPr>
      </w:pPr>
      <w:r>
        <w:rPr>
          <w:rFonts w:ascii="Times New Roman" w:hAnsi="Times New Roman" w:cs="Times New Roman"/>
        </w:rPr>
        <w:t xml:space="preserve">However, Mr. </w:t>
      </w:r>
      <w:proofErr w:type="spellStart"/>
      <w:r>
        <w:rPr>
          <w:rFonts w:ascii="Times New Roman" w:hAnsi="Times New Roman" w:cs="Times New Roman"/>
        </w:rPr>
        <w:t>Fakiris</w:t>
      </w:r>
      <w:proofErr w:type="spellEnd"/>
      <w:r>
        <w:rPr>
          <w:rFonts w:ascii="Times New Roman" w:hAnsi="Times New Roman" w:cs="Times New Roman"/>
        </w:rPr>
        <w:t xml:space="preserve"> was concerned because Richmond Dance had not yet received its tax-exempt status from the IRS. Through Mrs. </w:t>
      </w:r>
      <w:proofErr w:type="spellStart"/>
      <w:r>
        <w:rPr>
          <w:rFonts w:ascii="Times New Roman" w:hAnsi="Times New Roman" w:cs="Times New Roman"/>
        </w:rPr>
        <w:t>Cappozalo</w:t>
      </w:r>
      <w:proofErr w:type="spellEnd"/>
      <w:r>
        <w:rPr>
          <w:rFonts w:ascii="Times New Roman" w:hAnsi="Times New Roman" w:cs="Times New Roman"/>
        </w:rPr>
        <w:t xml:space="preserve">, an arrangement was made with WEMGO Charitable Trust, Inc. (WEMGO), an established 501(c)(3) organization. The parties agreed that </w:t>
      </w:r>
      <w:proofErr w:type="spellStart"/>
      <w:r>
        <w:rPr>
          <w:rFonts w:ascii="Times New Roman" w:hAnsi="Times New Roman" w:cs="Times New Roman"/>
        </w:rPr>
        <w:t>Grou</w:t>
      </w:r>
      <w:proofErr w:type="spellEnd"/>
      <w:r>
        <w:rPr>
          <w:rFonts w:ascii="Times New Roman" w:hAnsi="Times New Roman" w:cs="Times New Roman"/>
        </w:rPr>
        <w:t xml:space="preserve"> would transfer the theater to WEMGO, which would then transfer it to Richmond Dance.</w:t>
      </w:r>
    </w:p>
    <w:p w14:paraId="50E280C1" w14:textId="0C1633D8" w:rsidR="006C57B6" w:rsidRDefault="006C57B6" w:rsidP="006C57B6">
      <w:pPr>
        <w:tabs>
          <w:tab w:val="num" w:pos="720"/>
        </w:tabs>
        <w:jc w:val="both"/>
        <w:rPr>
          <w:rFonts w:ascii="Times New Roman" w:hAnsi="Times New Roman" w:cs="Times New Roman"/>
        </w:rPr>
      </w:pPr>
      <w:r>
        <w:rPr>
          <w:rFonts w:ascii="Times New Roman" w:hAnsi="Times New Roman" w:cs="Times New Roman"/>
        </w:rPr>
        <w:t xml:space="preserve">On June 29, 2004, a series of transactions occurred whereby </w:t>
      </w:r>
      <w:proofErr w:type="spellStart"/>
      <w:r>
        <w:rPr>
          <w:rFonts w:ascii="Times New Roman" w:hAnsi="Times New Roman" w:cs="Times New Roman"/>
        </w:rPr>
        <w:t>Grou</w:t>
      </w:r>
      <w:proofErr w:type="spellEnd"/>
      <w:r>
        <w:rPr>
          <w:rFonts w:ascii="Times New Roman" w:hAnsi="Times New Roman" w:cs="Times New Roman"/>
        </w:rPr>
        <w:t xml:space="preserve"> and WEMGO executed a "Contract of Sale". The contract stipulated that WEMGO was prohibited from selling the theater for five years. It also stated that </w:t>
      </w:r>
      <w:proofErr w:type="spellStart"/>
      <w:r>
        <w:rPr>
          <w:rFonts w:ascii="Times New Roman" w:hAnsi="Times New Roman" w:cs="Times New Roman"/>
        </w:rPr>
        <w:t>Grou</w:t>
      </w:r>
      <w:proofErr w:type="spellEnd"/>
      <w:r>
        <w:rPr>
          <w:rFonts w:ascii="Times New Roman" w:hAnsi="Times New Roman" w:cs="Times New Roman"/>
        </w:rPr>
        <w:t xml:space="preserve"> could transfer the property to Richmond Dance once it received its 501(c)(3) status, and that these provisions would survive the closing. First, </w:t>
      </w:r>
      <w:proofErr w:type="spellStart"/>
      <w:r>
        <w:rPr>
          <w:rFonts w:ascii="Times New Roman" w:hAnsi="Times New Roman" w:cs="Times New Roman"/>
        </w:rPr>
        <w:t>Grou</w:t>
      </w:r>
      <w:proofErr w:type="spellEnd"/>
      <w:r>
        <w:rPr>
          <w:rFonts w:ascii="Times New Roman" w:hAnsi="Times New Roman" w:cs="Times New Roman"/>
        </w:rPr>
        <w:t xml:space="preserve"> transferred the St. George Theatre to WEMGO by deed in exchange for $470,000. This payment was provided by Mrs. </w:t>
      </w:r>
      <w:proofErr w:type="spellStart"/>
      <w:r>
        <w:rPr>
          <w:rFonts w:ascii="Times New Roman" w:hAnsi="Times New Roman" w:cs="Times New Roman"/>
        </w:rPr>
        <w:t>Cappozalo</w:t>
      </w:r>
      <w:proofErr w:type="spellEnd"/>
      <w:r>
        <w:rPr>
          <w:rFonts w:ascii="Times New Roman" w:hAnsi="Times New Roman" w:cs="Times New Roman"/>
        </w:rPr>
        <w:t xml:space="preserve">, not WEMGO; the parties stipulated that WEMGO itself paid no consideration for the theater. The deed did not contain the transfer restrictions that were specified in the Contract of Sale. On the very same day, WEMGO transferred the theater to Richmond Dance by deed, receiving no consideration for the transfer. This occurred before Richmond Dance was officially recognized as tax-exempt by the IRS. As such, </w:t>
      </w:r>
      <w:proofErr w:type="spellStart"/>
      <w:r>
        <w:rPr>
          <w:rFonts w:ascii="Times New Roman" w:hAnsi="Times New Roman" w:cs="Times New Roman"/>
        </w:rPr>
        <w:t>Falkiris</w:t>
      </w:r>
      <w:proofErr w:type="spellEnd"/>
      <w:r>
        <w:rPr>
          <w:rFonts w:ascii="Times New Roman" w:hAnsi="Times New Roman" w:cs="Times New Roman"/>
        </w:rPr>
        <w:t xml:space="preserve">, on paper, donated the theater to Richmond Dance, but actually sold it to Mrs. </w:t>
      </w:r>
      <w:proofErr w:type="spellStart"/>
      <w:r>
        <w:rPr>
          <w:rFonts w:ascii="Times New Roman" w:hAnsi="Times New Roman" w:cs="Times New Roman"/>
        </w:rPr>
        <w:t>Cappozalo</w:t>
      </w:r>
      <w:proofErr w:type="spellEnd"/>
      <w:r>
        <w:rPr>
          <w:rFonts w:ascii="Times New Roman" w:hAnsi="Times New Roman" w:cs="Times New Roman"/>
        </w:rPr>
        <w:t xml:space="preserve"> and Richmond Dance. The IRS later issued a letter on September 30, 2004, recognizing Richmond Dance as a tax-exempt organization, with the status effective retroactively to May 11, 2004.</w:t>
      </w:r>
    </w:p>
    <w:p w14:paraId="503645F1" w14:textId="7EB1C408" w:rsidR="00DA32C6" w:rsidRPr="006C57B6" w:rsidRDefault="00DA32C6" w:rsidP="00DA32C6">
      <w:pPr>
        <w:pStyle w:val="ListParagraph"/>
        <w:numPr>
          <w:ilvl w:val="0"/>
          <w:numId w:val="6"/>
        </w:numPr>
        <w:tabs>
          <w:tab w:val="num" w:pos="720"/>
        </w:tabs>
        <w:jc w:val="both"/>
        <w:rPr>
          <w:rFonts w:ascii="Times New Roman" w:hAnsi="Times New Roman" w:cs="Times New Roman"/>
        </w:rPr>
      </w:pPr>
      <w:proofErr w:type="spellStart"/>
      <w:r>
        <w:rPr>
          <w:rFonts w:ascii="Times New Roman" w:hAnsi="Times New Roman" w:cs="Times New Roman"/>
          <w:i/>
          <w:iCs/>
          <w:u w:val="single"/>
        </w:rPr>
        <w:t>Fakiris</w:t>
      </w:r>
      <w:proofErr w:type="spellEnd"/>
      <w:r>
        <w:rPr>
          <w:rFonts w:ascii="Times New Roman" w:hAnsi="Times New Roman" w:cs="Times New Roman"/>
          <w:i/>
          <w:iCs/>
          <w:u w:val="single"/>
        </w:rPr>
        <w:t xml:space="preserve"> Findings</w:t>
      </w:r>
    </w:p>
    <w:p w14:paraId="05CB8291" w14:textId="6A3522A1" w:rsidR="00C06415" w:rsidRPr="00C06415" w:rsidRDefault="00C06415" w:rsidP="00C06415">
      <w:pPr>
        <w:jc w:val="both"/>
        <w:rPr>
          <w:rFonts w:ascii="Times New Roman" w:hAnsi="Times New Roman" w:cs="Times New Roman"/>
        </w:rPr>
      </w:pPr>
      <w:r>
        <w:rPr>
          <w:rFonts w:ascii="Times New Roman" w:hAnsi="Times New Roman" w:cs="Times New Roman"/>
        </w:rPr>
        <w:t>The court focused on two significant conditions imposed by the Contract of Sale:</w:t>
      </w:r>
    </w:p>
    <w:p w14:paraId="6B5CB45D" w14:textId="75B378B1" w:rsidR="00C06415" w:rsidRPr="00C06415" w:rsidRDefault="00C06415" w:rsidP="00C06415">
      <w:pPr>
        <w:numPr>
          <w:ilvl w:val="0"/>
          <w:numId w:val="2"/>
        </w:numPr>
        <w:jc w:val="both"/>
        <w:rPr>
          <w:rFonts w:ascii="Times New Roman" w:hAnsi="Times New Roman" w:cs="Times New Roman"/>
        </w:rPr>
      </w:pPr>
      <w:r>
        <w:rPr>
          <w:rFonts w:ascii="Times New Roman" w:hAnsi="Times New Roman" w:cs="Times New Roman"/>
        </w:rPr>
        <w:t>WEMGO was prohibited from selling the theater for five years after the transfer.</w:t>
      </w:r>
    </w:p>
    <w:p w14:paraId="5E803CC2" w14:textId="172A4260" w:rsidR="00C06415" w:rsidRPr="00C06415" w:rsidRDefault="00C06415" w:rsidP="00C06415">
      <w:pPr>
        <w:numPr>
          <w:ilvl w:val="0"/>
          <w:numId w:val="2"/>
        </w:numPr>
        <w:jc w:val="both"/>
        <w:rPr>
          <w:rFonts w:ascii="Times New Roman" w:hAnsi="Times New Roman" w:cs="Times New Roman"/>
        </w:rPr>
      </w:pPr>
      <w:proofErr w:type="spellStart"/>
      <w:r>
        <w:rPr>
          <w:rFonts w:ascii="Times New Roman" w:hAnsi="Times New Roman" w:cs="Times New Roman"/>
        </w:rPr>
        <w:t>Grou</w:t>
      </w:r>
      <w:proofErr w:type="spellEnd"/>
      <w:r>
        <w:rPr>
          <w:rFonts w:ascii="Times New Roman" w:hAnsi="Times New Roman" w:cs="Times New Roman"/>
        </w:rPr>
        <w:t xml:space="preserve"> retained the right to direct WEMGO to transfer the theater to a third party, Richmond Dance Ensemble, Inc. (Richmond Dance), once Richmond Dance received its tax-exempt status from the IRS.</w:t>
      </w:r>
    </w:p>
    <w:p w14:paraId="78A7CABF" w14:textId="34B26C0F" w:rsidR="00C06415" w:rsidRPr="00C06415" w:rsidRDefault="00C06415" w:rsidP="00C06415">
      <w:pPr>
        <w:jc w:val="both"/>
        <w:rPr>
          <w:rFonts w:ascii="Times New Roman" w:hAnsi="Times New Roman" w:cs="Times New Roman"/>
        </w:rPr>
      </w:pPr>
      <w:r>
        <w:rPr>
          <w:rFonts w:ascii="Times New Roman" w:hAnsi="Times New Roman" w:cs="Times New Roman"/>
        </w:rPr>
        <w:t xml:space="preserve">The court interpreted these provisions, specifically paragraphs 43d and 49, to mean that </w:t>
      </w:r>
      <w:proofErr w:type="spellStart"/>
      <w:r>
        <w:rPr>
          <w:rFonts w:ascii="Times New Roman" w:hAnsi="Times New Roman" w:cs="Times New Roman"/>
        </w:rPr>
        <w:t>Grou</w:t>
      </w:r>
      <w:proofErr w:type="spellEnd"/>
      <w:r>
        <w:rPr>
          <w:rFonts w:ascii="Times New Roman" w:hAnsi="Times New Roman" w:cs="Times New Roman"/>
        </w:rPr>
        <w:t xml:space="preserve"> retained the power to compel WEMGO to transfer the theater to Richmond Dance for a period of five years. This power was a “substantial — indeed paramount — element of dominion and control over the subject of the purported gift, exercisable against the purported </w:t>
      </w:r>
      <w:proofErr w:type="spellStart"/>
      <w:r>
        <w:rPr>
          <w:rFonts w:ascii="Times New Roman" w:hAnsi="Times New Roman" w:cs="Times New Roman"/>
        </w:rPr>
        <w:t>donee</w:t>
      </w:r>
      <w:proofErr w:type="spellEnd"/>
      <w:r>
        <w:rPr>
          <w:rFonts w:ascii="Times New Roman" w:hAnsi="Times New Roman" w:cs="Times New Roman"/>
        </w:rPr>
        <w:t xml:space="preserve"> WEMGO.”</w:t>
      </w:r>
    </w:p>
    <w:p w14:paraId="26551EB8" w14:textId="0480DE62" w:rsidR="00C06415" w:rsidRDefault="00C06415" w:rsidP="00C06415">
      <w:pPr>
        <w:tabs>
          <w:tab w:val="num" w:pos="720"/>
        </w:tabs>
        <w:jc w:val="both"/>
        <w:rPr>
          <w:rFonts w:ascii="Times New Roman" w:hAnsi="Times New Roman" w:cs="Times New Roman"/>
        </w:rPr>
      </w:pPr>
      <w:r>
        <w:rPr>
          <w:rFonts w:ascii="Times New Roman" w:hAnsi="Times New Roman" w:cs="Times New Roman"/>
        </w:rPr>
        <w:t xml:space="preserve">Further, though the taxpayer argued that these restrictions were not "operative" because they were included in the contract but not in the final deed transferring the property, the court rejected this </w:t>
      </w:r>
      <w:r>
        <w:rPr>
          <w:rFonts w:ascii="Times New Roman" w:hAnsi="Times New Roman" w:cs="Times New Roman"/>
        </w:rPr>
        <w:lastRenderedPageBreak/>
        <w:t xml:space="preserve">argument and focused on the </w:t>
      </w:r>
      <w:r>
        <w:rPr>
          <w:rFonts w:ascii="Times New Roman" w:hAnsi="Times New Roman" w:cs="Times New Roman"/>
          <w:b/>
          <w:bCs/>
        </w:rPr>
        <w:t>enforcement rights</w:t>
      </w:r>
      <w:r>
        <w:rPr>
          <w:rFonts w:ascii="Times New Roman" w:hAnsi="Times New Roman" w:cs="Times New Roman"/>
        </w:rPr>
        <w:t xml:space="preserve"> granted by the Contract of Sale. Specifically, paragraph 49 of the contract explicitly stated, "The provisions of this paragraph shall survive closing." The Court found that under New York law, such a clear expression of intent prevents the merger doctrine from applying. The Court also found that because the contract required the deed to include the two restrictions, </w:t>
      </w:r>
      <w:proofErr w:type="spellStart"/>
      <w:r>
        <w:rPr>
          <w:rFonts w:ascii="Times New Roman" w:hAnsi="Times New Roman" w:cs="Times New Roman"/>
        </w:rPr>
        <w:t>Grou</w:t>
      </w:r>
      <w:proofErr w:type="spellEnd"/>
      <w:r>
        <w:rPr>
          <w:rFonts w:ascii="Times New Roman" w:hAnsi="Times New Roman" w:cs="Times New Roman"/>
        </w:rPr>
        <w:t xml:space="preserve"> had the legal right to sue to reform the deed to include the omitted terms, thereby enforcing its rights against WEMGO.</w:t>
      </w:r>
    </w:p>
    <w:p w14:paraId="0DC56E04" w14:textId="5466ECA4" w:rsidR="00DA32C6" w:rsidRPr="00DA32C6" w:rsidRDefault="00DA32C6" w:rsidP="00DA32C6">
      <w:pPr>
        <w:pStyle w:val="ListParagraph"/>
        <w:numPr>
          <w:ilvl w:val="0"/>
          <w:numId w:val="6"/>
        </w:numPr>
        <w:tabs>
          <w:tab w:val="num" w:pos="720"/>
        </w:tabs>
        <w:jc w:val="both"/>
        <w:rPr>
          <w:rFonts w:ascii="Times New Roman" w:hAnsi="Times New Roman" w:cs="Times New Roman"/>
          <w:u w:val="single"/>
        </w:rPr>
      </w:pPr>
      <w:r>
        <w:rPr>
          <w:rFonts w:ascii="Times New Roman" w:hAnsi="Times New Roman" w:cs="Times New Roman"/>
          <w:u w:val="single"/>
        </w:rPr>
        <w:t xml:space="preserve">Why </w:t>
      </w:r>
      <w:proofErr w:type="spellStart"/>
      <w:r>
        <w:rPr>
          <w:rFonts w:ascii="Times New Roman" w:hAnsi="Times New Roman" w:cs="Times New Roman"/>
          <w:i/>
          <w:iCs/>
          <w:u w:val="single"/>
        </w:rPr>
        <w:t>Fakiris</w:t>
      </w:r>
      <w:proofErr w:type="spellEnd"/>
      <w:r>
        <w:rPr>
          <w:rFonts w:ascii="Times New Roman" w:hAnsi="Times New Roman" w:cs="Times New Roman"/>
          <w:i/>
          <w:iCs/>
          <w:u w:val="single"/>
        </w:rPr>
        <w:t xml:space="preserve"> </w:t>
      </w:r>
      <w:r>
        <w:rPr>
          <w:rFonts w:ascii="Times New Roman" w:hAnsi="Times New Roman" w:cs="Times New Roman"/>
          <w:u w:val="single"/>
        </w:rPr>
        <w:t>Does Not Apply</w:t>
      </w:r>
    </w:p>
    <w:p w14:paraId="105EEF47" w14:textId="2C758F6A" w:rsidR="00F061CC" w:rsidRDefault="00003F85" w:rsidP="00894A5C">
      <w:pPr>
        <w:jc w:val="both"/>
        <w:rPr>
          <w:rFonts w:ascii="Times New Roman" w:hAnsi="Times New Roman" w:cs="Times New Roman"/>
        </w:rPr>
      </w:pPr>
      <w:r>
        <w:rPr>
          <w:rFonts w:ascii="Times New Roman" w:hAnsi="Times New Roman" w:cs="Times New Roman"/>
        </w:rPr>
        <w:t>Here, the Founding Member, through the Taxpayers as Trustees, transferred the subject membership interest to the Charity unconditionally.</w:t>
      </w:r>
      <w:r w:rsidR="00F061CC">
        <w:rPr>
          <w:rFonts w:ascii="Times New Roman" w:hAnsi="Times New Roman" w:cs="Times New Roman"/>
        </w:rPr>
        <w:t xml:space="preserve"> U</w:t>
      </w:r>
      <w:r w:rsidR="00F061CC" w:rsidRPr="00F061CC">
        <w:rPr>
          <w:rFonts w:ascii="Times New Roman" w:hAnsi="Times New Roman" w:cs="Times New Roman"/>
        </w:rPr>
        <w:t xml:space="preserve">nlike in </w:t>
      </w:r>
      <w:proofErr w:type="spellStart"/>
      <w:r w:rsidR="00F061CC" w:rsidRPr="00F061CC">
        <w:rPr>
          <w:rFonts w:ascii="Times New Roman" w:hAnsi="Times New Roman" w:cs="Times New Roman"/>
        </w:rPr>
        <w:t>Fakiris</w:t>
      </w:r>
      <w:proofErr w:type="spellEnd"/>
      <w:r w:rsidR="00F061CC" w:rsidRPr="00F061CC">
        <w:rPr>
          <w:rFonts w:ascii="Times New Roman" w:hAnsi="Times New Roman" w:cs="Times New Roman"/>
        </w:rPr>
        <w:t xml:space="preserve"> where WEMGO was contractually prohibited from selling the theatre for five years except to Richmond Dance, Section 15.01 of the Operating Agreement expressly provides: “Any Member may voluntarily transfer its Interest without the consent of any other Member or the Managers.” The Charity’s ability to transfer its interest is subject only to the mutual right of first refusal in Section 16.01—a standard protective provision that applies equally to all members and requires purchase at the offered price, not a mechanism that prevents or freezes the Charity’s disposition rights.</w:t>
      </w:r>
      <w:r w:rsidR="00F061CC">
        <w:rPr>
          <w:rFonts w:ascii="Times New Roman" w:hAnsi="Times New Roman" w:cs="Times New Roman"/>
        </w:rPr>
        <w:t xml:space="preserve"> Furthermore, </w:t>
      </w:r>
      <w:r w:rsidR="00F061CC" w:rsidRPr="00F061CC">
        <w:rPr>
          <w:rFonts w:ascii="Times New Roman" w:hAnsi="Times New Roman" w:cs="Times New Roman"/>
        </w:rPr>
        <w:t xml:space="preserve">unlike in </w:t>
      </w:r>
      <w:proofErr w:type="spellStart"/>
      <w:r w:rsidR="00F061CC" w:rsidRPr="00F061CC">
        <w:rPr>
          <w:rFonts w:ascii="Times New Roman" w:hAnsi="Times New Roman" w:cs="Times New Roman"/>
        </w:rPr>
        <w:t>Fakiris</w:t>
      </w:r>
      <w:proofErr w:type="spellEnd"/>
      <w:r w:rsidR="00F061CC" w:rsidRPr="00F061CC">
        <w:rPr>
          <w:rFonts w:ascii="Times New Roman" w:hAnsi="Times New Roman" w:cs="Times New Roman"/>
        </w:rPr>
        <w:t xml:space="preserve"> where WEMGO’s ownership was illusory and temporary, the Charity here holds a defined class equity interest entitling it to 99% of all distributions (Section 8.01), 99% of liquidation proceeds based on positive capital account balances (Section 17.04), fiduciary protection under Section 9.12, veto rights over substantive amendments (Section 19.19), and the ability to transfer its interest (Section 15.01). If this case were to proceed to Tax Court, the IRS would bear the burden of proving that Mr. Brown’s direct donation of a 99% preferred interest—with enforceable distribution, liquidation, fiduciary, and amendment protections—to an established 501(c)(3) organization is analogous to the sham intermediary arrangement in </w:t>
      </w:r>
      <w:proofErr w:type="spellStart"/>
      <w:r w:rsidR="00F061CC" w:rsidRPr="00F061CC">
        <w:rPr>
          <w:rFonts w:ascii="Times New Roman" w:hAnsi="Times New Roman" w:cs="Times New Roman"/>
        </w:rPr>
        <w:t>Fakiris</w:t>
      </w:r>
      <w:proofErr w:type="spellEnd"/>
      <w:r w:rsidR="00F061CC" w:rsidRPr="00F061CC">
        <w:rPr>
          <w:rFonts w:ascii="Times New Roman" w:hAnsi="Times New Roman" w:cs="Times New Roman"/>
        </w:rPr>
        <w:t>. That burden cannot be met on these facts.</w:t>
      </w:r>
    </w:p>
    <w:p w14:paraId="57D1A5CA" w14:textId="428F9DE6" w:rsidR="00894A5C" w:rsidRDefault="00F061CC" w:rsidP="00894A5C">
      <w:pPr>
        <w:jc w:val="both"/>
        <w:rPr>
          <w:rFonts w:ascii="Times New Roman" w:hAnsi="Times New Roman" w:cs="Times New Roman"/>
        </w:rPr>
      </w:pPr>
      <w:r>
        <w:rPr>
          <w:rFonts w:ascii="Times New Roman" w:hAnsi="Times New Roman" w:cs="Times New Roman"/>
        </w:rPr>
        <w:t>The Service points out that, i</w:t>
      </w:r>
      <w:r w:rsidR="00003F85">
        <w:rPr>
          <w:rFonts w:ascii="Times New Roman" w:hAnsi="Times New Roman" w:cs="Times New Roman"/>
        </w:rPr>
        <w:t>n a separate Asset Agreement, the Taxpayers and the Charity agreed that if the Taxpayers request, at a later date, to transfer the interest to another charitable organization</w:t>
      </w:r>
      <w:r>
        <w:rPr>
          <w:rFonts w:ascii="Times New Roman" w:hAnsi="Times New Roman" w:cs="Times New Roman"/>
        </w:rPr>
        <w:t>,</w:t>
      </w:r>
      <w:r w:rsidR="00003F85">
        <w:rPr>
          <w:rFonts w:ascii="Times New Roman" w:hAnsi="Times New Roman" w:cs="Times New Roman"/>
        </w:rPr>
        <w:t xml:space="preserve"> the Charity would not unreasonably withhold approval. A detailed framework was established for unreasonableness of withholding consent under a contract in </w:t>
      </w:r>
      <w:r w:rsidR="00003F85">
        <w:rPr>
          <w:rFonts w:ascii="Times New Roman" w:hAnsi="Times New Roman" w:cs="Times New Roman"/>
          <w:i/>
          <w:iCs/>
        </w:rPr>
        <w:t>In re Van Ness Auto Plaza, Inc.</w:t>
      </w:r>
      <w:r w:rsidR="00003F85">
        <w:rPr>
          <w:rFonts w:ascii="Times New Roman" w:hAnsi="Times New Roman" w:cs="Times New Roman"/>
        </w:rPr>
        <w:t>, 120 B.R. 545, 549 (</w:t>
      </w:r>
      <w:proofErr w:type="spellStart"/>
      <w:r w:rsidR="00003F85">
        <w:rPr>
          <w:rFonts w:ascii="Times New Roman" w:hAnsi="Times New Roman" w:cs="Times New Roman"/>
        </w:rPr>
        <w:t>Bankr</w:t>
      </w:r>
      <w:proofErr w:type="spellEnd"/>
      <w:r w:rsidR="00003F85">
        <w:rPr>
          <w:rFonts w:ascii="Times New Roman" w:hAnsi="Times New Roman" w:cs="Times New Roman"/>
        </w:rPr>
        <w:t xml:space="preserve">. N.D. Cal. 1990), which interpreted a California statute providing that consent to assign an auto franchise “shall not be unreasonably withheld,” and that withholding consent is considered reasonable if it is “supported by substantial evidence showing that the proposed assignee is materially deficient with respect to one or more appropriate, performance-related criteria.” </w:t>
      </w:r>
      <w:r w:rsidR="00003F85">
        <w:rPr>
          <w:rFonts w:ascii="Times New Roman" w:hAnsi="Times New Roman" w:cs="Times New Roman"/>
          <w:i/>
          <w:iCs/>
        </w:rPr>
        <w:t>Ferrari N. Am. Inc. v. Sims (In re R.B.B. Inc.)</w:t>
      </w:r>
      <w:r w:rsidR="00003F85">
        <w:rPr>
          <w:rFonts w:ascii="Times New Roman" w:hAnsi="Times New Roman" w:cs="Times New Roman"/>
        </w:rPr>
        <w:t xml:space="preserve">, 211 F.3d 475, 477–78 (9th Cir.2000)(adopting the </w:t>
      </w:r>
      <w:r w:rsidR="00003F85">
        <w:rPr>
          <w:rFonts w:ascii="Times New Roman" w:hAnsi="Times New Roman" w:cs="Times New Roman"/>
          <w:i/>
          <w:iCs/>
        </w:rPr>
        <w:t>Van Ness</w:t>
      </w:r>
      <w:r w:rsidR="00003F85">
        <w:rPr>
          <w:rFonts w:ascii="Times New Roman" w:hAnsi="Times New Roman" w:cs="Times New Roman"/>
        </w:rPr>
        <w:t xml:space="preserve"> rule for the entire Ninth Circuit, of which Nevada – the domicile of the Partnership and California – the domicile of the Charity – are both a part of).  This standard stops short of requiring the withholding party to prove by a preponderance of the evidence that its decision was correct. </w:t>
      </w:r>
      <w:r w:rsidR="00003F85">
        <w:rPr>
          <w:rFonts w:ascii="Times New Roman" w:hAnsi="Times New Roman" w:cs="Times New Roman"/>
          <w:i/>
          <w:iCs/>
        </w:rPr>
        <w:t>Id.</w:t>
      </w:r>
      <w:r w:rsidR="00003F85">
        <w:rPr>
          <w:rFonts w:ascii="Times New Roman" w:hAnsi="Times New Roman" w:cs="Times New Roman"/>
        </w:rPr>
        <w:t xml:space="preserve"> Under</w:t>
      </w:r>
      <w:r w:rsidR="00003F85">
        <w:rPr>
          <w:rFonts w:ascii="Times New Roman" w:hAnsi="Times New Roman" w:cs="Times New Roman"/>
          <w:i/>
          <w:iCs/>
        </w:rPr>
        <w:t xml:space="preserve"> Van Ness</w:t>
      </w:r>
      <w:r w:rsidR="00003F85">
        <w:rPr>
          <w:rFonts w:ascii="Times New Roman" w:hAnsi="Times New Roman" w:cs="Times New Roman"/>
        </w:rPr>
        <w:t xml:space="preserve">, the party withholding consent has the initial burden to provide plausible reasons for the refusal, but the ultimate burden of persuasion to prove the refusal was unreasonable lies with the party seeking the assignment. </w:t>
      </w:r>
      <w:r w:rsidR="00003F85">
        <w:rPr>
          <w:rFonts w:ascii="Times New Roman" w:hAnsi="Times New Roman" w:cs="Times New Roman"/>
          <w:i/>
          <w:iCs/>
        </w:rPr>
        <w:t>Id</w:t>
      </w:r>
      <w:r w:rsidR="00003F85">
        <w:rPr>
          <w:rFonts w:ascii="Times New Roman" w:hAnsi="Times New Roman" w:cs="Times New Roman"/>
        </w:rPr>
        <w:t xml:space="preserve">., </w:t>
      </w:r>
      <w:r w:rsidR="00003F85">
        <w:rPr>
          <w:rFonts w:ascii="Times New Roman" w:hAnsi="Times New Roman" w:cs="Times New Roman"/>
          <w:i/>
          <w:iCs/>
        </w:rPr>
        <w:t>see also</w:t>
      </w:r>
      <w:r w:rsidR="00003F85">
        <w:rPr>
          <w:rFonts w:ascii="Times New Roman" w:hAnsi="Times New Roman" w:cs="Times New Roman"/>
        </w:rPr>
        <w:t xml:space="preserve"> </w:t>
      </w:r>
      <w:r w:rsidR="00003F85">
        <w:rPr>
          <w:rFonts w:ascii="Times New Roman" w:hAnsi="Times New Roman" w:cs="Times New Roman"/>
          <w:i/>
          <w:iCs/>
        </w:rPr>
        <w:t xml:space="preserve">Reuling v. </w:t>
      </w:r>
      <w:r w:rsidR="00003F85">
        <w:rPr>
          <w:rFonts w:ascii="Times New Roman" w:hAnsi="Times New Roman" w:cs="Times New Roman"/>
          <w:i/>
          <w:iCs/>
        </w:rPr>
        <w:lastRenderedPageBreak/>
        <w:t>Sergeant,</w:t>
      </w:r>
      <w:r w:rsidR="00003F85">
        <w:rPr>
          <w:rFonts w:ascii="Times New Roman" w:hAnsi="Times New Roman" w:cs="Times New Roman"/>
        </w:rPr>
        <w:t> 93 Cal.App.2d 241, 242, 208 P.2d 1046 (1949) (leases), </w:t>
      </w:r>
      <w:r w:rsidR="00003F85">
        <w:rPr>
          <w:rFonts w:ascii="Times New Roman" w:hAnsi="Times New Roman" w:cs="Times New Roman"/>
          <w:i/>
          <w:iCs/>
        </w:rPr>
        <w:t>In re Claremont,</w:t>
      </w:r>
      <w:r w:rsidR="00003F85">
        <w:rPr>
          <w:rFonts w:ascii="Times New Roman" w:hAnsi="Times New Roman" w:cs="Times New Roman"/>
        </w:rPr>
        <w:t xml:space="preserve"> 186 B.R. 977, 985 (C.D.Cal.1995), aff'd. 113 F.3d 1029 (9th Cir.1997). Determining reasonableness is a question of law, but one that is highly dependent on the specific facts and circumstances of the case, because a court must inquire into the surrounding facts to be reasonably certain it is making a correct determination. </w:t>
      </w:r>
      <w:r w:rsidR="00003F85">
        <w:rPr>
          <w:rFonts w:ascii="Times New Roman" w:hAnsi="Times New Roman" w:cs="Times New Roman"/>
          <w:i/>
          <w:iCs/>
        </w:rPr>
        <w:t>In re Ortiz</w:t>
      </w:r>
      <w:r w:rsidR="00003F85">
        <w:rPr>
          <w:rFonts w:ascii="Times New Roman" w:hAnsi="Times New Roman" w:cs="Times New Roman"/>
        </w:rPr>
        <w:t xml:space="preserve">, 400 B.R. 755. 773-774 (C.D. Cal. 2009), Therefore, any future redirection of the Donation would be subject to a reasonable right of Charity to refuse such a redirection, and the onus would be on the Taxpayers to prove that Charity’s reasoning for rejecting a proposed redirection are unreasonable. As such, the transfer to another charitable organization is entirely hypothetical and constrained by legitimate restrictions in Taxpayers’ case, unlike in </w:t>
      </w:r>
      <w:proofErr w:type="spellStart"/>
      <w:r w:rsidR="00003F85">
        <w:rPr>
          <w:rFonts w:ascii="Times New Roman" w:hAnsi="Times New Roman" w:cs="Times New Roman"/>
          <w:i/>
          <w:iCs/>
        </w:rPr>
        <w:t>Fakiris</w:t>
      </w:r>
      <w:proofErr w:type="spellEnd"/>
      <w:r w:rsidR="00003F85">
        <w:rPr>
          <w:rFonts w:ascii="Times New Roman" w:hAnsi="Times New Roman" w:cs="Times New Roman"/>
        </w:rPr>
        <w:t xml:space="preserve"> where it was inevitable and the transaction was specifically designed to transfer the gift to a second charity using the first as a conduit.</w:t>
      </w:r>
      <w:r w:rsidR="007B4881">
        <w:rPr>
          <w:rFonts w:ascii="Times New Roman" w:hAnsi="Times New Roman" w:cs="Times New Roman"/>
        </w:rPr>
        <w:t xml:space="preserve"> T</w:t>
      </w:r>
      <w:r w:rsidR="007B4881" w:rsidRPr="007B4881">
        <w:rPr>
          <w:rFonts w:ascii="Times New Roman" w:hAnsi="Times New Roman" w:cs="Times New Roman"/>
        </w:rPr>
        <w:t xml:space="preserve">he </w:t>
      </w:r>
      <w:proofErr w:type="spellStart"/>
      <w:r w:rsidR="007B4881">
        <w:rPr>
          <w:rFonts w:ascii="Times New Roman" w:hAnsi="Times New Roman" w:cs="Times New Roman"/>
          <w:i/>
          <w:iCs/>
        </w:rPr>
        <w:t>Fakiris</w:t>
      </w:r>
      <w:proofErr w:type="spellEnd"/>
      <w:r w:rsidR="007B4881">
        <w:rPr>
          <w:rFonts w:ascii="Times New Roman" w:hAnsi="Times New Roman" w:cs="Times New Roman"/>
          <w:i/>
          <w:iCs/>
        </w:rPr>
        <w:t xml:space="preserve"> </w:t>
      </w:r>
      <w:r w:rsidR="007B4881" w:rsidRPr="007B4881">
        <w:rPr>
          <w:rFonts w:ascii="Times New Roman" w:hAnsi="Times New Roman" w:cs="Times New Roman"/>
        </w:rPr>
        <w:t xml:space="preserve">Court's </w:t>
      </w:r>
      <w:r w:rsidR="007B4881">
        <w:rPr>
          <w:rFonts w:ascii="Times New Roman" w:hAnsi="Times New Roman" w:cs="Times New Roman"/>
        </w:rPr>
        <w:t>concern</w:t>
      </w:r>
      <w:r w:rsidR="007B4881" w:rsidRPr="007B4881">
        <w:rPr>
          <w:rFonts w:ascii="Times New Roman" w:hAnsi="Times New Roman" w:cs="Times New Roman"/>
        </w:rPr>
        <w:t xml:space="preserve"> was that </w:t>
      </w:r>
      <w:r w:rsidR="007B4881">
        <w:rPr>
          <w:rFonts w:ascii="Times New Roman" w:hAnsi="Times New Roman" w:cs="Times New Roman"/>
        </w:rPr>
        <w:t>“</w:t>
      </w:r>
      <w:proofErr w:type="spellStart"/>
      <w:r w:rsidR="007B4881" w:rsidRPr="007B4881">
        <w:rPr>
          <w:rFonts w:ascii="Times New Roman" w:hAnsi="Times New Roman" w:cs="Times New Roman"/>
        </w:rPr>
        <w:t>Grou</w:t>
      </w:r>
      <w:proofErr w:type="spellEnd"/>
      <w:r w:rsidR="007B4881" w:rsidRPr="007B4881">
        <w:rPr>
          <w:rFonts w:ascii="Times New Roman" w:hAnsi="Times New Roman" w:cs="Times New Roman"/>
        </w:rPr>
        <w:t xml:space="preserve"> could direct WEMGO to convey the St George to Richmond Dance</w:t>
      </w:r>
      <w:r w:rsidR="007B4881">
        <w:rPr>
          <w:rFonts w:ascii="Times New Roman" w:hAnsi="Times New Roman" w:cs="Times New Roman"/>
        </w:rPr>
        <w:t>,”</w:t>
      </w:r>
      <w:r w:rsidR="007B4881" w:rsidRPr="007B4881">
        <w:rPr>
          <w:rFonts w:ascii="Times New Roman" w:hAnsi="Times New Roman" w:cs="Times New Roman"/>
        </w:rPr>
        <w:t xml:space="preserve"> </w:t>
      </w:r>
      <w:r w:rsidR="007B4881">
        <w:rPr>
          <w:rFonts w:ascii="Times New Roman" w:hAnsi="Times New Roman" w:cs="Times New Roman"/>
        </w:rPr>
        <w:t xml:space="preserve">underlining the </w:t>
      </w:r>
      <w:r w:rsidR="007B4881" w:rsidRPr="007B4881">
        <w:rPr>
          <w:rFonts w:ascii="Times New Roman" w:hAnsi="Times New Roman" w:cs="Times New Roman"/>
        </w:rPr>
        <w:t xml:space="preserve">word </w:t>
      </w:r>
      <w:r w:rsidR="007B4881">
        <w:rPr>
          <w:rFonts w:ascii="Times New Roman" w:hAnsi="Times New Roman" w:cs="Times New Roman"/>
        </w:rPr>
        <w:t>“</w:t>
      </w:r>
      <w:r w:rsidR="007B4881" w:rsidRPr="007B4881">
        <w:rPr>
          <w:rFonts w:ascii="Times New Roman" w:hAnsi="Times New Roman" w:cs="Times New Roman"/>
        </w:rPr>
        <w:t>direct</w:t>
      </w:r>
      <w:r w:rsidR="007B4881">
        <w:rPr>
          <w:rFonts w:ascii="Times New Roman" w:hAnsi="Times New Roman" w:cs="Times New Roman"/>
        </w:rPr>
        <w:t>” in the opinion.</w:t>
      </w:r>
      <w:r w:rsidR="007B4881" w:rsidRPr="007B4881">
        <w:rPr>
          <w:rFonts w:ascii="Times New Roman" w:hAnsi="Times New Roman" w:cs="Times New Roman"/>
        </w:rPr>
        <w:t xml:space="preserve"> The Court further explain</w:t>
      </w:r>
      <w:r w:rsidR="007B4881">
        <w:rPr>
          <w:rFonts w:ascii="Times New Roman" w:hAnsi="Times New Roman" w:cs="Times New Roman"/>
        </w:rPr>
        <w:t>ed</w:t>
      </w:r>
      <w:r w:rsidR="007B4881" w:rsidRPr="007B4881">
        <w:rPr>
          <w:rFonts w:ascii="Times New Roman" w:hAnsi="Times New Roman" w:cs="Times New Roman"/>
        </w:rPr>
        <w:t xml:space="preserve"> that there were no obstacles to Richmond Dance obtaining tax exempt statu</w:t>
      </w:r>
      <w:r w:rsidR="007B4881">
        <w:rPr>
          <w:rFonts w:ascii="Times New Roman" w:hAnsi="Times New Roman" w:cs="Times New Roman"/>
        </w:rPr>
        <w:t>s, the only condition for the forced transfer</w:t>
      </w:r>
      <w:r w:rsidR="007B4881" w:rsidRPr="007B4881">
        <w:rPr>
          <w:rFonts w:ascii="Times New Roman" w:hAnsi="Times New Roman" w:cs="Times New Roman"/>
        </w:rPr>
        <w:t xml:space="preserve">. The conclusion of the Court was that "because the possibility that the condition [of tax exempt status being granted] would be satisfied was not so remote as to be negligible, no gift was "made" within the meaning of section 170(a)(1) and 1.170A-1(e)." In footnote 17, the </w:t>
      </w:r>
      <w:proofErr w:type="spellStart"/>
      <w:r w:rsidR="007B4881">
        <w:rPr>
          <w:rFonts w:ascii="Times New Roman" w:hAnsi="Times New Roman" w:cs="Times New Roman"/>
          <w:i/>
          <w:iCs/>
        </w:rPr>
        <w:t>Fakiris</w:t>
      </w:r>
      <w:proofErr w:type="spellEnd"/>
      <w:r w:rsidR="007B4881">
        <w:rPr>
          <w:rFonts w:ascii="Times New Roman" w:hAnsi="Times New Roman" w:cs="Times New Roman"/>
          <w:i/>
          <w:iCs/>
        </w:rPr>
        <w:t xml:space="preserve"> </w:t>
      </w:r>
      <w:r w:rsidR="007B4881" w:rsidRPr="007B4881">
        <w:rPr>
          <w:rFonts w:ascii="Times New Roman" w:hAnsi="Times New Roman" w:cs="Times New Roman"/>
        </w:rPr>
        <w:t>Court even entertain</w:t>
      </w:r>
      <w:r w:rsidR="007B4881">
        <w:rPr>
          <w:rFonts w:ascii="Times New Roman" w:hAnsi="Times New Roman" w:cs="Times New Roman"/>
        </w:rPr>
        <w:t>ed</w:t>
      </w:r>
      <w:r w:rsidR="007B4881" w:rsidRPr="007B4881">
        <w:rPr>
          <w:rFonts w:ascii="Times New Roman" w:hAnsi="Times New Roman" w:cs="Times New Roman"/>
        </w:rPr>
        <w:t xml:space="preserve"> the idea this could have been recast as a transfer from </w:t>
      </w:r>
      <w:proofErr w:type="spellStart"/>
      <w:r w:rsidR="007B4881" w:rsidRPr="007B4881">
        <w:rPr>
          <w:rFonts w:ascii="Times New Roman" w:hAnsi="Times New Roman" w:cs="Times New Roman"/>
        </w:rPr>
        <w:t>Grou</w:t>
      </w:r>
      <w:proofErr w:type="spellEnd"/>
      <w:r w:rsidR="007B4881" w:rsidRPr="007B4881">
        <w:rPr>
          <w:rFonts w:ascii="Times New Roman" w:hAnsi="Times New Roman" w:cs="Times New Roman"/>
        </w:rPr>
        <w:t xml:space="preserve"> to Richmond Dance, but argue</w:t>
      </w:r>
      <w:r w:rsidR="007B4881">
        <w:rPr>
          <w:rFonts w:ascii="Times New Roman" w:hAnsi="Times New Roman" w:cs="Times New Roman"/>
        </w:rPr>
        <w:t>d</w:t>
      </w:r>
      <w:r w:rsidR="007B4881" w:rsidRPr="007B4881">
        <w:rPr>
          <w:rFonts w:ascii="Times New Roman" w:hAnsi="Times New Roman" w:cs="Times New Roman"/>
        </w:rPr>
        <w:t xml:space="preserve"> that because the Petitioner maintained that the transaction was a bargain sale to WEMGO that possibility was not analyzed. Fundamentally, the Court in </w:t>
      </w:r>
      <w:proofErr w:type="spellStart"/>
      <w:r w:rsidR="007B4881" w:rsidRPr="007B4881">
        <w:rPr>
          <w:rFonts w:ascii="Times New Roman" w:hAnsi="Times New Roman" w:cs="Times New Roman"/>
        </w:rPr>
        <w:t>Fakiris</w:t>
      </w:r>
      <w:proofErr w:type="spellEnd"/>
      <w:r w:rsidR="007B4881" w:rsidRPr="007B4881">
        <w:rPr>
          <w:rFonts w:ascii="Times New Roman" w:hAnsi="Times New Roman" w:cs="Times New Roman"/>
        </w:rPr>
        <w:t xml:space="preserve"> decided that because the donor retained the right to direct a subsequent transfer under a very likely contingency event happening, the transfer to WEMGO was not a gift. </w:t>
      </w:r>
      <w:r w:rsidR="00003F85">
        <w:rPr>
          <w:rFonts w:ascii="Times New Roman" w:hAnsi="Times New Roman" w:cs="Times New Roman"/>
        </w:rPr>
        <w:t xml:space="preserve"> </w:t>
      </w:r>
      <w:r w:rsidR="007B4881">
        <w:rPr>
          <w:rFonts w:ascii="Times New Roman" w:hAnsi="Times New Roman" w:cs="Times New Roman"/>
        </w:rPr>
        <w:t xml:space="preserve">Here, there is no certainty that a transfer would even be requested let alone that it would be permitted and unlike in </w:t>
      </w:r>
      <w:proofErr w:type="spellStart"/>
      <w:r w:rsidR="00003F85">
        <w:rPr>
          <w:rFonts w:ascii="Times New Roman" w:hAnsi="Times New Roman" w:cs="Times New Roman"/>
          <w:i/>
          <w:iCs/>
        </w:rPr>
        <w:t>Fakiris</w:t>
      </w:r>
      <w:proofErr w:type="spellEnd"/>
      <w:r w:rsidR="007B4881">
        <w:rPr>
          <w:rFonts w:ascii="Times New Roman" w:hAnsi="Times New Roman" w:cs="Times New Roman"/>
        </w:rPr>
        <w:t>, where the second transfer occurred on</w:t>
      </w:r>
      <w:r w:rsidR="00003F85">
        <w:rPr>
          <w:rFonts w:ascii="Times New Roman" w:hAnsi="Times New Roman" w:cs="Times New Roman"/>
        </w:rPr>
        <w:t xml:space="preserve"> the same day as the donation, </w:t>
      </w:r>
      <w:r w:rsidR="007B4881">
        <w:rPr>
          <w:rFonts w:ascii="Times New Roman" w:hAnsi="Times New Roman" w:cs="Times New Roman"/>
        </w:rPr>
        <w:t>t</w:t>
      </w:r>
      <w:r w:rsidR="00003F85">
        <w:rPr>
          <w:rFonts w:ascii="Times New Roman" w:hAnsi="Times New Roman" w:cs="Times New Roman"/>
        </w:rPr>
        <w:t xml:space="preserve">he terms of the Asset Agreement only permit a </w:t>
      </w:r>
      <w:r w:rsidR="007B4881">
        <w:rPr>
          <w:rFonts w:ascii="Times New Roman" w:hAnsi="Times New Roman" w:cs="Times New Roman"/>
        </w:rPr>
        <w:t xml:space="preserve">request for a </w:t>
      </w:r>
      <w:r w:rsidR="00003F85">
        <w:rPr>
          <w:rFonts w:ascii="Times New Roman" w:hAnsi="Times New Roman" w:cs="Times New Roman"/>
        </w:rPr>
        <w:t>transfer to a different charitable organization after two-years of distributions hav</w:t>
      </w:r>
      <w:r w:rsidR="007B4881">
        <w:rPr>
          <w:rFonts w:ascii="Times New Roman" w:hAnsi="Times New Roman" w:cs="Times New Roman"/>
        </w:rPr>
        <w:t>ing</w:t>
      </w:r>
      <w:r w:rsidR="00003F85">
        <w:rPr>
          <w:rFonts w:ascii="Times New Roman" w:hAnsi="Times New Roman" w:cs="Times New Roman"/>
        </w:rPr>
        <w:t xml:space="preserve"> been made to the Charity. This is a significant factual discrepancy as it shows the Charity not only retains legal rights that it can enforce, but also that there is a guarantee of a minimum number of distributions before a transfer can occur.</w:t>
      </w:r>
    </w:p>
    <w:p w14:paraId="6E9F9E70" w14:textId="563CBB27" w:rsidR="006C57B6" w:rsidRPr="008B162F" w:rsidRDefault="008B162F" w:rsidP="008B162F">
      <w:pPr>
        <w:pStyle w:val="ListParagraph"/>
        <w:numPr>
          <w:ilvl w:val="0"/>
          <w:numId w:val="9"/>
        </w:numPr>
        <w:jc w:val="center"/>
        <w:rPr>
          <w:rFonts w:ascii="Times New Roman" w:hAnsi="Times New Roman" w:cs="Times New Roman"/>
          <w:b/>
          <w:bCs/>
        </w:rPr>
      </w:pPr>
      <w:r>
        <w:rPr>
          <w:rFonts w:ascii="Times New Roman" w:hAnsi="Times New Roman" w:cs="Times New Roman"/>
          <w:b/>
          <w:bCs/>
        </w:rPr>
        <w:t>Conclusion</w:t>
      </w:r>
    </w:p>
    <w:p w14:paraId="00000099" w14:textId="0E172E14" w:rsidR="007E3135" w:rsidRDefault="00B57060">
      <w:pPr>
        <w:jc w:val="both"/>
        <w:rPr>
          <w:rFonts w:ascii="Times New Roman" w:hAnsi="Times New Roman" w:cs="Times New Roman"/>
        </w:rPr>
      </w:pPr>
      <w:r>
        <w:t> </w:t>
      </w:r>
      <w:r>
        <w:rPr>
          <w:rFonts w:ascii="Times New Roman" w:hAnsi="Times New Roman" w:cs="Times New Roman"/>
        </w:rPr>
        <w:t xml:space="preserve">As described above, the Taxpayer’s facts are significantly different from those in the </w:t>
      </w:r>
      <w:proofErr w:type="spellStart"/>
      <w:r>
        <w:rPr>
          <w:rFonts w:ascii="Times New Roman" w:hAnsi="Times New Roman" w:cs="Times New Roman"/>
          <w:i/>
          <w:iCs/>
        </w:rPr>
        <w:t>Fakiris</w:t>
      </w:r>
      <w:proofErr w:type="spellEnd"/>
      <w:r>
        <w:rPr>
          <w:rFonts w:ascii="Times New Roman" w:hAnsi="Times New Roman" w:cs="Times New Roman"/>
          <w:i/>
          <w:iCs/>
        </w:rPr>
        <w:t xml:space="preserve"> </w:t>
      </w:r>
      <w:r>
        <w:rPr>
          <w:rFonts w:ascii="Times New Roman" w:hAnsi="Times New Roman" w:cs="Times New Roman"/>
        </w:rPr>
        <w:t xml:space="preserve">and </w:t>
      </w:r>
      <w:proofErr w:type="spellStart"/>
      <w:r>
        <w:rPr>
          <w:rFonts w:ascii="Times New Roman" w:hAnsi="Times New Roman" w:cs="Times New Roman"/>
          <w:i/>
          <w:iCs/>
        </w:rPr>
        <w:t>Viralam</w:t>
      </w:r>
      <w:proofErr w:type="spellEnd"/>
      <w:r>
        <w:rPr>
          <w:rFonts w:ascii="Times New Roman" w:hAnsi="Times New Roman" w:cs="Times New Roman"/>
        </w:rPr>
        <w:t xml:space="preserve"> matters. Therefore, the court findings in both cases simply do not apply here. The Donation was a completed gift and the Taxpayers did relinquish dominion and control over the</w:t>
      </w:r>
      <w:r w:rsidR="007B4881">
        <w:rPr>
          <w:rFonts w:ascii="Times New Roman" w:hAnsi="Times New Roman" w:cs="Times New Roman"/>
        </w:rPr>
        <w:t xml:space="preserve"> </w:t>
      </w:r>
      <w:r>
        <w:rPr>
          <w:rFonts w:ascii="Times New Roman" w:hAnsi="Times New Roman" w:cs="Times New Roman"/>
        </w:rPr>
        <w:t>99% nonvoting membership interes</w:t>
      </w:r>
      <w:r w:rsidR="007B4881">
        <w:rPr>
          <w:rFonts w:ascii="Times New Roman" w:hAnsi="Times New Roman" w:cs="Times New Roman"/>
        </w:rPr>
        <w:t>t.</w:t>
      </w:r>
    </w:p>
    <w:sectPr w:rsidR="007E3135">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45F8A" w14:textId="77777777" w:rsidR="00F5104A" w:rsidRDefault="00F5104A" w:rsidP="00D82A37">
      <w:pPr>
        <w:spacing w:after="0" w:line="240" w:lineRule="auto"/>
      </w:pPr>
      <w:r>
        <w:separator/>
      </w:r>
    </w:p>
  </w:endnote>
  <w:endnote w:type="continuationSeparator" w:id="0">
    <w:p w14:paraId="2D2C3A5C" w14:textId="77777777" w:rsidR="00F5104A" w:rsidRDefault="00F5104A" w:rsidP="00D82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72988407"/>
      <w:docPartObj>
        <w:docPartGallery w:val="Page Numbers (Bottom of Page)"/>
        <w:docPartUnique/>
      </w:docPartObj>
    </w:sdtPr>
    <w:sdtEndPr>
      <w:rPr>
        <w:noProof/>
      </w:rPr>
    </w:sdtEndPr>
    <w:sdtContent>
      <w:p w14:paraId="78AE5672" w14:textId="0A34014F" w:rsidR="00F51111" w:rsidRPr="003B7C9E" w:rsidRDefault="00F51111">
        <w:pPr>
          <w:pStyle w:val="Footer"/>
          <w:jc w:val="right"/>
          <w:rPr>
            <w:rFonts w:ascii="Times New Roman" w:hAnsi="Times New Roman" w:cs="Times New Roman"/>
          </w:rPr>
        </w:pPr>
        <w:r w:rsidRPr="003B7C9E">
          <w:rPr>
            <w:rFonts w:ascii="Times New Roman" w:hAnsi="Times New Roman" w:cs="Times New Roman"/>
          </w:rPr>
          <w:fldChar w:fldCharType="begin"/>
        </w:r>
        <w:r w:rsidRPr="003B7C9E">
          <w:rPr>
            <w:rFonts w:ascii="Times New Roman" w:hAnsi="Times New Roman" w:cs="Times New Roman"/>
          </w:rPr>
          <w:instrText xml:space="preserve"> PAGE   \* MERGEFORMAT </w:instrText>
        </w:r>
        <w:r w:rsidRPr="003B7C9E">
          <w:rPr>
            <w:rFonts w:ascii="Times New Roman" w:hAnsi="Times New Roman" w:cs="Times New Roman"/>
          </w:rPr>
          <w:fldChar w:fldCharType="separate"/>
        </w:r>
        <w:r w:rsidRPr="003B7C9E">
          <w:rPr>
            <w:rFonts w:ascii="Times New Roman" w:hAnsi="Times New Roman" w:cs="Times New Roman"/>
            <w:noProof/>
          </w:rPr>
          <w:t>2</w:t>
        </w:r>
        <w:r w:rsidRPr="003B7C9E">
          <w:rPr>
            <w:rFonts w:ascii="Times New Roman" w:hAnsi="Times New Roman" w:cs="Times New Roman"/>
            <w:noProof/>
          </w:rPr>
          <w:fldChar w:fldCharType="end"/>
        </w:r>
      </w:p>
    </w:sdtContent>
  </w:sdt>
  <w:p w14:paraId="6C4EC182" w14:textId="77777777" w:rsidR="00F51111" w:rsidRDefault="00F511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D8AB5" w14:textId="77777777" w:rsidR="00F5104A" w:rsidRDefault="00F5104A" w:rsidP="00D82A37">
      <w:pPr>
        <w:spacing w:after="0" w:line="240" w:lineRule="auto"/>
      </w:pPr>
      <w:r>
        <w:separator/>
      </w:r>
    </w:p>
  </w:footnote>
  <w:footnote w:type="continuationSeparator" w:id="0">
    <w:p w14:paraId="41856D1F" w14:textId="77777777" w:rsidR="00F5104A" w:rsidRDefault="00F5104A" w:rsidP="00D82A37">
      <w:pPr>
        <w:spacing w:after="0" w:line="240" w:lineRule="auto"/>
      </w:pPr>
      <w:r>
        <w:continuationSeparator/>
      </w:r>
    </w:p>
  </w:footnote>
  <w:footnote w:id="1">
    <w:p w14:paraId="1F1F10CF" w14:textId="38FCAB55" w:rsidR="00D82A37" w:rsidRPr="00D82A37" w:rsidRDefault="00D82A37" w:rsidP="004D0ED7">
      <w:pPr>
        <w:pStyle w:val="FootnoteText"/>
        <w:jc w:val="both"/>
        <w:rPr>
          <w:rFonts w:ascii="Times New Roman" w:hAnsi="Times New Roman" w:cs="Times New Roman"/>
          <w:sz w:val="24"/>
          <w:szCs w:val="24"/>
        </w:rPr>
      </w:pPr>
      <w:r w:rsidRPr="00D82A37">
        <w:rPr>
          <w:rStyle w:val="FootnoteReference"/>
          <w:rFonts w:ascii="Times New Roman" w:hAnsi="Times New Roman" w:cs="Times New Roman"/>
          <w:sz w:val="24"/>
          <w:szCs w:val="24"/>
        </w:rPr>
        <w:footnoteRef/>
      </w:r>
      <w:r w:rsidRPr="00D82A37">
        <w:rPr>
          <w:rFonts w:ascii="Times New Roman" w:hAnsi="Times New Roman" w:cs="Times New Roman"/>
          <w:sz w:val="24"/>
          <w:szCs w:val="24"/>
        </w:rPr>
        <w:t xml:space="preserve"> </w:t>
      </w:r>
      <w:r>
        <w:rPr>
          <w:rFonts w:ascii="Times New Roman" w:hAnsi="Times New Roman" w:cs="Times New Roman"/>
          <w:sz w:val="24"/>
          <w:szCs w:val="24"/>
        </w:rPr>
        <w:t xml:space="preserve">Mr. Halsey argued that </w:t>
      </w:r>
      <w:proofErr w:type="spellStart"/>
      <w:r>
        <w:rPr>
          <w:rFonts w:ascii="Times New Roman" w:hAnsi="Times New Roman" w:cs="Times New Roman"/>
          <w:i/>
          <w:iCs/>
          <w:sz w:val="24"/>
          <w:szCs w:val="24"/>
        </w:rPr>
        <w:t>Viralam</w:t>
      </w:r>
      <w:proofErr w:type="spellEnd"/>
      <w:r>
        <w:rPr>
          <w:rFonts w:ascii="Times New Roman" w:hAnsi="Times New Roman" w:cs="Times New Roman"/>
          <w:sz w:val="24"/>
          <w:szCs w:val="24"/>
        </w:rPr>
        <w:t xml:space="preserve"> establishes (1) transfer of legal right to donated property is irrelevant in the analysis of relinquishment of dominion and control, and (2) loans to donor subsequent to a donation militate towards lack of relinquishment. This is the first time in this process the case was cited for these findings.</w:t>
      </w:r>
      <w:r w:rsidRPr="00D82A37">
        <w:rPr>
          <w:rFonts w:ascii="Times New Roman" w:hAnsi="Times New Roman" w:cs="Times New Roman"/>
          <w:sz w:val="24"/>
          <w:szCs w:val="24"/>
        </w:rPr>
        <w:t xml:space="preserve"> In the protest rebuttal it was cited in the footnotes only for the “finding that mere fact that organization is listed by IRS as §501(c)(3) tax-exempt organization is not substantial authority to show that all transfers to it are charitable contributions</w:t>
      </w:r>
      <w:r>
        <w:rPr>
          <w:rFonts w:ascii="Times New Roman" w:hAnsi="Times New Roman" w:cs="Times New Roman"/>
          <w:sz w:val="24"/>
          <w:szCs w:val="24"/>
        </w:rPr>
        <w:t xml:space="preserve">.” </w:t>
      </w:r>
      <w:r w:rsidR="004D0ED7">
        <w:rPr>
          <w:rFonts w:ascii="Times New Roman" w:hAnsi="Times New Roman" w:cs="Times New Roman"/>
          <w:sz w:val="24"/>
          <w:szCs w:val="24"/>
        </w:rPr>
        <w:t>In the Examination Report it was cited twice for the same finding: “</w:t>
      </w:r>
      <w:r w:rsidR="004D0ED7" w:rsidRPr="004D0ED7">
        <w:rPr>
          <w:rFonts w:ascii="Times New Roman" w:hAnsi="Times New Roman" w:cs="Times New Roman"/>
          <w:sz w:val="24"/>
          <w:szCs w:val="24"/>
        </w:rPr>
        <w:t>This means that the donor must completely relinquish</w:t>
      </w:r>
      <w:r w:rsidR="004D0ED7">
        <w:rPr>
          <w:rFonts w:ascii="Times New Roman" w:hAnsi="Times New Roman" w:cs="Times New Roman"/>
          <w:sz w:val="24"/>
          <w:szCs w:val="24"/>
        </w:rPr>
        <w:t xml:space="preserve"> ‘</w:t>
      </w:r>
      <w:r w:rsidR="004D0ED7" w:rsidRPr="004D0ED7">
        <w:rPr>
          <w:rFonts w:ascii="Times New Roman" w:hAnsi="Times New Roman" w:cs="Times New Roman"/>
          <w:sz w:val="24"/>
          <w:szCs w:val="24"/>
        </w:rPr>
        <w:t>dominion and control</w:t>
      </w:r>
      <w:r w:rsidR="004D0ED7">
        <w:rPr>
          <w:rFonts w:ascii="Times New Roman" w:hAnsi="Times New Roman" w:cs="Times New Roman"/>
          <w:sz w:val="24"/>
          <w:szCs w:val="24"/>
        </w:rPr>
        <w:t>’</w:t>
      </w:r>
      <w:r w:rsidR="004D0ED7" w:rsidRPr="004D0ED7">
        <w:rPr>
          <w:rFonts w:ascii="Times New Roman" w:hAnsi="Times New Roman" w:cs="Times New Roman"/>
          <w:sz w:val="24"/>
          <w:szCs w:val="24"/>
        </w:rPr>
        <w:t xml:space="preserve"> over the contributed property; the donor may not retain any right to direct</w:t>
      </w:r>
      <w:r w:rsidR="004D0ED7">
        <w:rPr>
          <w:rFonts w:ascii="Times New Roman" w:hAnsi="Times New Roman" w:cs="Times New Roman"/>
          <w:sz w:val="24"/>
          <w:szCs w:val="24"/>
        </w:rPr>
        <w:t xml:space="preserve"> </w:t>
      </w:r>
      <w:r w:rsidR="004D0ED7" w:rsidRPr="004D0ED7">
        <w:rPr>
          <w:rFonts w:ascii="Times New Roman" w:hAnsi="Times New Roman" w:cs="Times New Roman"/>
          <w:sz w:val="24"/>
          <w:szCs w:val="24"/>
        </w:rPr>
        <w:t>the disposition or manner of enjoyment of the subject of the gift</w:t>
      </w:r>
      <w:r w:rsidR="004D0ED7">
        <w:rPr>
          <w:rFonts w:ascii="Times New Roman" w:hAnsi="Times New Roman" w:cs="Times New Roman"/>
          <w:sz w:val="24"/>
          <w:szCs w:val="24"/>
        </w:rPr>
        <w:t>.”</w:t>
      </w:r>
    </w:p>
  </w:footnote>
  <w:footnote w:id="2">
    <w:p w14:paraId="6EB542B1" w14:textId="6716113B" w:rsidR="000D4056" w:rsidRPr="00CD0ABA" w:rsidRDefault="000D4056" w:rsidP="00CD0ABA">
      <w:pPr>
        <w:pStyle w:val="FootnoteText"/>
        <w:jc w:val="both"/>
        <w:rPr>
          <w:rFonts w:ascii="Times New Roman" w:hAnsi="Times New Roman" w:cs="Times New Roman"/>
          <w:sz w:val="24"/>
          <w:szCs w:val="24"/>
        </w:rPr>
      </w:pPr>
      <w:r w:rsidRPr="00CD0ABA">
        <w:rPr>
          <w:rStyle w:val="FootnoteReference"/>
          <w:rFonts w:ascii="Times New Roman" w:hAnsi="Times New Roman" w:cs="Times New Roman"/>
          <w:sz w:val="24"/>
          <w:szCs w:val="24"/>
        </w:rPr>
        <w:footnoteRef/>
      </w:r>
      <w:r w:rsidRPr="00CD0ABA">
        <w:rPr>
          <w:rFonts w:ascii="Times New Roman" w:hAnsi="Times New Roman" w:cs="Times New Roman"/>
          <w:sz w:val="24"/>
          <w:szCs w:val="24"/>
        </w:rPr>
        <w:t xml:space="preserve"> </w:t>
      </w:r>
      <w:r w:rsidRPr="00CD0ABA">
        <w:rPr>
          <w:rFonts w:ascii="Times New Roman" w:hAnsi="Times New Roman" w:cs="Times New Roman"/>
          <w:i/>
          <w:iCs/>
          <w:sz w:val="24"/>
          <w:szCs w:val="24"/>
        </w:rPr>
        <w:t>Collins v. Commissioner</w:t>
      </w:r>
      <w:r w:rsidRPr="00CD0ABA">
        <w:rPr>
          <w:rFonts w:ascii="Times New Roman" w:hAnsi="Times New Roman" w:cs="Times New Roman"/>
          <w:sz w:val="24"/>
          <w:szCs w:val="24"/>
        </w:rPr>
        <w:t>, T.C. Memo 1990-441 (no relinquishment of dominion and control where donee loans back to donor funds in which the arrangement was defined by “tax benefits in excess of their cash investment, the probable interest-free loan, the vow of silence, and the possible forgiveness of the $25,000 debt.” The Court focused on the fact that there was a specific addendum noting the Donee’s ability to forgive the debt and that the Donor-Borrowers had no liquidity to repay the loan.</w:t>
      </w:r>
      <w:r w:rsidR="00CD0ABA" w:rsidRPr="00CD0ABA">
        <w:rPr>
          <w:rFonts w:ascii="Times New Roman" w:hAnsi="Times New Roman" w:cs="Times New Roman"/>
          <w:sz w:val="24"/>
          <w:szCs w:val="24"/>
        </w:rPr>
        <w:t xml:space="preserve"> The Debtor here retains a high level of liquidity and the Promissory Note is secured by property worth more than the loaned funds and has no expectation of forgiveness of debt</w:t>
      </w:r>
      <w:r w:rsidRPr="00CD0ABA">
        <w:rPr>
          <w:rFonts w:ascii="Times New Roman" w:hAnsi="Times New Roman" w:cs="Times New Roman"/>
          <w:sz w:val="24"/>
          <w:szCs w:val="24"/>
        </w:rPr>
        <w:t>)</w:t>
      </w:r>
      <w:r w:rsidR="00CD0ABA">
        <w:rPr>
          <w:rFonts w:ascii="Times New Roman" w:hAnsi="Times New Roman" w:cs="Times New Roman"/>
          <w:sz w:val="24"/>
          <w:szCs w:val="24"/>
        </w:rPr>
        <w:t xml:space="preserve">; </w:t>
      </w:r>
      <w:r w:rsidR="00CD0ABA">
        <w:rPr>
          <w:rFonts w:ascii="Times New Roman" w:hAnsi="Times New Roman" w:cs="Times New Roman"/>
          <w:i/>
          <w:iCs/>
          <w:sz w:val="24"/>
          <w:szCs w:val="24"/>
        </w:rPr>
        <w:t>s</w:t>
      </w:r>
      <w:r w:rsidR="00CD0ABA" w:rsidRPr="00CD0ABA">
        <w:rPr>
          <w:rFonts w:ascii="Times New Roman" w:hAnsi="Times New Roman" w:cs="Times New Roman"/>
          <w:i/>
          <w:iCs/>
          <w:sz w:val="24"/>
          <w:szCs w:val="24"/>
        </w:rPr>
        <w:t>ee also Allen v. Commissioner</w:t>
      </w:r>
      <w:r w:rsidR="00CD0ABA" w:rsidRPr="00CD0ABA">
        <w:rPr>
          <w:rFonts w:ascii="Times New Roman" w:hAnsi="Times New Roman" w:cs="Times New Roman"/>
          <w:sz w:val="24"/>
          <w:szCs w:val="24"/>
        </w:rPr>
        <w:t>, 925 F.2d 348 (9th Cir. 1991)  (Finding a particular transaction to amount to a  promise to make a contribution in the future, which does not qualify for a current charitable deduction, where Funding Corporation, owned 60% by a charity, would loan money to a borrower at a 3 percent interest rate, with no principal payment due for 20 years, and then, on the same day the borrower received the proceeds, he would transfer the funds to the charity, along with a small contribution from his own funds and then claim these transferred funds as a charitable contribution deduction for the entire amount on his tax return.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6B9"/>
    <w:multiLevelType w:val="multilevel"/>
    <w:tmpl w:val="ED904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C6FE9"/>
    <w:multiLevelType w:val="hybridMultilevel"/>
    <w:tmpl w:val="91B2E636"/>
    <w:lvl w:ilvl="0" w:tplc="1B4A48F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DC7BBA"/>
    <w:multiLevelType w:val="multilevel"/>
    <w:tmpl w:val="C82E1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D463B"/>
    <w:multiLevelType w:val="hybridMultilevel"/>
    <w:tmpl w:val="8FFAE872"/>
    <w:lvl w:ilvl="0" w:tplc="1708065A">
      <w:start w:val="1"/>
      <w:numFmt w:val="upperRoman"/>
      <w:lvlText w:val="%1."/>
      <w:lvlJc w:val="left"/>
      <w:pPr>
        <w:ind w:left="1080" w:hanging="72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8E7567"/>
    <w:multiLevelType w:val="multilevel"/>
    <w:tmpl w:val="9E8AC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B900BF"/>
    <w:multiLevelType w:val="hybridMultilevel"/>
    <w:tmpl w:val="94F63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6C0446"/>
    <w:multiLevelType w:val="hybridMultilevel"/>
    <w:tmpl w:val="94F636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8B1551"/>
    <w:multiLevelType w:val="multilevel"/>
    <w:tmpl w:val="E65A8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982CA6"/>
    <w:multiLevelType w:val="multilevel"/>
    <w:tmpl w:val="280830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142B02"/>
    <w:multiLevelType w:val="hybridMultilevel"/>
    <w:tmpl w:val="527A8F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B83EEE"/>
    <w:multiLevelType w:val="multilevel"/>
    <w:tmpl w:val="00982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157341">
    <w:abstractNumId w:val="0"/>
  </w:num>
  <w:num w:numId="2" w16cid:durableId="289552526">
    <w:abstractNumId w:val="7"/>
  </w:num>
  <w:num w:numId="3" w16cid:durableId="111023377">
    <w:abstractNumId w:val="10"/>
  </w:num>
  <w:num w:numId="4" w16cid:durableId="1336229070">
    <w:abstractNumId w:val="2"/>
  </w:num>
  <w:num w:numId="5" w16cid:durableId="1722090230">
    <w:abstractNumId w:val="6"/>
  </w:num>
  <w:num w:numId="6" w16cid:durableId="850754511">
    <w:abstractNumId w:val="9"/>
  </w:num>
  <w:num w:numId="7" w16cid:durableId="1293365585">
    <w:abstractNumId w:val="5"/>
  </w:num>
  <w:num w:numId="8" w16cid:durableId="1822505699">
    <w:abstractNumId w:val="8"/>
  </w:num>
  <w:num w:numId="9" w16cid:durableId="1985235344">
    <w:abstractNumId w:val="3"/>
  </w:num>
  <w:num w:numId="10" w16cid:durableId="1175268658">
    <w:abstractNumId w:val="1"/>
  </w:num>
  <w:num w:numId="11" w16cid:durableId="1982346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060"/>
    <w:rsid w:val="000028E3"/>
    <w:rsid w:val="00003F85"/>
    <w:rsid w:val="00033D4C"/>
    <w:rsid w:val="00044CF4"/>
    <w:rsid w:val="00045D1D"/>
    <w:rsid w:val="00051466"/>
    <w:rsid w:val="000931C8"/>
    <w:rsid w:val="000D4056"/>
    <w:rsid w:val="000D4E23"/>
    <w:rsid w:val="00123C44"/>
    <w:rsid w:val="001720A8"/>
    <w:rsid w:val="00175B8C"/>
    <w:rsid w:val="001934EC"/>
    <w:rsid w:val="001B7AFE"/>
    <w:rsid w:val="001D5395"/>
    <w:rsid w:val="001E2DF4"/>
    <w:rsid w:val="001F4DA1"/>
    <w:rsid w:val="0025586A"/>
    <w:rsid w:val="00273546"/>
    <w:rsid w:val="00277B2F"/>
    <w:rsid w:val="00291623"/>
    <w:rsid w:val="002A0E8B"/>
    <w:rsid w:val="002A6797"/>
    <w:rsid w:val="002D32AA"/>
    <w:rsid w:val="002D3D7D"/>
    <w:rsid w:val="002F0B03"/>
    <w:rsid w:val="002F61C9"/>
    <w:rsid w:val="002F7AAA"/>
    <w:rsid w:val="003013E8"/>
    <w:rsid w:val="00305A07"/>
    <w:rsid w:val="00313D48"/>
    <w:rsid w:val="00337D6E"/>
    <w:rsid w:val="00340884"/>
    <w:rsid w:val="00340E9F"/>
    <w:rsid w:val="00342B63"/>
    <w:rsid w:val="0036012D"/>
    <w:rsid w:val="00363519"/>
    <w:rsid w:val="00384892"/>
    <w:rsid w:val="00393420"/>
    <w:rsid w:val="003B7C9E"/>
    <w:rsid w:val="003D35B7"/>
    <w:rsid w:val="003F2F6B"/>
    <w:rsid w:val="004438B0"/>
    <w:rsid w:val="004452EB"/>
    <w:rsid w:val="0045094F"/>
    <w:rsid w:val="00454A7F"/>
    <w:rsid w:val="0047413B"/>
    <w:rsid w:val="00474A26"/>
    <w:rsid w:val="004803E8"/>
    <w:rsid w:val="004829A9"/>
    <w:rsid w:val="004B7D04"/>
    <w:rsid w:val="004C5359"/>
    <w:rsid w:val="004D0ED7"/>
    <w:rsid w:val="004E350A"/>
    <w:rsid w:val="004E73BC"/>
    <w:rsid w:val="00503BBF"/>
    <w:rsid w:val="00507416"/>
    <w:rsid w:val="00507981"/>
    <w:rsid w:val="00541C5A"/>
    <w:rsid w:val="005B378C"/>
    <w:rsid w:val="005C0B04"/>
    <w:rsid w:val="005C7733"/>
    <w:rsid w:val="00600D75"/>
    <w:rsid w:val="0062219C"/>
    <w:rsid w:val="00667A3F"/>
    <w:rsid w:val="00675C0B"/>
    <w:rsid w:val="00684777"/>
    <w:rsid w:val="006B5C2C"/>
    <w:rsid w:val="006C57B6"/>
    <w:rsid w:val="006E3B0C"/>
    <w:rsid w:val="0070276A"/>
    <w:rsid w:val="00712E8A"/>
    <w:rsid w:val="00755AF7"/>
    <w:rsid w:val="00767A8E"/>
    <w:rsid w:val="0079495E"/>
    <w:rsid w:val="007B4881"/>
    <w:rsid w:val="007B7D21"/>
    <w:rsid w:val="007C342F"/>
    <w:rsid w:val="007C3AB9"/>
    <w:rsid w:val="007C6694"/>
    <w:rsid w:val="007E3135"/>
    <w:rsid w:val="007F31AD"/>
    <w:rsid w:val="0082139B"/>
    <w:rsid w:val="008474E1"/>
    <w:rsid w:val="008650A8"/>
    <w:rsid w:val="00876D5B"/>
    <w:rsid w:val="00877420"/>
    <w:rsid w:val="00893664"/>
    <w:rsid w:val="00894A5C"/>
    <w:rsid w:val="008B162F"/>
    <w:rsid w:val="008B602B"/>
    <w:rsid w:val="008B65E6"/>
    <w:rsid w:val="008E0ADF"/>
    <w:rsid w:val="008E54B0"/>
    <w:rsid w:val="008E7912"/>
    <w:rsid w:val="00936C2D"/>
    <w:rsid w:val="0093727A"/>
    <w:rsid w:val="00937D71"/>
    <w:rsid w:val="00963EFD"/>
    <w:rsid w:val="00974BB4"/>
    <w:rsid w:val="00993F14"/>
    <w:rsid w:val="009A2481"/>
    <w:rsid w:val="009A6225"/>
    <w:rsid w:val="009C3260"/>
    <w:rsid w:val="009C502B"/>
    <w:rsid w:val="00A14687"/>
    <w:rsid w:val="00A16E54"/>
    <w:rsid w:val="00A20CA4"/>
    <w:rsid w:val="00A37124"/>
    <w:rsid w:val="00A432F0"/>
    <w:rsid w:val="00A47C24"/>
    <w:rsid w:val="00AB0B83"/>
    <w:rsid w:val="00AC21B0"/>
    <w:rsid w:val="00AD18B1"/>
    <w:rsid w:val="00AE0DE6"/>
    <w:rsid w:val="00AE503C"/>
    <w:rsid w:val="00B12B37"/>
    <w:rsid w:val="00B33174"/>
    <w:rsid w:val="00B37F2F"/>
    <w:rsid w:val="00B41A42"/>
    <w:rsid w:val="00B57060"/>
    <w:rsid w:val="00B572E5"/>
    <w:rsid w:val="00B641C8"/>
    <w:rsid w:val="00B9420B"/>
    <w:rsid w:val="00BD373A"/>
    <w:rsid w:val="00BD73CD"/>
    <w:rsid w:val="00BE4FA0"/>
    <w:rsid w:val="00C05E74"/>
    <w:rsid w:val="00C06415"/>
    <w:rsid w:val="00C14615"/>
    <w:rsid w:val="00C173A0"/>
    <w:rsid w:val="00C36676"/>
    <w:rsid w:val="00C7287A"/>
    <w:rsid w:val="00C85FCC"/>
    <w:rsid w:val="00C9176C"/>
    <w:rsid w:val="00C9670B"/>
    <w:rsid w:val="00CB1CFA"/>
    <w:rsid w:val="00CD0ABA"/>
    <w:rsid w:val="00CD152C"/>
    <w:rsid w:val="00CD5E85"/>
    <w:rsid w:val="00CE29C1"/>
    <w:rsid w:val="00D004F7"/>
    <w:rsid w:val="00D045F0"/>
    <w:rsid w:val="00D41749"/>
    <w:rsid w:val="00D47C5C"/>
    <w:rsid w:val="00D61EBE"/>
    <w:rsid w:val="00D818E1"/>
    <w:rsid w:val="00D81D67"/>
    <w:rsid w:val="00D82A37"/>
    <w:rsid w:val="00D94C1A"/>
    <w:rsid w:val="00DA32C6"/>
    <w:rsid w:val="00DC56EA"/>
    <w:rsid w:val="00DD70C6"/>
    <w:rsid w:val="00DE6D9B"/>
    <w:rsid w:val="00E02D56"/>
    <w:rsid w:val="00E0567E"/>
    <w:rsid w:val="00E55DD1"/>
    <w:rsid w:val="00E907A4"/>
    <w:rsid w:val="00E93E91"/>
    <w:rsid w:val="00EE6802"/>
    <w:rsid w:val="00F061CC"/>
    <w:rsid w:val="00F12B85"/>
    <w:rsid w:val="00F1562C"/>
    <w:rsid w:val="00F34980"/>
    <w:rsid w:val="00F37D44"/>
    <w:rsid w:val="00F428B1"/>
    <w:rsid w:val="00F5104A"/>
    <w:rsid w:val="00F51111"/>
    <w:rsid w:val="00F54A94"/>
    <w:rsid w:val="00F70CC1"/>
    <w:rsid w:val="00F71AA4"/>
    <w:rsid w:val="00F72511"/>
    <w:rsid w:val="00F84D1E"/>
    <w:rsid w:val="00F946AD"/>
    <w:rsid w:val="00FC0562"/>
    <w:rsid w:val="00FC6DA3"/>
    <w:rsid w:val="00FF7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98080"/>
  <w15:chartTrackingRefBased/>
  <w15:docId w15:val="{76A2F437-531C-4A6E-AA96-53AB89DBD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060"/>
    <w:rPr>
      <w:rFonts w:eastAsiaTheme="majorEastAsia" w:cstheme="majorBidi"/>
      <w:color w:val="272727" w:themeColor="text1" w:themeTint="D8"/>
    </w:rPr>
  </w:style>
  <w:style w:type="paragraph" w:styleId="Title">
    <w:name w:val="Title"/>
    <w:basedOn w:val="Normal"/>
    <w:next w:val="Normal"/>
    <w:link w:val="TitleChar"/>
    <w:uiPriority w:val="10"/>
    <w:qFormat/>
    <w:rsid w:val="00B57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060"/>
    <w:pPr>
      <w:spacing w:before="160"/>
      <w:jc w:val="center"/>
    </w:pPr>
    <w:rPr>
      <w:i/>
      <w:iCs/>
      <w:color w:val="404040" w:themeColor="text1" w:themeTint="BF"/>
    </w:rPr>
  </w:style>
  <w:style w:type="character" w:customStyle="1" w:styleId="QuoteChar">
    <w:name w:val="Quote Char"/>
    <w:basedOn w:val="DefaultParagraphFont"/>
    <w:link w:val="Quote"/>
    <w:uiPriority w:val="29"/>
    <w:rsid w:val="00B57060"/>
    <w:rPr>
      <w:i/>
      <w:iCs/>
      <w:color w:val="404040" w:themeColor="text1" w:themeTint="BF"/>
    </w:rPr>
  </w:style>
  <w:style w:type="paragraph" w:styleId="ListParagraph">
    <w:name w:val="List Paragraph"/>
    <w:basedOn w:val="Normal"/>
    <w:uiPriority w:val="34"/>
    <w:qFormat/>
    <w:rsid w:val="00B57060"/>
    <w:pPr>
      <w:ind w:left="720"/>
      <w:contextualSpacing/>
    </w:pPr>
  </w:style>
  <w:style w:type="character" w:styleId="IntenseEmphasis">
    <w:name w:val="Intense Emphasis"/>
    <w:basedOn w:val="DefaultParagraphFont"/>
    <w:uiPriority w:val="21"/>
    <w:qFormat/>
    <w:rsid w:val="00B57060"/>
    <w:rPr>
      <w:i/>
      <w:iCs/>
      <w:color w:val="0F4761" w:themeColor="accent1" w:themeShade="BF"/>
    </w:rPr>
  </w:style>
  <w:style w:type="paragraph" w:styleId="IntenseQuote">
    <w:name w:val="Intense Quote"/>
    <w:basedOn w:val="Normal"/>
    <w:next w:val="Normal"/>
    <w:link w:val="IntenseQuoteChar"/>
    <w:uiPriority w:val="30"/>
    <w:qFormat/>
    <w:rsid w:val="00B57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060"/>
    <w:rPr>
      <w:i/>
      <w:iCs/>
      <w:color w:val="0F4761" w:themeColor="accent1" w:themeShade="BF"/>
    </w:rPr>
  </w:style>
  <w:style w:type="character" w:styleId="IntenseReference">
    <w:name w:val="Intense Reference"/>
    <w:basedOn w:val="DefaultParagraphFont"/>
    <w:uiPriority w:val="32"/>
    <w:qFormat/>
    <w:rsid w:val="00B57060"/>
    <w:rPr>
      <w:b/>
      <w:bCs/>
      <w:smallCaps/>
      <w:color w:val="0F4761" w:themeColor="accent1" w:themeShade="BF"/>
      <w:spacing w:val="5"/>
    </w:rPr>
  </w:style>
  <w:style w:type="character" w:styleId="Hyperlink">
    <w:name w:val="Hyperlink"/>
    <w:basedOn w:val="DefaultParagraphFont"/>
    <w:uiPriority w:val="99"/>
    <w:unhideWhenUsed/>
    <w:rsid w:val="00E0567E"/>
    <w:rPr>
      <w:color w:val="467886" w:themeColor="hyperlink"/>
      <w:u w:val="single"/>
    </w:rPr>
  </w:style>
  <w:style w:type="character" w:styleId="UnresolvedMention">
    <w:name w:val="Unresolved Mention"/>
    <w:basedOn w:val="DefaultParagraphFont"/>
    <w:uiPriority w:val="99"/>
    <w:semiHidden/>
    <w:unhideWhenUsed/>
    <w:rsid w:val="00E0567E"/>
    <w:rPr>
      <w:color w:val="605E5C"/>
      <w:shd w:val="clear" w:color="auto" w:fill="E1DFDD"/>
    </w:rPr>
  </w:style>
  <w:style w:type="paragraph" w:styleId="NormalWeb">
    <w:name w:val="Normal (Web)"/>
    <w:basedOn w:val="Normal"/>
    <w:uiPriority w:val="99"/>
    <w:semiHidden/>
    <w:unhideWhenUsed/>
    <w:rsid w:val="000D4E23"/>
    <w:rPr>
      <w:rFonts w:ascii="Times New Roman" w:hAnsi="Times New Roman" w:cs="Times New Roman"/>
    </w:rPr>
  </w:style>
  <w:style w:type="paragraph" w:styleId="FootnoteText">
    <w:name w:val="footnote text"/>
    <w:basedOn w:val="Normal"/>
    <w:link w:val="FootnoteTextChar"/>
    <w:uiPriority w:val="99"/>
    <w:unhideWhenUsed/>
    <w:rsid w:val="00D82A37"/>
    <w:pPr>
      <w:spacing w:after="0" w:line="240" w:lineRule="auto"/>
    </w:pPr>
    <w:rPr>
      <w:sz w:val="20"/>
      <w:szCs w:val="20"/>
    </w:rPr>
  </w:style>
  <w:style w:type="character" w:customStyle="1" w:styleId="FootnoteTextChar">
    <w:name w:val="Footnote Text Char"/>
    <w:basedOn w:val="DefaultParagraphFont"/>
    <w:link w:val="FootnoteText"/>
    <w:uiPriority w:val="99"/>
    <w:rsid w:val="00D82A37"/>
    <w:rPr>
      <w:sz w:val="20"/>
      <w:szCs w:val="20"/>
    </w:rPr>
  </w:style>
  <w:style w:type="character" w:styleId="FootnoteReference">
    <w:name w:val="footnote reference"/>
    <w:basedOn w:val="DefaultParagraphFont"/>
    <w:uiPriority w:val="99"/>
    <w:unhideWhenUsed/>
    <w:rsid w:val="00D82A37"/>
    <w:rPr>
      <w:vertAlign w:val="superscript"/>
    </w:rPr>
  </w:style>
  <w:style w:type="paragraph" w:styleId="Header">
    <w:name w:val="header"/>
    <w:basedOn w:val="Normal"/>
    <w:link w:val="HeaderChar"/>
    <w:uiPriority w:val="99"/>
    <w:unhideWhenUsed/>
    <w:rsid w:val="00F511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1111"/>
  </w:style>
  <w:style w:type="paragraph" w:styleId="Footer">
    <w:name w:val="footer"/>
    <w:basedOn w:val="Normal"/>
    <w:link w:val="FooterChar"/>
    <w:uiPriority w:val="99"/>
    <w:unhideWhenUsed/>
    <w:rsid w:val="00F511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1111"/>
  </w:style>
  <w:style w:type="character" w:styleId="FollowedHyperlink">
    <w:name w:val="FollowedHyperlink"/>
    <w:basedOn w:val="DefaultParagraphFont"/>
    <w:uiPriority w:val="99"/>
    <w:semiHidden/>
    <w:unhideWhenUsed/>
    <w:rsid w:val="003B7C9E"/>
    <w:rPr>
      <w:color w:val="96607D" w:themeColor="followedHyperlink"/>
      <w:u w:val="single"/>
    </w:rPr>
  </w:style>
  <w:style w:type="paragraph" w:styleId="Revision">
    <w:name w:val="Revision"/>
    <w:hidden/>
    <w:uiPriority w:val="99"/>
    <w:semiHidden/>
    <w:rsid w:val="000028E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8C8E4334BC14F41A5997E263C519B9F" ma:contentTypeVersion="9" ma:contentTypeDescription="Create a new document." ma:contentTypeScope="" ma:versionID="f50695c9b3fbaf7858ea1c6a402bd7f8">
  <xsd:schema xmlns:xsd="http://www.w3.org/2001/XMLSchema" xmlns:xs="http://www.w3.org/2001/XMLSchema" xmlns:p="http://schemas.microsoft.com/office/2006/metadata/properties" xmlns:ns3="c8a7b86f-c92d-4e08-94a4-4b8ece52645a" targetNamespace="http://schemas.microsoft.com/office/2006/metadata/properties" ma:root="true" ma:fieldsID="5a1b1e6e390db42563e0b8073205dd7e" ns3:_="">
    <xsd:import namespace="c8a7b86f-c92d-4e08-94a4-4b8ece52645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a7b86f-c92d-4e08-94a4-4b8ece52645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8a7b86f-c92d-4e08-94a4-4b8ece52645a" xsi:nil="true"/>
  </documentManagement>
</p:properties>
</file>

<file path=customXml/itemProps1.xml><?xml version="1.0" encoding="utf-8"?>
<ds:datastoreItem xmlns:ds="http://schemas.openxmlformats.org/officeDocument/2006/customXml" ds:itemID="{81E83FE2-B266-4576-907A-EE74C58BEDB5}">
  <ds:schemaRefs>
    <ds:schemaRef ds:uri="http://schemas.openxmlformats.org/officeDocument/2006/bibliography"/>
  </ds:schemaRefs>
</ds:datastoreItem>
</file>

<file path=customXml/itemProps2.xml><?xml version="1.0" encoding="utf-8"?>
<ds:datastoreItem xmlns:ds="http://schemas.openxmlformats.org/officeDocument/2006/customXml" ds:itemID="{C06486FE-0172-445F-B94A-1A43CDBE0C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a7b86f-c92d-4e08-94a4-4b8ece5264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A93C11-52C4-4D64-A288-6729C8D2789C}">
  <ds:schemaRefs>
    <ds:schemaRef ds:uri="http://schemas.microsoft.com/sharepoint/v3/contenttype/forms"/>
  </ds:schemaRefs>
</ds:datastoreItem>
</file>

<file path=customXml/itemProps4.xml><?xml version="1.0" encoding="utf-8"?>
<ds:datastoreItem xmlns:ds="http://schemas.openxmlformats.org/officeDocument/2006/customXml" ds:itemID="{F88DBF77-D03A-41E0-BD4F-10EB056092CD}">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c8a7b86f-c92d-4e08-94a4-4b8ece52645a"/>
    <ds:schemaRef ds:uri="http://purl.org/dc/term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10559</Words>
  <Characters>56180</Characters>
  <Application>Microsoft Office Word</Application>
  <DocSecurity>0</DocSecurity>
  <Lines>739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Balanovsky</dc:creator>
  <cp:keywords/>
  <dc:description/>
  <cp:lastModifiedBy>Lawrence Balanovsky</cp:lastModifiedBy>
  <cp:revision>3</cp:revision>
  <dcterms:created xsi:type="dcterms:W3CDTF">2026-02-11T17:50:00Z</dcterms:created>
  <dcterms:modified xsi:type="dcterms:W3CDTF">2026-02-11T17:50:00Z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0x01010018C8E4334BC14F41A5997E263C519B9F</vt:lpwstr>
  </property>
</Properties>
</file>