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Rubrik, Inc. (NYSE: RBRK)</w:t>
      </w:r>
    </w:p>
    <w:p>
      <w:pPr>
        <w:pStyle w:val="Heading1"/>
        <w:jc w:val="center"/>
      </w:pPr>
      <w:r>
        <w:t>Q4 FY2026 Earnings Analysis — Sell-Side Deep Dive</w:t>
      </w:r>
    </w:p>
    <w:p>
      <w:pPr>
        <w:pStyle w:val="IntenseQuote"/>
      </w:pPr>
      <w:r>
        <w:t>March 15, 2026 | Enterprise Software &amp; Data Protection Coverage</w:t>
      </w:r>
    </w:p>
    <w:p/>
    <w:p>
      <w:pPr>
        <w:pStyle w:val="Heading1"/>
      </w:pPr>
      <w:r>
        <w:t>1. Executive Summary</w:t>
      </w:r>
    </w:p>
    <w:p>
      <w:r>
        <w:t>Rubrik delivered an exceptionally strong Q4 FY2026 (quarter ended January 31, 2026), beating consensus on all key metrics and reporting its first-ever non-GAAP profit. Total revenue of $377.7 million grew 46% year-over-year, well above the Street consensus of ~$355 million and the company's own guidance of $341-$343 million. Subscription ARR reached $1.46 billion, up 34% YoY, with a record $115 million in net new subscription ARR — an acceleration from Q3's already-strong trajectory. Non-GAAP EPS of $0.04 crushed the consensus estimate of -$0.11, marking Rubrik's inflection into profitability. Non-GAAP gross margin expanded to 83.7% (from 79.7% a year ago), and free cash flow was $70.1 million in Q4, bringing full-year FY2026 FCF to $237.8 million — a &gt;10x increase from $21.6 million in FY2025.</w:t>
      </w:r>
    </w:p>
    <w:p>
      <w:r>
        <w:t>For the full fiscal year 2026, Rubrik generated $1.32 billion in total revenue (up 48% YoY) and $1.26 billion in subscription revenue (up 53% YoY). The company guided FY2027 revenue of $1,597-$1,607 million (midpoint $1,602M, ~21% YoY growth) and subscription ARR of $1,829-$1,839 million (midpoint $1,834M, ~26% YoY growth). FY2027 non-GAAP EPS guidance of $0.07-$0.27 confirms the profitability crossover. Despite the strong results, shares traded down modestly after-hours (~5%), reflecting broader software multiple compression and the deceleration in ARR growth from 38-39% a year ago to 34%. We view this as an attractive entry point given the company's best-in-class growth profile, margin expansion trajectory, and dominant positioning in the $30B+ cyber resilience TAM.</w:t>
      </w:r>
    </w:p>
    <w:p>
      <w:r>
        <w:t>Key thesis points: (1) Rubrik is the fastest-growing scaled company in data protection/cyber resilience, (2) the cloud transition (88% of ARR now cloud) is a structural margin tailwind, (3) agentic AI products (Agent Cloud, Agent Rewind) open new TAM, and (4) the path to sustained profitability is now clear with ARR contribution margins at 11.6% and expanding. Rating: BUY. Consensus average target: $93.68.</w:t>
      </w:r>
    </w:p>
    <w:p>
      <w:pPr>
        <w:pStyle w:val="Heading1"/>
      </w:pPr>
      <w:r>
        <w:t>2. Quarterly Results Table</w:t>
      </w:r>
    </w:p>
    <w:p>
      <w:r>
        <w:t>All figures in USD millions except per-share data and percentages.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Metric</w:t>
            </w:r>
          </w:p>
        </w:tc>
        <w:tc>
          <w:tcPr>
            <w:tcW w:type="dxa" w:w="1234"/>
          </w:tcPr>
          <w:p>
            <w:r>
              <w:rPr>
                <w:b/>
                <w:sz w:val="18"/>
              </w:rPr>
              <w:t>Q3 FY25</w:t>
            </w:r>
          </w:p>
        </w:tc>
        <w:tc>
          <w:tcPr>
            <w:tcW w:type="dxa" w:w="1234"/>
          </w:tcPr>
          <w:p>
            <w:r>
              <w:rPr>
                <w:b/>
                <w:sz w:val="18"/>
              </w:rPr>
              <w:t>Q4 FY25</w:t>
            </w:r>
          </w:p>
        </w:tc>
        <w:tc>
          <w:tcPr>
            <w:tcW w:type="dxa" w:w="1234"/>
          </w:tcPr>
          <w:p>
            <w:r>
              <w:rPr>
                <w:b/>
                <w:sz w:val="18"/>
              </w:rPr>
              <w:t>Q1 FY26</w:t>
            </w:r>
          </w:p>
        </w:tc>
        <w:tc>
          <w:tcPr>
            <w:tcW w:type="dxa" w:w="1234"/>
          </w:tcPr>
          <w:p>
            <w:r>
              <w:rPr>
                <w:b/>
                <w:sz w:val="18"/>
              </w:rPr>
              <w:t>Q2 FY26</w:t>
            </w:r>
          </w:p>
        </w:tc>
        <w:tc>
          <w:tcPr>
            <w:tcW w:type="dxa" w:w="1234"/>
          </w:tcPr>
          <w:p>
            <w:r>
              <w:rPr>
                <w:b/>
                <w:sz w:val="18"/>
              </w:rPr>
              <w:t>Q3 FY26</w:t>
            </w:r>
          </w:p>
        </w:tc>
        <w:tc>
          <w:tcPr>
            <w:tcW w:type="dxa" w:w="1234"/>
          </w:tcPr>
          <w:p>
            <w:r>
              <w:rPr>
                <w:b/>
                <w:sz w:val="18"/>
              </w:rPr>
              <w:t>Q4 FY26</w:t>
            </w:r>
          </w:p>
        </w:tc>
      </w:tr>
      <w:tr>
        <w:tc>
          <w:tcPr>
            <w:tcW w:type="dxa" w:w="1234"/>
          </w:tcPr>
          <w:p>
            <w:r>
              <w:rPr>
                <w:sz w:val="18"/>
              </w:rPr>
              <w:t>Total Revenue</w:t>
            </w:r>
          </w:p>
        </w:tc>
        <w:tc>
          <w:tcPr>
            <w:tcW w:type="dxa" w:w="1234"/>
          </w:tcPr>
          <w:p>
            <w:r>
              <w:rPr>
                <w:sz w:val="18"/>
              </w:rPr>
              <w:t>$236.2</w:t>
            </w:r>
          </w:p>
        </w:tc>
        <w:tc>
          <w:tcPr>
            <w:tcW w:type="dxa" w:w="1234"/>
          </w:tcPr>
          <w:p>
            <w:r>
              <w:rPr>
                <w:sz w:val="18"/>
              </w:rPr>
              <w:t>$258.1</w:t>
            </w:r>
          </w:p>
        </w:tc>
        <w:tc>
          <w:tcPr>
            <w:tcW w:type="dxa" w:w="1234"/>
          </w:tcPr>
          <w:p>
            <w:r>
              <w:rPr>
                <w:sz w:val="18"/>
              </w:rPr>
              <w:t>$278.5</w:t>
            </w:r>
          </w:p>
        </w:tc>
        <w:tc>
          <w:tcPr>
            <w:tcW w:type="dxa" w:w="1234"/>
          </w:tcPr>
          <w:p>
            <w:r>
              <w:rPr>
                <w:sz w:val="18"/>
              </w:rPr>
              <w:t>$309.9</w:t>
            </w:r>
          </w:p>
        </w:tc>
        <w:tc>
          <w:tcPr>
            <w:tcW w:type="dxa" w:w="1234"/>
          </w:tcPr>
          <w:p>
            <w:r>
              <w:rPr>
                <w:sz w:val="18"/>
              </w:rPr>
              <w:t>$350.2</w:t>
            </w:r>
          </w:p>
        </w:tc>
        <w:tc>
          <w:tcPr>
            <w:tcW w:type="dxa" w:w="1234"/>
          </w:tcPr>
          <w:p>
            <w:r>
              <w:rPr>
                <w:sz w:val="18"/>
              </w:rPr>
              <w:t>$377.7</w:t>
            </w:r>
          </w:p>
        </w:tc>
      </w:tr>
      <w:tr>
        <w:tc>
          <w:tcPr>
            <w:tcW w:type="dxa" w:w="1234"/>
          </w:tcPr>
          <w:p>
            <w:r>
              <w:rPr>
                <w:sz w:val="18"/>
              </w:rPr>
              <w:t>Revenue YoY Growth</w:t>
            </w:r>
          </w:p>
        </w:tc>
        <w:tc>
          <w:tcPr>
            <w:tcW w:type="dxa" w:w="1234"/>
          </w:tcPr>
          <w:p>
            <w:r>
              <w:rPr>
                <w:sz w:val="18"/>
              </w:rPr>
              <w:t>43%</w:t>
            </w:r>
          </w:p>
        </w:tc>
        <w:tc>
          <w:tcPr>
            <w:tcW w:type="dxa" w:w="1234"/>
          </w:tcPr>
          <w:p>
            <w:r>
              <w:rPr>
                <w:sz w:val="18"/>
              </w:rPr>
              <w:t>47%</w:t>
            </w:r>
          </w:p>
        </w:tc>
        <w:tc>
          <w:tcPr>
            <w:tcW w:type="dxa" w:w="1234"/>
          </w:tcPr>
          <w:p>
            <w:r>
              <w:rPr>
                <w:sz w:val="18"/>
              </w:rPr>
              <w:t>49%</w:t>
            </w:r>
          </w:p>
        </w:tc>
        <w:tc>
          <w:tcPr>
            <w:tcW w:type="dxa" w:w="1234"/>
          </w:tcPr>
          <w:p>
            <w:r>
              <w:rPr>
                <w:sz w:val="18"/>
              </w:rPr>
              <w:t>51%</w:t>
            </w:r>
          </w:p>
        </w:tc>
        <w:tc>
          <w:tcPr>
            <w:tcW w:type="dxa" w:w="1234"/>
          </w:tcPr>
          <w:p>
            <w:r>
              <w:rPr>
                <w:sz w:val="18"/>
              </w:rPr>
              <w:t>48%</w:t>
            </w:r>
          </w:p>
        </w:tc>
        <w:tc>
          <w:tcPr>
            <w:tcW w:type="dxa" w:w="1234"/>
          </w:tcPr>
          <w:p>
            <w:r>
              <w:rPr>
                <w:sz w:val="18"/>
              </w:rPr>
              <w:t>46%</w:t>
            </w:r>
          </w:p>
        </w:tc>
      </w:tr>
      <w:tr>
        <w:tc>
          <w:tcPr>
            <w:tcW w:type="dxa" w:w="1234"/>
          </w:tcPr>
          <w:p>
            <w:r>
              <w:rPr>
                <w:sz w:val="18"/>
              </w:rPr>
              <w:t>Subscription Revenue</w:t>
            </w:r>
          </w:p>
        </w:tc>
        <w:tc>
          <w:tcPr>
            <w:tcW w:type="dxa" w:w="1234"/>
          </w:tcPr>
          <w:p>
            <w:r>
              <w:rPr>
                <w:sz w:val="18"/>
              </w:rPr>
              <w:t>$221.5</w:t>
            </w:r>
          </w:p>
        </w:tc>
        <w:tc>
          <w:tcPr>
            <w:tcW w:type="dxa" w:w="1234"/>
          </w:tcPr>
          <w:p>
            <w:r>
              <w:rPr>
                <w:sz w:val="18"/>
              </w:rPr>
              <w:t>$243.7</w:t>
            </w:r>
          </w:p>
        </w:tc>
        <w:tc>
          <w:tcPr>
            <w:tcW w:type="dxa" w:w="1234"/>
          </w:tcPr>
          <w:p>
            <w:r>
              <w:rPr>
                <w:sz w:val="18"/>
              </w:rPr>
              <w:t>$265.7</w:t>
            </w:r>
          </w:p>
        </w:tc>
        <w:tc>
          <w:tcPr>
            <w:tcW w:type="dxa" w:w="1234"/>
          </w:tcPr>
          <w:p>
            <w:r>
              <w:rPr>
                <w:sz w:val="18"/>
              </w:rPr>
              <w:t>$297.0</w:t>
            </w:r>
          </w:p>
        </w:tc>
        <w:tc>
          <w:tcPr>
            <w:tcW w:type="dxa" w:w="1234"/>
          </w:tcPr>
          <w:p>
            <w:r>
              <w:rPr>
                <w:sz w:val="18"/>
              </w:rPr>
              <w:t>$336.4</w:t>
            </w:r>
          </w:p>
        </w:tc>
        <w:tc>
          <w:tcPr>
            <w:tcW w:type="dxa" w:w="1234"/>
          </w:tcPr>
          <w:p>
            <w:r>
              <w:rPr>
                <w:sz w:val="18"/>
              </w:rPr>
              <w:t>$364.9</w:t>
            </w:r>
          </w:p>
        </w:tc>
      </w:tr>
      <w:tr>
        <w:tc>
          <w:tcPr>
            <w:tcW w:type="dxa" w:w="1234"/>
          </w:tcPr>
          <w:p>
            <w:r>
              <w:rPr>
                <w:sz w:val="18"/>
              </w:rPr>
              <w:t>Sub. Rev. YoY Growth</w:t>
            </w:r>
          </w:p>
        </w:tc>
        <w:tc>
          <w:tcPr>
            <w:tcW w:type="dxa" w:w="1234"/>
          </w:tcPr>
          <w:p>
            <w:r>
              <w:rPr>
                <w:sz w:val="18"/>
              </w:rPr>
              <w:t>N/A</w:t>
            </w:r>
          </w:p>
        </w:tc>
        <w:tc>
          <w:tcPr>
            <w:tcW w:type="dxa" w:w="1234"/>
          </w:tcPr>
          <w:p>
            <w:r>
              <w:rPr>
                <w:sz w:val="18"/>
              </w:rPr>
              <w:t>N/A</w:t>
            </w:r>
          </w:p>
        </w:tc>
        <w:tc>
          <w:tcPr>
            <w:tcW w:type="dxa" w:w="1234"/>
          </w:tcPr>
          <w:p>
            <w:r>
              <w:rPr>
                <w:sz w:val="18"/>
              </w:rPr>
              <w:t>54%</w:t>
            </w:r>
          </w:p>
        </w:tc>
        <w:tc>
          <w:tcPr>
            <w:tcW w:type="dxa" w:w="1234"/>
          </w:tcPr>
          <w:p>
            <w:r>
              <w:rPr>
                <w:sz w:val="18"/>
              </w:rPr>
              <w:t>55%</w:t>
            </w:r>
          </w:p>
        </w:tc>
        <w:tc>
          <w:tcPr>
            <w:tcW w:type="dxa" w:w="1234"/>
          </w:tcPr>
          <w:p>
            <w:r>
              <w:rPr>
                <w:sz w:val="18"/>
              </w:rPr>
              <w:t>52%</w:t>
            </w:r>
          </w:p>
        </w:tc>
        <w:tc>
          <w:tcPr>
            <w:tcW w:type="dxa" w:w="1234"/>
          </w:tcPr>
          <w:p>
            <w:r>
              <w:rPr>
                <w:sz w:val="18"/>
              </w:rPr>
              <w:t>50%</w:t>
            </w:r>
          </w:p>
        </w:tc>
      </w:tr>
      <w:tr>
        <w:tc>
          <w:tcPr>
            <w:tcW w:type="dxa" w:w="1234"/>
          </w:tcPr>
          <w:p>
            <w:r>
              <w:rPr>
                <w:sz w:val="18"/>
              </w:rPr>
              <w:t>Subscription ARR</w:t>
            </w:r>
          </w:p>
        </w:tc>
        <w:tc>
          <w:tcPr>
            <w:tcW w:type="dxa" w:w="1234"/>
          </w:tcPr>
          <w:p>
            <w:r>
              <w:rPr>
                <w:sz w:val="18"/>
              </w:rPr>
              <w:t>$1,002</w:t>
            </w:r>
          </w:p>
        </w:tc>
        <w:tc>
          <w:tcPr>
            <w:tcW w:type="dxa" w:w="1234"/>
          </w:tcPr>
          <w:p>
            <w:r>
              <w:rPr>
                <w:sz w:val="18"/>
              </w:rPr>
              <w:t>$1,093</w:t>
            </w:r>
          </w:p>
        </w:tc>
        <w:tc>
          <w:tcPr>
            <w:tcW w:type="dxa" w:w="1234"/>
          </w:tcPr>
          <w:p>
            <w:r>
              <w:rPr>
                <w:sz w:val="18"/>
              </w:rPr>
              <w:t>$1,180</w:t>
            </w:r>
          </w:p>
        </w:tc>
        <w:tc>
          <w:tcPr>
            <w:tcW w:type="dxa" w:w="1234"/>
          </w:tcPr>
          <w:p>
            <w:r>
              <w:rPr>
                <w:sz w:val="18"/>
              </w:rPr>
              <w:t>$1,250</w:t>
            </w:r>
          </w:p>
        </w:tc>
        <w:tc>
          <w:tcPr>
            <w:tcW w:type="dxa" w:w="1234"/>
          </w:tcPr>
          <w:p>
            <w:r>
              <w:rPr>
                <w:sz w:val="18"/>
              </w:rPr>
              <w:t>$1,350</w:t>
            </w:r>
          </w:p>
        </w:tc>
        <w:tc>
          <w:tcPr>
            <w:tcW w:type="dxa" w:w="1234"/>
          </w:tcPr>
          <w:p>
            <w:r>
              <w:rPr>
                <w:sz w:val="18"/>
              </w:rPr>
              <w:t>$1,460</w:t>
            </w:r>
          </w:p>
        </w:tc>
      </w:tr>
      <w:tr>
        <w:tc>
          <w:tcPr>
            <w:tcW w:type="dxa" w:w="1234"/>
          </w:tcPr>
          <w:p>
            <w:r>
              <w:rPr>
                <w:sz w:val="18"/>
              </w:rPr>
              <w:t>ARR YoY Growth</w:t>
            </w:r>
          </w:p>
        </w:tc>
        <w:tc>
          <w:tcPr>
            <w:tcW w:type="dxa" w:w="1234"/>
          </w:tcPr>
          <w:p>
            <w:r>
              <w:rPr>
                <w:sz w:val="18"/>
              </w:rPr>
              <w:t>38%</w:t>
            </w:r>
          </w:p>
        </w:tc>
        <w:tc>
          <w:tcPr>
            <w:tcW w:type="dxa" w:w="1234"/>
          </w:tcPr>
          <w:p>
            <w:r>
              <w:rPr>
                <w:sz w:val="18"/>
              </w:rPr>
              <w:t>39%</w:t>
            </w:r>
          </w:p>
        </w:tc>
        <w:tc>
          <w:tcPr>
            <w:tcW w:type="dxa" w:w="1234"/>
          </w:tcPr>
          <w:p>
            <w:r>
              <w:rPr>
                <w:sz w:val="18"/>
              </w:rPr>
              <w:t>38%</w:t>
            </w:r>
          </w:p>
        </w:tc>
        <w:tc>
          <w:tcPr>
            <w:tcW w:type="dxa" w:w="1234"/>
          </w:tcPr>
          <w:p>
            <w:r>
              <w:rPr>
                <w:sz w:val="18"/>
              </w:rPr>
              <w:t>36%</w:t>
            </w:r>
          </w:p>
        </w:tc>
        <w:tc>
          <w:tcPr>
            <w:tcW w:type="dxa" w:w="1234"/>
          </w:tcPr>
          <w:p>
            <w:r>
              <w:rPr>
                <w:sz w:val="18"/>
              </w:rPr>
              <w:t>34%</w:t>
            </w:r>
          </w:p>
        </w:tc>
        <w:tc>
          <w:tcPr>
            <w:tcW w:type="dxa" w:w="1234"/>
          </w:tcPr>
          <w:p>
            <w:r>
              <w:rPr>
                <w:sz w:val="18"/>
              </w:rPr>
              <w:t>34%</w:t>
            </w:r>
          </w:p>
        </w:tc>
      </w:tr>
      <w:tr>
        <w:tc>
          <w:tcPr>
            <w:tcW w:type="dxa" w:w="1234"/>
          </w:tcPr>
          <w:p>
            <w:r>
              <w:rPr>
                <w:sz w:val="18"/>
              </w:rPr>
              <w:t>Non-GAAP EPS</w:t>
            </w:r>
          </w:p>
        </w:tc>
        <w:tc>
          <w:tcPr>
            <w:tcW w:type="dxa" w:w="1234"/>
          </w:tcPr>
          <w:p>
            <w:r>
              <w:rPr>
                <w:sz w:val="18"/>
              </w:rPr>
              <w:t>($0.21)</w:t>
            </w:r>
          </w:p>
        </w:tc>
        <w:tc>
          <w:tcPr>
            <w:tcW w:type="dxa" w:w="1234"/>
          </w:tcPr>
          <w:p>
            <w:r>
              <w:rPr>
                <w:sz w:val="18"/>
              </w:rPr>
              <w:t>($0.18)</w:t>
            </w:r>
          </w:p>
        </w:tc>
        <w:tc>
          <w:tcPr>
            <w:tcW w:type="dxa" w:w="1234"/>
          </w:tcPr>
          <w:p>
            <w:r>
              <w:rPr>
                <w:sz w:val="18"/>
              </w:rPr>
              <w:t>($0.15)</w:t>
            </w:r>
          </w:p>
        </w:tc>
        <w:tc>
          <w:tcPr>
            <w:tcW w:type="dxa" w:w="1234"/>
          </w:tcPr>
          <w:p>
            <w:r>
              <w:rPr>
                <w:sz w:val="18"/>
              </w:rPr>
              <w:t>($0.03)</w:t>
            </w:r>
          </w:p>
        </w:tc>
        <w:tc>
          <w:tcPr>
            <w:tcW w:type="dxa" w:w="1234"/>
          </w:tcPr>
          <w:p>
            <w:r>
              <w:rPr>
                <w:sz w:val="18"/>
              </w:rPr>
              <w:t>$0.10</w:t>
            </w:r>
          </w:p>
        </w:tc>
        <w:tc>
          <w:tcPr>
            <w:tcW w:type="dxa" w:w="1234"/>
          </w:tcPr>
          <w:p>
            <w:r>
              <w:rPr>
                <w:sz w:val="18"/>
              </w:rPr>
              <w:t>$0.04</w:t>
            </w:r>
          </w:p>
        </w:tc>
      </w:tr>
      <w:tr>
        <w:tc>
          <w:tcPr>
            <w:tcW w:type="dxa" w:w="1234"/>
          </w:tcPr>
          <w:p>
            <w:r>
              <w:rPr>
                <w:sz w:val="18"/>
              </w:rPr>
              <w:t>Non-GAAP Gross Margin</w:t>
            </w:r>
          </w:p>
        </w:tc>
        <w:tc>
          <w:tcPr>
            <w:tcW w:type="dxa" w:w="1234"/>
          </w:tcPr>
          <w:p>
            <w:r>
              <w:rPr>
                <w:sz w:val="18"/>
              </w:rPr>
              <w:t>79.2%</w:t>
            </w:r>
          </w:p>
        </w:tc>
        <w:tc>
          <w:tcPr>
            <w:tcW w:type="dxa" w:w="1234"/>
          </w:tcPr>
          <w:p>
            <w:r>
              <w:rPr>
                <w:sz w:val="18"/>
              </w:rPr>
              <w:t>79.7%</w:t>
            </w:r>
          </w:p>
        </w:tc>
        <w:tc>
          <w:tcPr>
            <w:tcW w:type="dxa" w:w="1234"/>
          </w:tcPr>
          <w:p>
            <w:r>
              <w:rPr>
                <w:sz w:val="18"/>
              </w:rPr>
              <w:t>80.5%</w:t>
            </w:r>
          </w:p>
        </w:tc>
        <w:tc>
          <w:tcPr>
            <w:tcW w:type="dxa" w:w="1234"/>
          </w:tcPr>
          <w:p>
            <w:r>
              <w:rPr>
                <w:sz w:val="18"/>
              </w:rPr>
              <w:t>81.6%</w:t>
            </w:r>
          </w:p>
        </w:tc>
        <w:tc>
          <w:tcPr>
            <w:tcW w:type="dxa" w:w="1234"/>
          </w:tcPr>
          <w:p>
            <w:r>
              <w:rPr>
                <w:sz w:val="18"/>
              </w:rPr>
              <w:t>82.8%</w:t>
            </w:r>
          </w:p>
        </w:tc>
        <w:tc>
          <w:tcPr>
            <w:tcW w:type="dxa" w:w="1234"/>
          </w:tcPr>
          <w:p>
            <w:r>
              <w:rPr>
                <w:sz w:val="18"/>
              </w:rPr>
              <w:t>83.7%</w:t>
            </w:r>
          </w:p>
        </w:tc>
      </w:tr>
      <w:tr>
        <w:tc>
          <w:tcPr>
            <w:tcW w:type="dxa" w:w="1234"/>
          </w:tcPr>
          <w:p>
            <w:r>
              <w:rPr>
                <w:sz w:val="18"/>
              </w:rPr>
              <w:t>ARR Contribution Margin</w:t>
            </w:r>
          </w:p>
        </w:tc>
        <w:tc>
          <w:tcPr>
            <w:tcW w:type="dxa" w:w="1234"/>
          </w:tcPr>
          <w:p>
            <w:r>
              <w:rPr>
                <w:sz w:val="18"/>
              </w:rPr>
              <w:t>(3.3)%</w:t>
            </w:r>
          </w:p>
        </w:tc>
        <w:tc>
          <w:tcPr>
            <w:tcW w:type="dxa" w:w="1234"/>
          </w:tcPr>
          <w:p>
            <w:r>
              <w:rPr>
                <w:sz w:val="18"/>
              </w:rPr>
              <w:t>2.1%</w:t>
            </w:r>
          </w:p>
        </w:tc>
        <w:tc>
          <w:tcPr>
            <w:tcW w:type="dxa" w:w="1234"/>
          </w:tcPr>
          <w:p>
            <w:r>
              <w:rPr>
                <w:sz w:val="18"/>
              </w:rPr>
              <w:t>8.0%</w:t>
            </w:r>
          </w:p>
        </w:tc>
        <w:tc>
          <w:tcPr>
            <w:tcW w:type="dxa" w:w="1234"/>
          </w:tcPr>
          <w:p>
            <w:r>
              <w:rPr>
                <w:sz w:val="18"/>
              </w:rPr>
              <w:t>9.4%</w:t>
            </w:r>
          </w:p>
        </w:tc>
        <w:tc>
          <w:tcPr>
            <w:tcW w:type="dxa" w:w="1234"/>
          </w:tcPr>
          <w:p>
            <w:r>
              <w:rPr>
                <w:sz w:val="18"/>
              </w:rPr>
              <w:t>10.3%</w:t>
            </w:r>
          </w:p>
        </w:tc>
        <w:tc>
          <w:tcPr>
            <w:tcW w:type="dxa" w:w="1234"/>
          </w:tcPr>
          <w:p>
            <w:r>
              <w:rPr>
                <w:sz w:val="18"/>
              </w:rPr>
              <w:t>11.6%</w:t>
            </w:r>
          </w:p>
        </w:tc>
      </w:tr>
      <w:tr>
        <w:tc>
          <w:tcPr>
            <w:tcW w:type="dxa" w:w="1234"/>
          </w:tcPr>
          <w:p>
            <w:r>
              <w:rPr>
                <w:sz w:val="18"/>
              </w:rPr>
              <w:t>Free Cash Flow</w:t>
            </w:r>
          </w:p>
        </w:tc>
        <w:tc>
          <w:tcPr>
            <w:tcW w:type="dxa" w:w="1234"/>
          </w:tcPr>
          <w:p>
            <w:r>
              <w:rPr>
                <w:sz w:val="18"/>
              </w:rPr>
              <w:t>$15.6</w:t>
            </w:r>
          </w:p>
        </w:tc>
        <w:tc>
          <w:tcPr>
            <w:tcW w:type="dxa" w:w="1234"/>
          </w:tcPr>
          <w:p>
            <w:r>
              <w:rPr>
                <w:sz w:val="18"/>
              </w:rPr>
              <w:t>$75.2</w:t>
            </w:r>
          </w:p>
        </w:tc>
        <w:tc>
          <w:tcPr>
            <w:tcW w:type="dxa" w:w="1234"/>
          </w:tcPr>
          <w:p>
            <w:r>
              <w:rPr>
                <w:sz w:val="18"/>
              </w:rPr>
              <w:t>$33.3</w:t>
            </w:r>
          </w:p>
        </w:tc>
        <w:tc>
          <w:tcPr>
            <w:tcW w:type="dxa" w:w="1234"/>
          </w:tcPr>
          <w:p>
            <w:r>
              <w:rPr>
                <w:sz w:val="18"/>
              </w:rPr>
              <w:t>$57.5</w:t>
            </w:r>
          </w:p>
        </w:tc>
        <w:tc>
          <w:tcPr>
            <w:tcW w:type="dxa" w:w="1234"/>
          </w:tcPr>
          <w:p>
            <w:r>
              <w:rPr>
                <w:sz w:val="18"/>
              </w:rPr>
              <w:t>$76.9</w:t>
            </w:r>
          </w:p>
        </w:tc>
        <w:tc>
          <w:tcPr>
            <w:tcW w:type="dxa" w:w="1234"/>
          </w:tcPr>
          <w:p>
            <w:r>
              <w:rPr>
                <w:sz w:val="18"/>
              </w:rPr>
              <w:t>$70.1</w:t>
            </w:r>
          </w:p>
        </w:tc>
      </w:tr>
      <w:tr>
        <w:tc>
          <w:tcPr>
            <w:tcW w:type="dxa" w:w="1234"/>
          </w:tcPr>
          <w:p>
            <w:r>
              <w:rPr>
                <w:sz w:val="18"/>
              </w:rPr>
              <w:t>$100K+ ARR Customers</w:t>
            </w:r>
          </w:p>
        </w:tc>
        <w:tc>
          <w:tcPr>
            <w:tcW w:type="dxa" w:w="1234"/>
          </w:tcPr>
          <w:p>
            <w:r>
              <w:rPr>
                <w:sz w:val="18"/>
              </w:rPr>
              <w:t>2,085</w:t>
            </w:r>
          </w:p>
        </w:tc>
        <w:tc>
          <w:tcPr>
            <w:tcW w:type="dxa" w:w="1234"/>
          </w:tcPr>
          <w:p>
            <w:r>
              <w:rPr>
                <w:sz w:val="18"/>
              </w:rPr>
              <w:t>2,246</w:t>
            </w:r>
          </w:p>
        </w:tc>
        <w:tc>
          <w:tcPr>
            <w:tcW w:type="dxa" w:w="1234"/>
          </w:tcPr>
          <w:p>
            <w:r>
              <w:rPr>
                <w:sz w:val="18"/>
              </w:rPr>
              <w:t>2,381</w:t>
            </w:r>
          </w:p>
        </w:tc>
        <w:tc>
          <w:tcPr>
            <w:tcW w:type="dxa" w:w="1234"/>
          </w:tcPr>
          <w:p>
            <w:r>
              <w:rPr>
                <w:sz w:val="18"/>
              </w:rPr>
              <w:t>2,505</w:t>
            </w:r>
          </w:p>
        </w:tc>
        <w:tc>
          <w:tcPr>
            <w:tcW w:type="dxa" w:w="1234"/>
          </w:tcPr>
          <w:p>
            <w:r>
              <w:rPr>
                <w:sz w:val="18"/>
              </w:rPr>
              <w:t>2,638</w:t>
            </w:r>
          </w:p>
        </w:tc>
        <w:tc>
          <w:tcPr>
            <w:tcW w:type="dxa" w:w="1234"/>
          </w:tcPr>
          <w:p>
            <w:r>
              <w:rPr>
                <w:sz w:val="18"/>
              </w:rPr>
              <w:t>2,805</w:t>
            </w:r>
          </w:p>
        </w:tc>
      </w:tr>
      <w:tr>
        <w:tc>
          <w:tcPr>
            <w:tcW w:type="dxa" w:w="1234"/>
          </w:tcPr>
          <w:p>
            <w:r>
              <w:rPr>
                <w:sz w:val="18"/>
              </w:rPr>
              <w:t>GAAP Net Loss/Share</w:t>
            </w:r>
          </w:p>
        </w:tc>
        <w:tc>
          <w:tcPr>
            <w:tcW w:type="dxa" w:w="1234"/>
          </w:tcPr>
          <w:p>
            <w:r>
              <w:rPr>
                <w:sz w:val="18"/>
              </w:rPr>
              <w:t>($0.71)</w:t>
            </w:r>
          </w:p>
        </w:tc>
        <w:tc>
          <w:tcPr>
            <w:tcW w:type="dxa" w:w="1234"/>
          </w:tcPr>
          <w:p>
            <w:r>
              <w:rPr>
                <w:sz w:val="18"/>
              </w:rPr>
              <w:t>($0.61)</w:t>
            </w:r>
          </w:p>
        </w:tc>
        <w:tc>
          <w:tcPr>
            <w:tcW w:type="dxa" w:w="1234"/>
          </w:tcPr>
          <w:p>
            <w:r>
              <w:rPr>
                <w:sz w:val="18"/>
              </w:rPr>
              <w:t>($0.53)</w:t>
            </w:r>
          </w:p>
        </w:tc>
        <w:tc>
          <w:tcPr>
            <w:tcW w:type="dxa" w:w="1234"/>
          </w:tcPr>
          <w:p>
            <w:r>
              <w:rPr>
                <w:sz w:val="18"/>
              </w:rPr>
              <w:t>($0.49)</w:t>
            </w:r>
          </w:p>
        </w:tc>
        <w:tc>
          <w:tcPr>
            <w:tcW w:type="dxa" w:w="1234"/>
          </w:tcPr>
          <w:p>
            <w:r>
              <w:rPr>
                <w:sz w:val="18"/>
              </w:rPr>
              <w:t>($0.32)</w:t>
            </w:r>
          </w:p>
        </w:tc>
        <w:tc>
          <w:tcPr>
            <w:tcW w:type="dxa" w:w="1234"/>
          </w:tcPr>
          <w:p>
            <w:r>
              <w:rPr>
                <w:sz w:val="18"/>
              </w:rPr>
              <w:t>($0.43)</w:t>
            </w:r>
          </w:p>
        </w:tc>
      </w:tr>
    </w:tbl>
    <w:p/>
    <w:p>
      <w:pPr>
        <w:pStyle w:val="IntenseQuote"/>
      </w:pPr>
      <w:r>
        <w:t>Note: Q4 FY2026 revenue of $377.7M includes $18M in material rights revenue. Revenue excluding material rights grew 43% YoY. Subscription NRR remained above 120%.</w:t>
      </w:r>
    </w:p>
    <w:p>
      <w:pPr>
        <w:pStyle w:val="Heading1"/>
      </w:pPr>
      <w:r>
        <w:t>3. Guidance Analysis</w:t>
      </w:r>
    </w:p>
    <w:p>
      <w:pPr>
        <w:pStyle w:val="Heading2"/>
      </w:pPr>
      <w:r>
        <w:t>Q1 FY2027 Guidance</w:t>
      </w:r>
    </w:p>
    <w:p>
      <w:r>
        <w:t>Revenue: $365-$367 million (midpoint $366M), implying ~31-32% YoY growth (or 36-37% normalized for material rights). This compares favorably to the Street consensus of $349.5M pre-report. Non-GAAP EPS: -$0.04 to -$0.02 (midpoint -$0.01), vs. consensus of -$0.07 to -$0.23. ARR contribution margin guided at 10-11%. The sequential revenue decline from Q4 ($378M) to Q1 guidance ($366M) is typical seasonality (Q4 is seasonally strongest).</w:t>
      </w:r>
    </w:p>
    <w:p>
      <w:pPr>
        <w:pStyle w:val="Heading2"/>
      </w:pPr>
      <w:r>
        <w:t>Full Year FY2027 Guidance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FY2026 Actual</w:t>
            </w:r>
          </w:p>
        </w:tc>
        <w:tc>
          <w:tcPr>
            <w:tcW w:type="dxa" w:w="2160"/>
          </w:tcPr>
          <w:p>
            <w:r>
              <w:rPr>
                <w:b/>
                <w:sz w:val="18"/>
              </w:rPr>
              <w:t>FY2027 Guidance (Midpoint)</w:t>
            </w:r>
          </w:p>
        </w:tc>
        <w:tc>
          <w:tcPr>
            <w:tcW w:type="dxa" w:w="2160"/>
          </w:tcPr>
          <w:p>
            <w:r>
              <w:rPr>
                <w:b/>
                <w:sz w:val="18"/>
              </w:rPr>
              <w:t>Implied YoY Growth</w:t>
            </w:r>
          </w:p>
        </w:tc>
      </w:tr>
      <w:tr>
        <w:tc>
          <w:tcPr>
            <w:tcW w:type="dxa" w:w="2160"/>
          </w:tcPr>
          <w:p>
            <w:r>
              <w:rPr>
                <w:sz w:val="18"/>
              </w:rPr>
              <w:t>Total Revenue</w:t>
            </w:r>
          </w:p>
        </w:tc>
        <w:tc>
          <w:tcPr>
            <w:tcW w:type="dxa" w:w="2160"/>
          </w:tcPr>
          <w:p>
            <w:r>
              <w:rPr>
                <w:sz w:val="18"/>
              </w:rPr>
              <w:t>$1,319M</w:t>
            </w:r>
          </w:p>
        </w:tc>
        <w:tc>
          <w:tcPr>
            <w:tcW w:type="dxa" w:w="2160"/>
          </w:tcPr>
          <w:p>
            <w:r>
              <w:rPr>
                <w:sz w:val="18"/>
              </w:rPr>
              <w:t>$1,602M</w:t>
            </w:r>
          </w:p>
        </w:tc>
        <w:tc>
          <w:tcPr>
            <w:tcW w:type="dxa" w:w="2160"/>
          </w:tcPr>
          <w:p>
            <w:r>
              <w:rPr>
                <w:sz w:val="18"/>
              </w:rPr>
              <w:t>~21%</w:t>
            </w:r>
          </w:p>
        </w:tc>
      </w:tr>
      <w:tr>
        <w:tc>
          <w:tcPr>
            <w:tcW w:type="dxa" w:w="2160"/>
          </w:tcPr>
          <w:p>
            <w:r>
              <w:rPr>
                <w:sz w:val="18"/>
              </w:rPr>
              <w:t>Subscription ARR</w:t>
            </w:r>
          </w:p>
        </w:tc>
        <w:tc>
          <w:tcPr>
            <w:tcW w:type="dxa" w:w="2160"/>
          </w:tcPr>
          <w:p>
            <w:r>
              <w:rPr>
                <w:sz w:val="18"/>
              </w:rPr>
              <w:t>$1,460M</w:t>
            </w:r>
          </w:p>
        </w:tc>
        <w:tc>
          <w:tcPr>
            <w:tcW w:type="dxa" w:w="2160"/>
          </w:tcPr>
          <w:p>
            <w:r>
              <w:rPr>
                <w:sz w:val="18"/>
              </w:rPr>
              <w:t>$1,834M</w:t>
            </w:r>
          </w:p>
        </w:tc>
        <w:tc>
          <w:tcPr>
            <w:tcW w:type="dxa" w:w="2160"/>
          </w:tcPr>
          <w:p>
            <w:r>
              <w:rPr>
                <w:sz w:val="18"/>
              </w:rPr>
              <w:t>~26%</w:t>
            </w:r>
          </w:p>
        </w:tc>
      </w:tr>
      <w:tr>
        <w:tc>
          <w:tcPr>
            <w:tcW w:type="dxa" w:w="2160"/>
          </w:tcPr>
          <w:p>
            <w:r>
              <w:rPr>
                <w:sz w:val="18"/>
              </w:rPr>
              <w:t>Non-GAAP EPS</w:t>
            </w:r>
          </w:p>
        </w:tc>
        <w:tc>
          <w:tcPr>
            <w:tcW w:type="dxa" w:w="2160"/>
          </w:tcPr>
          <w:p>
            <w:r>
              <w:rPr>
                <w:sz w:val="18"/>
              </w:rPr>
              <w:t>($0.01)</w:t>
            </w:r>
          </w:p>
        </w:tc>
        <w:tc>
          <w:tcPr>
            <w:tcW w:type="dxa" w:w="2160"/>
          </w:tcPr>
          <w:p>
            <w:r>
              <w:rPr>
                <w:sz w:val="18"/>
              </w:rPr>
              <w:t>$0.17</w:t>
            </w:r>
          </w:p>
        </w:tc>
        <w:tc>
          <w:tcPr>
            <w:tcW w:type="dxa" w:w="2160"/>
          </w:tcPr>
          <w:p>
            <w:r>
              <w:rPr>
                <w:sz w:val="18"/>
              </w:rPr>
              <w:t>Profitable</w:t>
            </w:r>
          </w:p>
        </w:tc>
      </w:tr>
      <w:tr>
        <w:tc>
          <w:tcPr>
            <w:tcW w:type="dxa" w:w="2160"/>
          </w:tcPr>
          <w:p>
            <w:r>
              <w:rPr>
                <w:sz w:val="18"/>
              </w:rPr>
              <w:t>Free Cash Flow</w:t>
            </w:r>
          </w:p>
        </w:tc>
        <w:tc>
          <w:tcPr>
            <w:tcW w:type="dxa" w:w="2160"/>
          </w:tcPr>
          <w:p>
            <w:r>
              <w:rPr>
                <w:sz w:val="18"/>
              </w:rPr>
              <w:t>$237.8M</w:t>
            </w:r>
          </w:p>
        </w:tc>
        <w:tc>
          <w:tcPr>
            <w:tcW w:type="dxa" w:w="2160"/>
          </w:tcPr>
          <w:p>
            <w:r>
              <w:rPr>
                <w:sz w:val="18"/>
              </w:rPr>
              <w:t>$270M</w:t>
            </w:r>
          </w:p>
        </w:tc>
        <w:tc>
          <w:tcPr>
            <w:tcW w:type="dxa" w:w="2160"/>
          </w:tcPr>
          <w:p>
            <w:r>
              <w:rPr>
                <w:sz w:val="18"/>
              </w:rPr>
              <w:t>~14%</w:t>
            </w:r>
          </w:p>
        </w:tc>
      </w:tr>
      <w:tr>
        <w:tc>
          <w:tcPr>
            <w:tcW w:type="dxa" w:w="2160"/>
          </w:tcPr>
          <w:p>
            <w:r>
              <w:rPr>
                <w:sz w:val="18"/>
              </w:rPr>
              <w:t>ARR Contribution Margin</w:t>
            </w:r>
          </w:p>
        </w:tc>
        <w:tc>
          <w:tcPr>
            <w:tcW w:type="dxa" w:w="2160"/>
          </w:tcPr>
          <w:p>
            <w:r>
              <w:rPr>
                <w:sz w:val="18"/>
              </w:rPr>
              <w:t>~9.5%</w:t>
            </w:r>
          </w:p>
        </w:tc>
        <w:tc>
          <w:tcPr>
            <w:tcW w:type="dxa" w:w="2160"/>
          </w:tcPr>
          <w:p>
            <w:r>
              <w:rPr>
                <w:sz w:val="18"/>
              </w:rPr>
              <w:t>~13%</w:t>
            </w:r>
          </w:p>
        </w:tc>
        <w:tc>
          <w:tcPr>
            <w:tcW w:type="dxa" w:w="2160"/>
          </w:tcPr>
          <w:p>
            <w:r>
              <w:rPr>
                <w:sz w:val="18"/>
              </w:rPr>
              <w:t>+350bps</w:t>
            </w:r>
          </w:p>
        </w:tc>
      </w:tr>
    </w:tbl>
    <w:p/>
    <w:p>
      <w:r>
        <w:t>The implied FY2027 revenue growth deceleration to ~21% (from 48% in FY2026) reflects the law of large numbers and lapping of material rights tailwinds. However, management noted that normalized revenue growth (excluding material rights) is expected to be ~25-26%, which is more representative of the underlying business momentum. ARR growth guidance of ~26% implies continued healthy net new ARR additions. The FY2027 free cash flow guidance midpoint of $270M represents a ~17% FCF margin on revenue — a remarkable achievement for a company still growing 20%+.</w:t>
      </w:r>
    </w:p>
    <w:p>
      <w:pPr>
        <w:pStyle w:val="Heading1"/>
      </w:pPr>
      <w:r>
        <w:t>4. Revenue &amp; ARR Deep Dive</w:t>
      </w:r>
    </w:p>
    <w:p>
      <w:r>
        <w:t>Subscription ARR Trajectory: Rubrik's subscription ARR growth has moderated from 39% (Q4 FY25) to 34% (Q4 FY26), but this is expected at scale — the company is adding more absolute ARR dollars than ever. The $115M in net new subscription ARR in Q4 FY26 was a company record, up from the previous record in Q3. On an absolute basis, net new ARR has accelerated for three consecutive quarters.</w:t>
      </w:r>
    </w:p>
    <w:p>
      <w:r>
        <w:t>Cloud ARR Dominance: Cloud ARR surged 48% YoY to $1.29 billion, now representing 88% of total subscription ARR. This is up from ~80% a year ago, confirming the multi-year cloud transition is nearing completion. The higher cloud mix is a structural positive for margins and stickiness.</w:t>
      </w:r>
    </w:p>
    <w:p>
      <w:r>
        <w:t>Customer Expansion: Customers with $100K+ in subscription ARR reached 2,805, up 25% YoY. These large customers account for 87% of total subscription ARR. Net retention rate (NRR) remained above 120%, driven by cross-sell of cloud, identity, and AI modules. The combination of strong new logo acquisition and healthy expansion creates a durable growth engine.</w:t>
      </w:r>
    </w:p>
    <w:p>
      <w:r>
        <w:t>Material Rights Impact: Q4 revenue included $18M from material rights (contractual entitlements that convert to recognized revenue). Management guided for diminishing material rights tailwinds in FY2027, which partially explains the reported revenue growth deceleration. Normalized for this, the underlying business growth rate is more consistent at ~25-26%.</w:t>
      </w:r>
    </w:p>
    <w:p>
      <w:pPr>
        <w:pStyle w:val="Heading1"/>
      </w:pPr>
      <w:r>
        <w:t>5. Profitability Analysis</w:t>
      </w:r>
    </w:p>
    <w:p>
      <w:r>
        <w:t>Rubrik reached a critical inflection point in FY2026, with non-GAAP EPS turning positive for the first time in Q3 FY2026 ($0.10) before dipping to $0.04 in Q4 due to seasonal cost loading. The full-year FY2026 non-GAAP loss was only -$0.01 per share, a dramatic improvement from -$1.57 in FY2025.</w:t>
      </w:r>
    </w:p>
    <w:p>
      <w:pPr>
        <w:pStyle w:val="Heading2"/>
      </w:pPr>
      <w:r>
        <w:t>Margin Progression</w:t>
      </w:r>
    </w:p>
    <w:p>
      <w:r>
        <w:t>Non-GAAP Gross Margin: Expanded 400bps YoY to 83.7% in Q4 FY26 (FY26: 82.3% vs 78.0% in FY25). The gross margin expansion reflects the shift to higher-margin cloud/SaaS delivery, improved infrastructure utilization, and economies of scale.</w:t>
      </w:r>
    </w:p>
    <w:p>
      <w:r>
        <w:t>ARR Contribution Margin: Improved to 11.6% in Q4 (from 2.1% a year ago and 10.3% in Q3). This is the key metric management uses to measure operating leverage. The 950bps YoY improvement demonstrates that Rubrik is efficiently converting ARR growth into operating profit.</w:t>
      </w:r>
    </w:p>
    <w:p>
      <w:r>
        <w:t>Operating Margin: GAAP operating loss narrowed significantly, with stock-based compensation declining as a percentage of revenue (SBC was $329M in FY26 vs $914M in FY25).</w:t>
      </w:r>
    </w:p>
    <w:p>
      <w:pPr>
        <w:pStyle w:val="Heading2"/>
      </w:pPr>
      <w:r>
        <w:t>Rule of 40 Assessment</w:t>
      </w:r>
    </w:p>
    <w:p>
      <w:r>
        <w:t>FY2026 Rule of 40: Revenue growth (48%) + FCF margin (~18%) = ~66. This is well above the Rule of 40 threshold and positions Rubrik among the best-performing enterprise software companies by this metric. Even using the FY2027 guidance deceleration: ~21% growth + ~17% FCF margin = ~38, which is right at the Rule of 40 threshold (or ~43 using normalized ~25% growth).</w:t>
      </w:r>
    </w:p>
    <w:p>
      <w:pPr>
        <w:pStyle w:val="Heading1"/>
      </w:pPr>
      <w:r>
        <w:t>6. Cash Flow Analysis</w:t>
      </w:r>
    </w:p>
    <w:p>
      <w:r>
        <w:t>Cash flow generation has been a standout story at Rubrik. Full-year FY2026 free cash flow was $237.8 million, up &gt;10x from $21.6 million in FY2025. On a quarterly basis:</w:t>
      </w:r>
    </w:p>
    <w:p>
      <w:pPr>
        <w:pStyle w:val="ListBullet"/>
      </w:pPr>
      <w:r>
        <w:t>Q1 FY26: $33.3M FCF (12% margin)</w:t>
      </w:r>
    </w:p>
    <w:p>
      <w:pPr>
        <w:pStyle w:val="ListBullet"/>
      </w:pPr>
      <w:r>
        <w:t>Q2 FY26: $57.5M FCF (19% margin)</w:t>
      </w:r>
    </w:p>
    <w:p>
      <w:pPr>
        <w:pStyle w:val="ListBullet"/>
      </w:pPr>
      <w:r>
        <w:t>Q3 FY26: $76.9M FCF (22% margin)</w:t>
      </w:r>
    </w:p>
    <w:p>
      <w:pPr>
        <w:pStyle w:val="ListBullet"/>
      </w:pPr>
      <w:r>
        <w:t>Q4 FY26: $70.1M FCF (19% margin)</w:t>
      </w:r>
    </w:p>
    <w:p>
      <w:r>
        <w:t>The Q4 FCF decline QoQ (from $76.9M to $70.1M) was modest and reflects typical Q4 seasonality in billings patterns. Importantly, Q4 operating cash flow was $93.0M. Capital expenditures remain modest given the SaaS model. Cash, cash equivalents, and short-term investments stood at $1.68 billion as of January 31, 2026, providing substantial financial flexibility. The FY2027 FCF guidance of $265-$275M implies continued strong cash conversion and a ~17% FCF margin.</w:t>
      </w:r>
    </w:p>
    <w:p>
      <w:pPr>
        <w:pStyle w:val="Heading1"/>
      </w:pPr>
      <w:r>
        <w:t>7. Product &amp; Strategy Highlights</w:t>
      </w:r>
    </w:p>
    <w:p>
      <w:pPr>
        <w:pStyle w:val="Heading2"/>
      </w:pPr>
      <w:r>
        <w:t>Cyber Resilience — The Core</w:t>
      </w:r>
    </w:p>
    <w:p>
      <w:r>
        <w:t>Rubrik continues to lead in the converging backup/data protection and cybersecurity market. CEO Bipul Sinha described Rubrik as evolving from data security to "mission control for the AI enterprise." The company's Zero Trust Data Security platform remains the foundation, offering immutable backups, anomaly detection, and automated recovery across on-prem, cloud, and SaaS workloads.</w:t>
      </w:r>
    </w:p>
    <w:p>
      <w:pPr>
        <w:pStyle w:val="Heading2"/>
      </w:pPr>
      <w:r>
        <w:t>Agentic AI — The Next Frontier</w:t>
      </w:r>
    </w:p>
    <w:p>
      <w:r>
        <w:t>Rubrik is positioning aggressively at the intersection of data protection and AI:</w:t>
      </w:r>
    </w:p>
    <w:p>
      <w:pPr>
        <w:pStyle w:val="ListBullet"/>
      </w:pPr>
      <w:r>
        <w:t>Rubrik Agent Cloud (RAC): GA in Q4, designed to manage risk and accelerate enterprise AI agent adoption. Integrates with Amazon Bedrock AgentCore and Microsoft Copilot Studio for unified visibility, governance, and surgical rollback across AI agents.</w:t>
      </w:r>
    </w:p>
    <w:p>
      <w:pPr>
        <w:pStyle w:val="ListBullet"/>
      </w:pPr>
      <w:r>
        <w:t>Agent Rewind (launched Q2): Enables organizations to undo mistakes made by agentic AI — a novel capability with no real competition.</w:t>
      </w:r>
    </w:p>
    <w:p>
      <w:pPr>
        <w:pStyle w:val="ListBullet"/>
      </w:pPr>
      <w:r>
        <w:t>Predibase Acquisition: Closed in Q2 FY26, bolstering Rubrik's AI fine-tuning and inference stack.</w:t>
      </w:r>
    </w:p>
    <w:p>
      <w:r>
        <w:t>These initiatives position Rubrik uniquely as enterprises grapple with governing and securing AI agents that can take autonomous actions across enterprise systems.</w:t>
      </w:r>
    </w:p>
    <w:p>
      <w:pPr>
        <w:pStyle w:val="Heading2"/>
      </w:pPr>
      <w:r>
        <w:t>Key Product Launches</w:t>
      </w:r>
    </w:p>
    <w:p>
      <w:pPr>
        <w:pStyle w:val="ListBullet"/>
      </w:pPr>
      <w:r>
        <w:t>Security Cloud Sovereign — Data sovereignty controls for regulated environments</w:t>
      </w:r>
    </w:p>
    <w:p>
      <w:pPr>
        <w:pStyle w:val="ListBullet"/>
      </w:pPr>
      <w:r>
        <w:t>Intelligent Business Recovery for Microsoft 365 — Automated M365 recovery</w:t>
      </w:r>
    </w:p>
    <w:p>
      <w:pPr>
        <w:pStyle w:val="ListBullet"/>
      </w:pPr>
      <w:r>
        <w:t>DevOps Protection — Azure DevOps and GitHub pipeline protection</w:t>
      </w:r>
    </w:p>
    <w:p>
      <w:pPr>
        <w:pStyle w:val="ListBullet"/>
      </w:pPr>
      <w:r>
        <w:t>Okta Recovery — Identity provider backup/recovery (extends AD &amp; Entra ID)</w:t>
      </w:r>
    </w:p>
    <w:p>
      <w:pPr>
        <w:pStyle w:val="ListBullet"/>
      </w:pPr>
      <w:r>
        <w:t>CrowdStrike Integration — Enhanced identity security with Falcon</w:t>
      </w:r>
    </w:p>
    <w:p>
      <w:pPr>
        <w:pStyle w:val="Heading2"/>
      </w:pPr>
      <w:r>
        <w:t>Go-to-Market</w:t>
      </w:r>
    </w:p>
    <w:p>
      <w:r>
        <w:t>Jesse Green was promoted to CRO to lead global revenue. The McLaren Racing partnership enhances brand visibility. CXO Visionaries community targets C-level engagement. Partnerships with Deloitte, NTT Data, Rackspace, and Cognizant expand the channel ecosystem.</w:t>
      </w:r>
    </w:p>
    <w:p>
      <w:pPr>
        <w:pStyle w:val="Heading1"/>
      </w:pPr>
      <w:r>
        <w:t>8. Competitive Landscape</w:t>
      </w:r>
    </w:p>
    <w:p>
      <w:r>
        <w:t>The data protection and cyber resilience market is consolidating around four major vendors. Rubrik's competitive positioning remains strong: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r>
          </w:p>
        </w:tc>
        <w:tc>
          <w:tcPr>
            <w:tcW w:type="dxa" w:w="1728"/>
          </w:tcPr>
          <w:p>
            <w:r>
              <w:rPr>
                <w:b/>
                <w:sz w:val="16"/>
              </w:rPr>
              <w:t>Rubrik</w:t>
            </w:r>
          </w:p>
        </w:tc>
        <w:tc>
          <w:tcPr>
            <w:tcW w:type="dxa" w:w="1728"/>
          </w:tcPr>
          <w:p>
            <w:r>
              <w:rPr>
                <w:b/>
                <w:sz w:val="16"/>
              </w:rPr>
              <w:t>Cohesity-Veritas</w:t>
            </w:r>
          </w:p>
        </w:tc>
        <w:tc>
          <w:tcPr>
            <w:tcW w:type="dxa" w:w="1728"/>
          </w:tcPr>
          <w:p>
            <w:r>
              <w:rPr>
                <w:b/>
                <w:sz w:val="16"/>
              </w:rPr>
              <w:t>Commvault</w:t>
            </w:r>
          </w:p>
        </w:tc>
        <w:tc>
          <w:tcPr>
            <w:tcW w:type="dxa" w:w="1728"/>
          </w:tcPr>
          <w:p>
            <w:r>
              <w:rPr>
                <w:b/>
                <w:sz w:val="16"/>
              </w:rPr>
              <w:t>Veeam</w:t>
            </w:r>
          </w:p>
        </w:tc>
      </w:tr>
      <w:tr>
        <w:tc>
          <w:tcPr>
            <w:tcW w:type="dxa" w:w="1728"/>
          </w:tcPr>
          <w:p>
            <w:r>
              <w:rPr>
                <w:sz w:val="16"/>
              </w:rPr>
              <w:t>Market Position</w:t>
            </w:r>
          </w:p>
        </w:tc>
        <w:tc>
          <w:tcPr>
            <w:tcW w:type="dxa" w:w="1728"/>
          </w:tcPr>
          <w:p>
            <w:r>
              <w:rPr>
                <w:sz w:val="16"/>
              </w:rPr>
              <w:t>Fastest grower; Gartner MQ Leader (6th yr)</w:t>
            </w:r>
          </w:p>
        </w:tc>
        <w:tc>
          <w:tcPr>
            <w:tcW w:type="dxa" w:w="1728"/>
          </w:tcPr>
          <w:p>
            <w:r>
              <w:rPr>
                <w:sz w:val="16"/>
              </w:rPr>
              <w:t>Largest share (~20%); Integrating Veritas</w:t>
            </w:r>
          </w:p>
        </w:tc>
        <w:tc>
          <w:tcPr>
            <w:tcW w:type="dxa" w:w="1728"/>
          </w:tcPr>
          <w:p>
            <w:r>
              <w:rPr>
                <w:sz w:val="16"/>
              </w:rPr>
              <w:t>MQ Leader (14th yr); SaaS transition</w:t>
            </w:r>
          </w:p>
        </w:tc>
        <w:tc>
          <w:tcPr>
            <w:tcW w:type="dxa" w:w="1728"/>
          </w:tcPr>
          <w:p>
            <w:r>
              <w:rPr>
                <w:sz w:val="16"/>
              </w:rPr>
              <w:t>#2 share (~15%); SMB/mid-market leader</w:t>
            </w:r>
          </w:p>
        </w:tc>
      </w:tr>
      <w:tr>
        <w:tc>
          <w:tcPr>
            <w:tcW w:type="dxa" w:w="1728"/>
          </w:tcPr>
          <w:p>
            <w:r>
              <w:rPr>
                <w:sz w:val="16"/>
              </w:rPr>
              <w:t>Revenue Scale</w:t>
            </w:r>
          </w:p>
        </w:tc>
        <w:tc>
          <w:tcPr>
            <w:tcW w:type="dxa" w:w="1728"/>
          </w:tcPr>
          <w:p>
            <w:r>
              <w:rPr>
                <w:sz w:val="16"/>
              </w:rPr>
              <w:t>$1.32B FY26 (+48% YoY)</w:t>
            </w:r>
          </w:p>
        </w:tc>
        <w:tc>
          <w:tcPr>
            <w:tcW w:type="dxa" w:w="1728"/>
          </w:tcPr>
          <w:p>
            <w:r>
              <w:rPr>
                <w:sz w:val="16"/>
              </w:rPr>
              <w:t>~$2B+ combined (private)</w:t>
            </w:r>
          </w:p>
        </w:tc>
        <w:tc>
          <w:tcPr>
            <w:tcW w:type="dxa" w:w="1728"/>
          </w:tcPr>
          <w:p>
            <w:r>
              <w:rPr>
                <w:sz w:val="16"/>
              </w:rPr>
              <w:t>$1.15B FY26E (+19% YoY)</w:t>
            </w:r>
          </w:p>
        </w:tc>
        <w:tc>
          <w:tcPr>
            <w:tcW w:type="dxa" w:w="1728"/>
          </w:tcPr>
          <w:p>
            <w:r>
              <w:rPr>
                <w:sz w:val="16"/>
              </w:rPr>
              <w:t>~$1.5B+ ARR (private)</w:t>
            </w:r>
          </w:p>
        </w:tc>
      </w:tr>
      <w:tr>
        <w:tc>
          <w:tcPr>
            <w:tcW w:type="dxa" w:w="1728"/>
          </w:tcPr>
          <w:p>
            <w:r>
              <w:rPr>
                <w:sz w:val="16"/>
              </w:rPr>
              <w:t>Growth Rate</w:t>
            </w:r>
          </w:p>
        </w:tc>
        <w:tc>
          <w:tcPr>
            <w:tcW w:type="dxa" w:w="1728"/>
          </w:tcPr>
          <w:p>
            <w:r>
              <w:rPr>
                <w:sz w:val="16"/>
              </w:rPr>
              <w:t>46% Q4 rev; 34% ARR</w:t>
            </w:r>
          </w:p>
        </w:tc>
        <w:tc>
          <w:tcPr>
            <w:tcW w:type="dxa" w:w="1728"/>
          </w:tcPr>
          <w:p>
            <w:r>
              <w:rPr>
                <w:sz w:val="16"/>
              </w:rPr>
              <w:t>Integration; unclear</w:t>
            </w:r>
          </w:p>
        </w:tc>
        <w:tc>
          <w:tcPr>
            <w:tcW w:type="dxa" w:w="1728"/>
          </w:tcPr>
          <w:p>
            <w:r>
              <w:rPr>
                <w:sz w:val="16"/>
              </w:rPr>
              <w:t>19% rev; 22% ARR</w:t>
            </w:r>
          </w:p>
        </w:tc>
        <w:tc>
          <w:tcPr>
            <w:tcW w:type="dxa" w:w="1728"/>
          </w:tcPr>
          <w:p>
            <w:r>
              <w:rPr>
                <w:sz w:val="16"/>
              </w:rPr>
              <w:t>Mid-teens estimate</w:t>
            </w:r>
          </w:p>
        </w:tc>
      </w:tr>
      <w:tr>
        <w:tc>
          <w:tcPr>
            <w:tcW w:type="dxa" w:w="1728"/>
          </w:tcPr>
          <w:p>
            <w:r>
              <w:rPr>
                <w:sz w:val="16"/>
              </w:rPr>
              <w:t>Differentiator</w:t>
            </w:r>
          </w:p>
        </w:tc>
        <w:tc>
          <w:tcPr>
            <w:tcW w:type="dxa" w:w="1728"/>
          </w:tcPr>
          <w:p>
            <w:r>
              <w:rPr>
                <w:sz w:val="16"/>
              </w:rPr>
              <w:t>Zero Trust; AI/Agent Cloud; Pure cloud</w:t>
            </w:r>
          </w:p>
        </w:tc>
        <w:tc>
          <w:tcPr>
            <w:tcW w:type="dxa" w:w="1728"/>
          </w:tcPr>
          <w:p>
            <w:r>
              <w:rPr>
                <w:sz w:val="16"/>
              </w:rPr>
              <w:t>Scale from Veritas portfolio</w:t>
            </w:r>
          </w:p>
        </w:tc>
        <w:tc>
          <w:tcPr>
            <w:tcW w:type="dxa" w:w="1728"/>
          </w:tcPr>
          <w:p>
            <w:r>
              <w:rPr>
                <w:sz w:val="16"/>
              </w:rPr>
              <w:t>Cloud Rewind; Metallic AI</w:t>
            </w:r>
          </w:p>
        </w:tc>
        <w:tc>
          <w:tcPr>
            <w:tcW w:type="dxa" w:w="1728"/>
          </w:tcPr>
          <w:p>
            <w:r>
              <w:rPr>
                <w:sz w:val="16"/>
              </w:rPr>
              <w:t>Simplicity; Pricing</w:t>
            </w:r>
          </w:p>
        </w:tc>
      </w:tr>
      <w:tr>
        <w:tc>
          <w:tcPr>
            <w:tcW w:type="dxa" w:w="1728"/>
          </w:tcPr>
          <w:p>
            <w:r>
              <w:rPr>
                <w:sz w:val="16"/>
              </w:rPr>
              <w:t>AI Strategy</w:t>
            </w:r>
          </w:p>
        </w:tc>
        <w:tc>
          <w:tcPr>
            <w:tcW w:type="dxa" w:w="1728"/>
          </w:tcPr>
          <w:p>
            <w:r>
              <w:rPr>
                <w:sz w:val="16"/>
              </w:rPr>
              <w:t>Agent Cloud/Rewind; Predibase</w:t>
            </w:r>
          </w:p>
        </w:tc>
        <w:tc>
          <w:tcPr>
            <w:tcW w:type="dxa" w:w="1728"/>
          </w:tcPr>
          <w:p>
            <w:r>
              <w:rPr>
                <w:sz w:val="16"/>
              </w:rPr>
              <w:t>Turing AI; Gaia</w:t>
            </w:r>
          </w:p>
        </w:tc>
        <w:tc>
          <w:tcPr>
            <w:tcW w:type="dxa" w:w="1728"/>
          </w:tcPr>
          <w:p>
            <w:r>
              <w:rPr>
                <w:sz w:val="16"/>
              </w:rPr>
              <w:t>Metallic AI; Arlie</w:t>
            </w:r>
          </w:p>
        </w:tc>
        <w:tc>
          <w:tcPr>
            <w:tcW w:type="dxa" w:w="1728"/>
          </w:tcPr>
          <w:p>
            <w:r>
              <w:rPr>
                <w:sz w:val="16"/>
              </w:rPr>
              <w:t>AI monitoring</w:t>
            </w:r>
          </w:p>
        </w:tc>
      </w:tr>
      <w:tr>
        <w:tc>
          <w:tcPr>
            <w:tcW w:type="dxa" w:w="1728"/>
          </w:tcPr>
          <w:p>
            <w:r>
              <w:rPr>
                <w:sz w:val="16"/>
              </w:rPr>
              <w:t>Cloud Mix</w:t>
            </w:r>
          </w:p>
        </w:tc>
        <w:tc>
          <w:tcPr>
            <w:tcW w:type="dxa" w:w="1728"/>
          </w:tcPr>
          <w:p>
            <w:r>
              <w:rPr>
                <w:sz w:val="16"/>
              </w:rPr>
              <w:t>88% cloud ARR</w:t>
            </w:r>
          </w:p>
        </w:tc>
        <w:tc>
          <w:tcPr>
            <w:tcW w:type="dxa" w:w="1728"/>
          </w:tcPr>
          <w:p>
            <w:r>
              <w:rPr>
                <w:sz w:val="16"/>
              </w:rPr>
              <w:t>Mixed legacy/cloud</w:t>
            </w:r>
          </w:p>
        </w:tc>
        <w:tc>
          <w:tcPr>
            <w:tcW w:type="dxa" w:w="1728"/>
          </w:tcPr>
          <w:p>
            <w:r>
              <w:rPr>
                <w:sz w:val="16"/>
              </w:rPr>
              <w:t>SaaS accelerating</w:t>
            </w:r>
          </w:p>
        </w:tc>
        <w:tc>
          <w:tcPr>
            <w:tcW w:type="dxa" w:w="1728"/>
          </w:tcPr>
          <w:p>
            <w:r>
              <w:rPr>
                <w:sz w:val="16"/>
              </w:rPr>
              <w:t>Hybrid; VBaaS</w:t>
            </w:r>
          </w:p>
        </w:tc>
      </w:tr>
    </w:tbl>
    <w:p/>
    <w:p>
      <w:r>
        <w:t>Rubrik is clearly the growth leader in this space, growing 2-3x faster than Commvault (the closest public comparable) and significantly faster than the combined Cohesity-Veritas entity. The Cohesity-Veritas merger creates a formidable competitor by scale, but integration risk remains high. Commvault's SaaS transition is progressing but at a slower pace. Veeam remains strong in the SMB/mid-market but lacks Rubrik's enterprise cyber resilience positioning.</w:t>
      </w:r>
    </w:p>
    <w:p>
      <w:pPr>
        <w:pStyle w:val="Heading1"/>
      </w:pPr>
      <w:r>
        <w:t>9. Valuation</w:t>
      </w:r>
    </w:p>
    <w:p>
      <w:r>
        <w:t>Current Trading (as of March 14, 2026):</w:t>
      </w:r>
    </w:p>
    <w:p>
      <w:pPr>
        <w:pStyle w:val="ListBullet"/>
      </w:pPr>
      <w:r>
        <w:t>Stock Price: ~$53.08 (down from 52-week high of $103.00)</w:t>
      </w:r>
    </w:p>
    <w:p>
      <w:pPr>
        <w:pStyle w:val="ListBullet"/>
      </w:pPr>
      <w:r>
        <w:t>Market Cap: ~$10.7 billion (based on ~200M shares outstanding)</w:t>
      </w:r>
    </w:p>
    <w:p>
      <w:pPr>
        <w:pStyle w:val="ListBullet"/>
      </w:pPr>
      <w:r>
        <w:t>Enterprise Value: ~$9.0 billion (net cash of ~$1.68B)</w:t>
      </w:r>
    </w:p>
    <w:p>
      <w:pPr>
        <w:pStyle w:val="ListBullet"/>
      </w:pPr>
      <w:r>
        <w:t>52-Week Range: $46.36 - $103.00</w:t>
      </w:r>
    </w:p>
    <w:p>
      <w:pPr>
        <w:pStyle w:val="ListBullet"/>
      </w:pPr>
      <w:r>
        <w:t>Down ~48% from highs, reflecting broader software multiple compression</w:t>
      </w:r>
    </w:p>
    <w:p>
      <w:pPr>
        <w:pStyle w:val="Heading2"/>
      </w:pPr>
      <w:r>
        <w:t>Valuation Multiples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Multiple</w:t>
            </w:r>
          </w:p>
        </w:tc>
        <w:tc>
          <w:tcPr>
            <w:tcW w:type="dxa" w:w="2160"/>
          </w:tcPr>
          <w:p>
            <w:r>
              <w:rPr>
                <w:b/>
                <w:sz w:val="18"/>
              </w:rPr>
              <w:t>Current (FY27E)</w:t>
            </w:r>
          </w:p>
        </w:tc>
        <w:tc>
          <w:tcPr>
            <w:tcW w:type="dxa" w:w="2160"/>
          </w:tcPr>
          <w:p>
            <w:r>
              <w:rPr>
                <w:b/>
                <w:sz w:val="18"/>
              </w:rPr>
              <w:t>Historical Range</w:t>
            </w:r>
          </w:p>
        </w:tc>
        <w:tc>
          <w:tcPr>
            <w:tcW w:type="dxa" w:w="2160"/>
          </w:tcPr>
          <w:p>
            <w:r>
              <w:rPr>
                <w:b/>
                <w:sz w:val="18"/>
              </w:rPr>
              <w:t>Comment</w:t>
            </w:r>
          </w:p>
        </w:tc>
      </w:tr>
      <w:tr>
        <w:tc>
          <w:tcPr>
            <w:tcW w:type="dxa" w:w="2160"/>
          </w:tcPr>
          <w:p>
            <w:r>
              <w:rPr>
                <w:sz w:val="18"/>
              </w:rPr>
              <w:t>EV/Revenue (NTM)</w:t>
            </w:r>
          </w:p>
        </w:tc>
        <w:tc>
          <w:tcPr>
            <w:tcW w:type="dxa" w:w="2160"/>
          </w:tcPr>
          <w:p>
            <w:r>
              <w:rPr>
                <w:sz w:val="18"/>
              </w:rPr>
              <w:t>~5.6x</w:t>
            </w:r>
          </w:p>
        </w:tc>
        <w:tc>
          <w:tcPr>
            <w:tcW w:type="dxa" w:w="2160"/>
          </w:tcPr>
          <w:p>
            <w:r>
              <w:rPr>
                <w:sz w:val="18"/>
              </w:rPr>
              <w:t>7x-14x</w:t>
            </w:r>
          </w:p>
        </w:tc>
        <w:tc>
          <w:tcPr>
            <w:tcW w:type="dxa" w:w="2160"/>
          </w:tcPr>
          <w:p>
            <w:r>
              <w:rPr>
                <w:sz w:val="18"/>
              </w:rPr>
              <w:t>Below historical average</w:t>
            </w:r>
          </w:p>
        </w:tc>
      </w:tr>
      <w:tr>
        <w:tc>
          <w:tcPr>
            <w:tcW w:type="dxa" w:w="2160"/>
          </w:tcPr>
          <w:p>
            <w:r>
              <w:rPr>
                <w:sz w:val="18"/>
              </w:rPr>
              <w:t>EV/ARR (NTM)</w:t>
            </w:r>
          </w:p>
        </w:tc>
        <w:tc>
          <w:tcPr>
            <w:tcW w:type="dxa" w:w="2160"/>
          </w:tcPr>
          <w:p>
            <w:r>
              <w:rPr>
                <w:sz w:val="18"/>
              </w:rPr>
              <w:t>~4.9x</w:t>
            </w:r>
          </w:p>
        </w:tc>
        <w:tc>
          <w:tcPr>
            <w:tcW w:type="dxa" w:w="2160"/>
          </w:tcPr>
          <w:p>
            <w:r>
              <w:rPr>
                <w:sz w:val="18"/>
              </w:rPr>
              <w:t>6x-12x</w:t>
            </w:r>
          </w:p>
        </w:tc>
        <w:tc>
          <w:tcPr>
            <w:tcW w:type="dxa" w:w="2160"/>
          </w:tcPr>
          <w:p>
            <w:r>
              <w:rPr>
                <w:sz w:val="18"/>
              </w:rPr>
              <w:t>Attractive for 26% grower</w:t>
            </w:r>
          </w:p>
        </w:tc>
      </w:tr>
      <w:tr>
        <w:tc>
          <w:tcPr>
            <w:tcW w:type="dxa" w:w="2160"/>
          </w:tcPr>
          <w:p>
            <w:r>
              <w:rPr>
                <w:sz w:val="18"/>
              </w:rPr>
              <w:t>EV/FCF (FY27E)</w:t>
            </w:r>
          </w:p>
        </w:tc>
        <w:tc>
          <w:tcPr>
            <w:tcW w:type="dxa" w:w="2160"/>
          </w:tcPr>
          <w:p>
            <w:r>
              <w:rPr>
                <w:sz w:val="18"/>
              </w:rPr>
              <w:t>~33x</w:t>
            </w:r>
          </w:p>
        </w:tc>
        <w:tc>
          <w:tcPr>
            <w:tcW w:type="dxa" w:w="2160"/>
          </w:tcPr>
          <w:p>
            <w:r>
              <w:rPr>
                <w:sz w:val="18"/>
              </w:rPr>
              <w:t>40x-100x+</w:t>
            </w:r>
          </w:p>
        </w:tc>
        <w:tc>
          <w:tcPr>
            <w:tcW w:type="dxa" w:w="2160"/>
          </w:tcPr>
          <w:p>
            <w:r>
              <w:rPr>
                <w:sz w:val="18"/>
              </w:rPr>
              <w:t>Reasonable given growth</w:t>
            </w:r>
          </w:p>
        </w:tc>
      </w:tr>
      <w:tr>
        <w:tc>
          <w:tcPr>
            <w:tcW w:type="dxa" w:w="2160"/>
          </w:tcPr>
          <w:p>
            <w:r>
              <w:rPr>
                <w:sz w:val="18"/>
              </w:rPr>
              <w:t>Price/Sales (NTM)</w:t>
            </w:r>
          </w:p>
        </w:tc>
        <w:tc>
          <w:tcPr>
            <w:tcW w:type="dxa" w:w="2160"/>
          </w:tcPr>
          <w:p>
            <w:r>
              <w:rPr>
                <w:sz w:val="18"/>
              </w:rPr>
              <w:t>~6.7x</w:t>
            </w:r>
          </w:p>
        </w:tc>
        <w:tc>
          <w:tcPr>
            <w:tcW w:type="dxa" w:w="2160"/>
          </w:tcPr>
          <w:p>
            <w:r>
              <w:rPr>
                <w:sz w:val="18"/>
              </w:rPr>
              <w:t>8x-16x</w:t>
            </w:r>
          </w:p>
        </w:tc>
        <w:tc>
          <w:tcPr>
            <w:tcW w:type="dxa" w:w="2160"/>
          </w:tcPr>
          <w:p>
            <w:r>
              <w:rPr>
                <w:sz w:val="18"/>
              </w:rPr>
              <w:t>Compressed with sector</w:t>
            </w:r>
          </w:p>
        </w:tc>
      </w:tr>
    </w:tbl>
    <w:p/>
    <w:p>
      <w:r>
        <w:t>At ~5.6x EV/NTM revenue and ~4.9x EV/NTM ARR, Rubrik is trading near the low end of its historical range and at a meaningful discount to high-growth software peers. For context, companies growing ARR 25%+ with expanding margins and strong FCF conversion typically trade at 8-12x EV/ARR. The current discount reflects: (1) broader macro/tariff uncertainty weighing on software multiples, (2) the perceived ARR growth deceleration, and (3) general risk-off in recent IPOs. We believe the risk/reward is compelling at these levels.</w:t>
      </w:r>
    </w:p>
    <w:p>
      <w:pPr>
        <w:pStyle w:val="Heading2"/>
      </w:pPr>
      <w:r>
        <w:t>Peer Comparison (Approximate)</w:t>
      </w:r>
    </w:p>
    <w:p>
      <w:r>
        <w:t>Commvault (CVLT): ~5.5x EV/Revenue, ~19% revenue growth — Rubrik trades at a slight premium for 2x+ the growth rate. CrowdStrike (CRWD): ~15x EV/Revenue, ~25% growth — premium for pure-play security positioning. Zscaler (ZS): ~10x EV/Revenue, ~25% growth — similar growth, higher multiple. Rubrik's valuation discount to security peers reflects its data protection roots, but the cyber resilience repositioning should narrow this gap over time.</w:t>
      </w:r>
    </w:p>
    <w:p>
      <w:pPr>
        <w:pStyle w:val="Heading1"/>
      </w:pPr>
      <w:r>
        <w:t>10. Key Risks &amp; Concerns</w:t>
      </w:r>
    </w:p>
    <w:p>
      <w:r>
        <w:rPr>
          <w:b/>
        </w:rPr>
        <w:t xml:space="preserve">ARR Growth Deceleration: </w:t>
      </w:r>
      <w:r>
        <w:t>ARR growth has decelerated from 39% to 34% over the past year. While absolute net new ARR is accelerating, the percentage growth rate deceleration could pressure the multiple if it continues below 30%.</w:t>
      </w:r>
    </w:p>
    <w:p>
      <w:r>
        <w:rPr>
          <w:b/>
        </w:rPr>
        <w:t xml:space="preserve">Material Rights Revenue Cliff: </w:t>
      </w:r>
      <w:r>
        <w:t>Material rights contributed $18M in Q4 and have been a significant tailwind. As these phase out, reported revenue growth will compress further, potentially creating negative optics even if underlying growth is healthy.</w:t>
      </w:r>
    </w:p>
    <w:p>
      <w:r>
        <w:rPr>
          <w:b/>
        </w:rPr>
        <w:t xml:space="preserve">Stock-Based Compensation: </w:t>
      </w:r>
      <w:r>
        <w:t>While declining as a % of revenue, SBC remains elevated at $329M in FY26 (25% of revenue). GAAP profitability remains distant.</w:t>
      </w:r>
    </w:p>
    <w:p>
      <w:r>
        <w:rPr>
          <w:b/>
        </w:rPr>
        <w:t xml:space="preserve">Competitive Intensity: </w:t>
      </w:r>
      <w:r>
        <w:t>Cohesity-Veritas creates a well-resourced competitor at scale. CrowdStrike and Palo Alto Networks are expanding into adjacent data security markets.</w:t>
      </w:r>
    </w:p>
    <w:p>
      <w:r>
        <w:rPr>
          <w:b/>
        </w:rPr>
        <w:t xml:space="preserve">Macro/IT Spending: </w:t>
      </w:r>
      <w:r>
        <w:t>Enterprise IT budget scrutiny and potential tariff impacts could slow deal cycles, particularly for large transformational projects.</w:t>
      </w:r>
    </w:p>
    <w:p>
      <w:r>
        <w:rPr>
          <w:b/>
        </w:rPr>
        <w:t xml:space="preserve">Valuation Re-rating Risk: </w:t>
      </w:r>
      <w:r>
        <w:t>The stock has already de-rated significantly, but further software multiple compression in a risk-off environment could pressure shares.</w:t>
      </w:r>
    </w:p>
    <w:p>
      <w:r>
        <w:rPr>
          <w:b/>
        </w:rPr>
        <w:t xml:space="preserve">Lock-up/Insider Selling: </w:t>
      </w:r>
      <w:r>
        <w:t>As a relatively recent IPO (April 2025), potential insider selling could create technical pressure.</w:t>
      </w:r>
    </w:p>
    <w:p>
      <w:pPr>
        <w:pStyle w:val="Heading1"/>
      </w:pPr>
      <w:r>
        <w:t>11. Analyst Ratings Summary</w:t>
      </w:r>
    </w:p>
    <w:p>
      <w:r>
        <w:t>Post-Q4 FY2026 earnings, the consensus remains Moderate Buy with a mean price target of $93.68 (representing ~76% upside from current levels). Notable analyst actions post-earnings: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Firm</w:t>
            </w:r>
          </w:p>
        </w:tc>
        <w:tc>
          <w:tcPr>
            <w:tcW w:type="dxa" w:w="2160"/>
          </w:tcPr>
          <w:p>
            <w:r>
              <w:rPr>
                <w:b/>
                <w:sz w:val="18"/>
              </w:rPr>
              <w:t>Rating</w:t>
            </w:r>
          </w:p>
        </w:tc>
        <w:tc>
          <w:tcPr>
            <w:tcW w:type="dxa" w:w="2160"/>
          </w:tcPr>
          <w:p>
            <w:r>
              <w:rPr>
                <w:b/>
                <w:sz w:val="18"/>
              </w:rPr>
              <w:t>Price Target</w:t>
            </w:r>
          </w:p>
        </w:tc>
        <w:tc>
          <w:tcPr>
            <w:tcW w:type="dxa" w:w="2160"/>
          </w:tcPr>
          <w:p>
            <w:r>
              <w:rPr>
                <w:b/>
                <w:sz w:val="18"/>
              </w:rPr>
              <w:t>Change</w:t>
            </w:r>
          </w:p>
        </w:tc>
      </w:tr>
      <w:tr>
        <w:tc>
          <w:tcPr>
            <w:tcW w:type="dxa" w:w="2160"/>
          </w:tcPr>
          <w:p>
            <w:r>
              <w:rPr>
                <w:sz w:val="18"/>
              </w:rPr>
              <w:t>Goldman Sachs</w:t>
            </w:r>
          </w:p>
        </w:tc>
        <w:tc>
          <w:tcPr>
            <w:tcW w:type="dxa" w:w="2160"/>
          </w:tcPr>
          <w:p>
            <w:r>
              <w:rPr>
                <w:sz w:val="18"/>
              </w:rPr>
              <w:t>Buy</w:t>
            </w:r>
          </w:p>
        </w:tc>
        <w:tc>
          <w:tcPr>
            <w:tcW w:type="dxa" w:w="2160"/>
          </w:tcPr>
          <w:p>
            <w:r>
              <w:rPr>
                <w:sz w:val="18"/>
              </w:rPr>
              <w:t>$82</w:t>
            </w:r>
          </w:p>
        </w:tc>
        <w:tc>
          <w:tcPr>
            <w:tcW w:type="dxa" w:w="2160"/>
          </w:tcPr>
          <w:p>
            <w:r>
              <w:rPr>
                <w:sz w:val="18"/>
              </w:rPr>
              <w:t>Raised</w:t>
            </w:r>
          </w:p>
        </w:tc>
      </w:tr>
      <w:tr>
        <w:tc>
          <w:tcPr>
            <w:tcW w:type="dxa" w:w="2160"/>
          </w:tcPr>
          <w:p>
            <w:r>
              <w:rPr>
                <w:sz w:val="18"/>
              </w:rPr>
              <w:t>Wells Fargo</w:t>
            </w:r>
          </w:p>
        </w:tc>
        <w:tc>
          <w:tcPr>
            <w:tcW w:type="dxa" w:w="2160"/>
          </w:tcPr>
          <w:p>
            <w:r>
              <w:rPr>
                <w:sz w:val="18"/>
              </w:rPr>
              <w:t>Overweight</w:t>
            </w:r>
          </w:p>
        </w:tc>
        <w:tc>
          <w:tcPr>
            <w:tcW w:type="dxa" w:w="2160"/>
          </w:tcPr>
          <w:p>
            <w:r>
              <w:rPr>
                <w:sz w:val="18"/>
              </w:rPr>
              <w:t>$90</w:t>
            </w:r>
          </w:p>
        </w:tc>
        <w:tc>
          <w:tcPr>
            <w:tcW w:type="dxa" w:w="2160"/>
          </w:tcPr>
          <w:p>
            <w:r>
              <w:rPr>
                <w:sz w:val="18"/>
              </w:rPr>
              <w:t>Cut from $125</w:t>
            </w:r>
          </w:p>
        </w:tc>
      </w:tr>
      <w:tr>
        <w:tc>
          <w:tcPr>
            <w:tcW w:type="dxa" w:w="2160"/>
          </w:tcPr>
          <w:p>
            <w:r>
              <w:rPr>
                <w:sz w:val="18"/>
              </w:rPr>
              <w:t>Rosenblatt</w:t>
            </w:r>
          </w:p>
        </w:tc>
        <w:tc>
          <w:tcPr>
            <w:tcW w:type="dxa" w:w="2160"/>
          </w:tcPr>
          <w:p>
            <w:r>
              <w:rPr>
                <w:sz w:val="18"/>
              </w:rPr>
              <w:t>Buy</w:t>
            </w:r>
          </w:p>
        </w:tc>
        <w:tc>
          <w:tcPr>
            <w:tcW w:type="dxa" w:w="2160"/>
          </w:tcPr>
          <w:p>
            <w:r>
              <w:rPr>
                <w:sz w:val="18"/>
              </w:rPr>
              <w:t>$95</w:t>
            </w:r>
          </w:p>
        </w:tc>
        <w:tc>
          <w:tcPr>
            <w:tcW w:type="dxa" w:w="2160"/>
          </w:tcPr>
          <w:p>
            <w:r>
              <w:rPr>
                <w:sz w:val="18"/>
              </w:rPr>
              <w:t>Cut from $120</w:t>
            </w:r>
          </w:p>
        </w:tc>
      </w:tr>
      <w:tr>
        <w:tc>
          <w:tcPr>
            <w:tcW w:type="dxa" w:w="2160"/>
          </w:tcPr>
          <w:p>
            <w:r>
              <w:rPr>
                <w:sz w:val="18"/>
              </w:rPr>
              <w:t>Cantor Fitzgerald</w:t>
            </w:r>
          </w:p>
        </w:tc>
        <w:tc>
          <w:tcPr>
            <w:tcW w:type="dxa" w:w="2160"/>
          </w:tcPr>
          <w:p>
            <w:r>
              <w:rPr>
                <w:sz w:val="18"/>
              </w:rPr>
              <w:t>Overweight</w:t>
            </w:r>
          </w:p>
        </w:tc>
        <w:tc>
          <w:tcPr>
            <w:tcW w:type="dxa" w:w="2160"/>
          </w:tcPr>
          <w:p>
            <w:r>
              <w:rPr>
                <w:sz w:val="18"/>
              </w:rPr>
              <w:t>$85</w:t>
            </w:r>
          </w:p>
        </w:tc>
        <w:tc>
          <w:tcPr>
            <w:tcW w:type="dxa" w:w="2160"/>
          </w:tcPr>
          <w:p>
            <w:r>
              <w:rPr>
                <w:sz w:val="18"/>
              </w:rPr>
              <w:t>Cut from $105</w:t>
            </w:r>
          </w:p>
        </w:tc>
      </w:tr>
      <w:tr>
        <w:tc>
          <w:tcPr>
            <w:tcW w:type="dxa" w:w="2160"/>
          </w:tcPr>
          <w:p>
            <w:r>
              <w:rPr>
                <w:sz w:val="18"/>
              </w:rPr>
              <w:t>Wedbush</w:t>
            </w:r>
          </w:p>
        </w:tc>
        <w:tc>
          <w:tcPr>
            <w:tcW w:type="dxa" w:w="2160"/>
          </w:tcPr>
          <w:p>
            <w:r>
              <w:rPr>
                <w:sz w:val="18"/>
              </w:rPr>
              <w:t>Outperform</w:t>
            </w:r>
          </w:p>
        </w:tc>
        <w:tc>
          <w:tcPr>
            <w:tcW w:type="dxa" w:w="2160"/>
          </w:tcPr>
          <w:p>
            <w:r>
              <w:rPr>
                <w:sz w:val="18"/>
              </w:rPr>
              <w:t>$90</w:t>
            </w:r>
          </w:p>
        </w:tc>
        <w:tc>
          <w:tcPr>
            <w:tcW w:type="dxa" w:w="2160"/>
          </w:tcPr>
          <w:p>
            <w:r>
              <w:rPr>
                <w:sz w:val="18"/>
              </w:rPr>
              <w:t>Cut from prior</w:t>
            </w:r>
          </w:p>
        </w:tc>
      </w:tr>
      <w:tr>
        <w:tc>
          <w:tcPr>
            <w:tcW w:type="dxa" w:w="2160"/>
          </w:tcPr>
          <w:p>
            <w:r>
              <w:rPr>
                <w:sz w:val="18"/>
              </w:rPr>
              <w:t>BMO Capital</w:t>
            </w:r>
          </w:p>
        </w:tc>
        <w:tc>
          <w:tcPr>
            <w:tcW w:type="dxa" w:w="2160"/>
          </w:tcPr>
          <w:p>
            <w:r>
              <w:rPr>
                <w:sz w:val="18"/>
              </w:rPr>
              <w:t>Outperform</w:t>
            </w:r>
          </w:p>
        </w:tc>
        <w:tc>
          <w:tcPr>
            <w:tcW w:type="dxa" w:w="2160"/>
          </w:tcPr>
          <w:p>
            <w:r>
              <w:rPr>
                <w:sz w:val="18"/>
              </w:rPr>
              <w:t>$70</w:t>
            </w:r>
          </w:p>
        </w:tc>
        <w:tc>
          <w:tcPr>
            <w:tcW w:type="dxa" w:w="2160"/>
          </w:tcPr>
          <w:p>
            <w:r>
              <w:rPr>
                <w:sz w:val="18"/>
              </w:rPr>
              <w:t>Cut from $105</w:t>
            </w:r>
          </w:p>
        </w:tc>
      </w:tr>
      <w:tr>
        <w:tc>
          <w:tcPr>
            <w:tcW w:type="dxa" w:w="2160"/>
          </w:tcPr>
          <w:p>
            <w:r>
              <w:rPr>
                <w:sz w:val="18"/>
              </w:rPr>
              <w:t>DA Davidson</w:t>
            </w:r>
          </w:p>
        </w:tc>
        <w:tc>
          <w:tcPr>
            <w:tcW w:type="dxa" w:w="2160"/>
          </w:tcPr>
          <w:p>
            <w:r>
              <w:rPr>
                <w:sz w:val="18"/>
              </w:rPr>
              <w:t>Buy</w:t>
            </w:r>
          </w:p>
        </w:tc>
        <w:tc>
          <w:tcPr>
            <w:tcW w:type="dxa" w:w="2160"/>
          </w:tcPr>
          <w:p>
            <w:r>
              <w:rPr>
                <w:sz w:val="18"/>
              </w:rPr>
              <w:t>$70</w:t>
            </w:r>
          </w:p>
        </w:tc>
        <w:tc>
          <w:tcPr>
            <w:tcW w:type="dxa" w:w="2160"/>
          </w:tcPr>
          <w:p>
            <w:r>
              <w:rPr>
                <w:sz w:val="18"/>
              </w:rPr>
              <w:t>Raised from $65</w:t>
            </w:r>
          </w:p>
        </w:tc>
      </w:tr>
    </w:tbl>
    <w:p/>
    <w:p>
      <w:r>
        <w:t>The broad theme among analysts is that Q4 results were strong across the board, but target price reductions reflect the wider software multiple compression rather than fundamental concerns. Most analysts maintain bullish ratings and see the current share price as disconnected from fundamentals. Key bull case arguments: leading cyber resilience platform, AI opportunity, margin expansion. Key bear case arguments: ARR growth deceleration, rich valuation relative to near-term profitability.</w:t>
      </w:r>
    </w:p>
    <w:p/>
    <w:p>
      <w:r>
        <w:t>————————————————————————————————————————</w:t>
      </w:r>
    </w:p>
    <w:p>
      <w:pPr>
        <w:pStyle w:val="IntenseQuote"/>
      </w:pPr>
      <w:r>
        <w:t>Disclaimer: This report is prepared for informational purposes only and does not constitute investment advice. All data sourced from Rubrik press releases, SEC filings, and publicly available analyst reports as of March 15, 2026. Generated by Jarvis — AI assistant to Eric Brown.</w:t>
      </w:r>
    </w:p>
    <w:p>
      <w:pPr>
        <w:pStyle w:val="Heading2"/>
      </w:pPr>
      <w:r>
        <w:t>Sources</w:t>
      </w:r>
    </w:p>
    <w:p>
      <w:pPr>
        <w:pStyle w:val="ListBullet"/>
      </w:pPr>
      <w:r>
        <w:t>Rubrik Q4 FY2026 Press Release (March 12, 2026) — ir.rubrik.com</w:t>
      </w:r>
    </w:p>
    <w:p>
      <w:pPr>
        <w:pStyle w:val="ListBullet"/>
      </w:pPr>
      <w:r>
        <w:t>Rubrik Q3 FY2026 Press Release (December 4, 2025) — rubrik.com</w:t>
      </w:r>
    </w:p>
    <w:p>
      <w:pPr>
        <w:pStyle w:val="ListBullet"/>
      </w:pPr>
      <w:r>
        <w:t>Rubrik Q2 FY2026 Press Release (September 9, 2025) — rubrik.com</w:t>
      </w:r>
    </w:p>
    <w:p>
      <w:pPr>
        <w:pStyle w:val="ListBullet"/>
      </w:pPr>
      <w:r>
        <w:t>Rubrik Q1 FY2026 Press Release (June 5, 2025) — rubrik.com</w:t>
      </w:r>
    </w:p>
    <w:p>
      <w:pPr>
        <w:pStyle w:val="ListBullet"/>
      </w:pPr>
      <w:r>
        <w:t>Rubrik Q4 FY2025 Press Release (March 13, 2025) — ir.rubrik.com</w:t>
      </w:r>
    </w:p>
    <w:p>
      <w:pPr>
        <w:pStyle w:val="ListBullet"/>
      </w:pPr>
      <w:r>
        <w:t>MarketBeat — Analyst Ratings &amp; Price Targets (marketbeat.com)</w:t>
      </w:r>
    </w:p>
    <w:p>
      <w:pPr>
        <w:pStyle w:val="ListBullet"/>
      </w:pPr>
      <w:r>
        <w:t>Investing.com — Analyst reports (Goldman Sachs, BMO, Rosenblatt, Cantor, DA Davidson)</w:t>
      </w:r>
    </w:p>
    <w:p>
      <w:pPr>
        <w:pStyle w:val="ListBullet"/>
      </w:pPr>
      <w:r>
        <w:t>WallStreetZen — Market cap and share data</w:t>
      </w:r>
    </w:p>
    <w:p>
      <w:pPr>
        <w:pStyle w:val="ListBullet"/>
      </w:pPr>
      <w:r>
        <w:t>Blocks and Files — Data protection market share analysis (Feb 2025)</w:t>
      </w:r>
    </w:p>
    <w:p>
      <w:pPr>
        <w:pStyle w:val="ListBullet"/>
      </w:pPr>
      <w:r>
        <w:t>Commvault Q3 FY2026 Results — stocktitan.net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