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Zscaler Inc. (ZS)</w:t>
      </w:r>
    </w:p>
    <w:p>
      <w:pPr>
        <w:jc w:val="center"/>
      </w:pPr>
      <w:r>
        <w:rPr>
          <w:color w:val="0070C0"/>
          <w:sz w:val="28"/>
        </w:rPr>
        <w:t>Q2 FY2026 Earnings Analysis</w:t>
      </w:r>
    </w:p>
    <w:p>
      <w:pPr>
        <w:jc w:val="center"/>
      </w:pPr>
      <w:r>
        <w:rPr>
          <w:i/>
          <w:sz w:val="22"/>
        </w:rPr>
        <w:t>Report Date: February 27, 2026</w:t>
      </w:r>
    </w:p>
    <w:p/>
    <w:p>
      <w:pPr>
        <w:pStyle w:val="Heading1"/>
      </w:pPr>
      <w:r>
        <w:t>Executive Summary</w:t>
      </w:r>
    </w:p>
    <w:p>
      <w:r>
        <w:t>Zscaler reported strong Q2 FY2026 results on February 26, 2026, beating consensus estimates on both revenue and EPS. The company demonstrated continued momentum in the zero-trust security market with 26% YoY revenue growth and 25% ARR growth. Management raised full-year ARR guidance to 24%, reflecting confidence in sustained demand for cloud-native security solutions.</w:t>
      </w:r>
    </w:p>
    <w:p>
      <w:r>
        <w:rPr>
          <w:b/>
        </w:rPr>
        <w:t>Key Highlights:</w:t>
      </w:r>
    </w:p>
    <w:p>
      <w:pPr>
        <w:pStyle w:val="ListBullet"/>
      </w:pPr>
      <w:r>
        <w:t>• Revenue: .8M (+26% YoY), beating consensus of M</w:t>
      </w:r>
    </w:p>
    <w:p>
      <w:pPr>
        <w:pStyle w:val="ListBullet"/>
      </w:pPr>
      <w:r>
        <w:t>• Adjusted EPS: .01 vs. /bin/zsh.89 expected (+13% beat)</w:t>
      </w:r>
    </w:p>
    <w:p>
      <w:pPr>
        <w:pStyle w:val="ListBullet"/>
      </w:pPr>
      <w:r>
        <w:t>• ARR: ,359M (+25% YoY)</w:t>
      </w:r>
    </w:p>
    <w:p>
      <w:pPr>
        <w:pStyle w:val="ListBullet"/>
      </w:pPr>
      <w:r>
        <w:t>• Operating Margin: 22%+ (non-GAAP, expanding YoY)</w:t>
      </w:r>
    </w:p>
    <w:p>
      <w:pPr>
        <w:pStyle w:val="ListBullet"/>
      </w:pPr>
      <w:r>
        <w:t>• Raised FY2026 ARR guidance to 24% growth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