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color w:val="2E75B6"/>
          <w:sz w:val="24"/>
        </w:rPr>
        <w:t>CONFIDENTIAL</w:t>
      </w:r>
    </w:p>
    <w:p/>
    <w:p>
      <w:pPr>
        <w:jc w:val="center"/>
      </w:pPr>
      <w:r>
        <w:rPr>
          <w:rFonts w:ascii="Calibri" w:hAnsi="Calibri"/>
          <w:b/>
          <w:color w:val="0B1D3A"/>
          <w:sz w:val="56"/>
        </w:rPr>
        <w:t>Merger &amp; Acquisition Analysis</w:t>
      </w:r>
    </w:p>
    <w:p>
      <w:pPr>
        <w:jc w:val="center"/>
      </w:pPr>
      <w:r>
        <w:rPr>
          <w:rFonts w:ascii="Calibri" w:hAnsi="Calibri"/>
          <w:color w:val="1A3C6E"/>
          <w:sz w:val="36"/>
        </w:rPr>
        <w:t>Cohesity Acquisition of Commvault Systems</w:t>
      </w:r>
    </w:p>
    <w:p/>
    <w:p>
      <w:pPr>
        <w:jc w:val="center"/>
      </w:pPr>
      <w:r>
        <w:rPr>
          <w:color w:val="2E75B6"/>
          <w:sz w:val="20"/>
        </w:rPr>
        <w:t>━━━━━━━━━━━━━━━━━━━━━━━━━━━━━━━━━━━━━━━━━━━━━━━━━━━━━━━━━━━━</w:t>
      </w:r>
    </w:p>
    <w:p/>
    <w:p>
      <w:pPr>
        <w:jc w:val="center"/>
      </w:pPr>
      <w:r>
        <w:rPr>
          <w:rFonts w:ascii="Calibri" w:hAnsi="Calibri"/>
          <w:color w:val="666666"/>
          <w:sz w:val="28"/>
        </w:rPr>
        <w:t>March 2026</w:t>
      </w:r>
    </w:p>
    <w:p/>
    <w:p>
      <w:pPr>
        <w:jc w:val="center"/>
      </w:pPr>
      <w:r>
        <w:rPr>
          <w:rFonts w:ascii="Calibri" w:hAnsi="Calibri"/>
          <w:i/>
          <w:color w:val="666666"/>
          <w:sz w:val="20"/>
        </w:rPr>
        <w:t>Prepared for Discussion Purposes Only</w:t>
      </w:r>
    </w:p>
    <w:p>
      <w:r>
        <w:br w:type="page"/>
      </w:r>
    </w:p>
    <w:p>
      <w:pPr>
        <w:pStyle w:val="Heading1"/>
      </w:pPr>
      <w:r>
        <w:rPr>
          <w:rFonts w:ascii="Calibri" w:hAnsi="Calibri"/>
          <w:color w:val="0B1D3A"/>
        </w:rPr>
        <w:t>Table of Contents</w:t>
      </w:r>
    </w:p>
    <w:p/>
    <w:p>
      <w:r>
        <w:rPr>
          <w:rFonts w:ascii="Calibri" w:hAnsi="Calibri"/>
          <w:color w:val="0B1D3A"/>
          <w:sz w:val="24"/>
        </w:rPr>
        <w:t>1.  Executive Summary</w:t>
      </w:r>
    </w:p>
    <w:p>
      <w:r>
        <w:rPr>
          <w:rFonts w:ascii="Calibri" w:hAnsi="Calibri"/>
          <w:color w:val="0B1D3A"/>
          <w:sz w:val="24"/>
        </w:rPr>
        <w:t>2.  Company Profiles</w:t>
      </w:r>
    </w:p>
    <w:p>
      <w:r>
        <w:rPr>
          <w:rFonts w:ascii="Calibri" w:hAnsi="Calibri"/>
          <w:color w:val="0B1D3A"/>
          <w:sz w:val="24"/>
        </w:rPr>
        <w:t>3.  Purchase Price Analysis</w:t>
      </w:r>
    </w:p>
    <w:p>
      <w:r>
        <w:rPr>
          <w:rFonts w:ascii="Calibri" w:hAnsi="Calibri"/>
          <w:color w:val="0B1D3A"/>
          <w:sz w:val="24"/>
        </w:rPr>
        <w:t>4.  Deal Structure &amp; Financing</w:t>
      </w:r>
    </w:p>
    <w:p>
      <w:r>
        <w:rPr>
          <w:rFonts w:ascii="Calibri" w:hAnsi="Calibri"/>
          <w:color w:val="0B1D3A"/>
          <w:sz w:val="24"/>
        </w:rPr>
        <w:t>5.  Cost Synergies</w:t>
      </w:r>
    </w:p>
    <w:p>
      <w:r>
        <w:rPr>
          <w:rFonts w:ascii="Calibri" w:hAnsi="Calibri"/>
          <w:color w:val="0B1D3A"/>
          <w:sz w:val="24"/>
        </w:rPr>
        <w:t>6.  Comparable Transactions</w:t>
      </w:r>
    </w:p>
    <w:p>
      <w:r>
        <w:rPr>
          <w:rFonts w:ascii="Calibri" w:hAnsi="Calibri"/>
          <w:color w:val="0B1D3A"/>
          <w:sz w:val="24"/>
        </w:rPr>
        <w:t>7.  Strategic Rationale</w:t>
      </w:r>
    </w:p>
    <w:p>
      <w:r>
        <w:rPr>
          <w:rFonts w:ascii="Calibri" w:hAnsi="Calibri"/>
          <w:color w:val="0B1D3A"/>
          <w:sz w:val="24"/>
        </w:rPr>
        <w:t>8.  Key Risks</w:t>
      </w:r>
    </w:p>
    <w:p>
      <w:r>
        <w:rPr>
          <w:rFonts w:ascii="Calibri" w:hAnsi="Calibri"/>
          <w:color w:val="0B1D3A"/>
          <w:sz w:val="24"/>
        </w:rPr>
        <w:t>9.  Disclaimer</w:t>
      </w:r>
    </w:p>
    <w:p>
      <w:r>
        <w:br w:type="page"/>
      </w:r>
    </w:p>
    <w:p>
      <w:pPr>
        <w:pStyle w:val="Heading1"/>
      </w:pPr>
      <w:r>
        <w:rPr>
          <w:rFonts w:ascii="Calibri" w:hAnsi="Calibri"/>
          <w:color w:val="0B1D3A"/>
        </w:rPr>
        <w:t>1. Executive Summary</w:t>
      </w:r>
    </w:p>
    <w:p>
      <w:r>
        <w:rPr>
          <w:rFonts w:ascii="Calibri" w:hAnsi="Calibri"/>
          <w:b w:val="0"/>
          <w:color w:val="333333"/>
          <w:sz w:val="21"/>
        </w:rPr>
        <w:t>This analysis evaluates a potential acquisition of Commvault Systems, Inc. (NASDAQ: CVLT) by Cohesity, Inc. The proposed transaction would create the undisputed #1 data protection platform globally with pro-forma revenue exceeding $2.8 billion.</w:t>
      </w:r>
    </w:p>
    <w:p>
      <w:r>
        <w:rPr>
          <w:rFonts w:ascii="Calibri" w:hAnsi="Calibri"/>
          <w:b w:val="0"/>
          <w:color w:val="333333"/>
          <w:sz w:val="21"/>
        </w:rPr>
        <w:t>Commvault is currently trading at ~$79.41 per share, representing a market capitalization of approximately $3.5 billion — significantly below its 52-week high of $200.68. This dislocation creates a compelling acquisition opportunity at reasonable multiples.</w:t>
      </w:r>
    </w:p>
    <w:p>
      <w:r>
        <w:rPr>
          <w:rFonts w:ascii="Calibri" w:hAnsi="Calibri"/>
          <w:b w:val="0"/>
          <w:color w:val="333333"/>
          <w:sz w:val="21"/>
        </w:rPr>
        <w:t>Our recommended offer range of $150–165 per share implies an 89–108% premium to the current trading price, valuing Commvault at a total enterprise value of $6.5–7.2 billion (5.5–6.0x LTM revenue). The deal would be financed through a combination of new debt ($4.5B), Cohesity equity rollover ($2.0B), and sponsor equity ($500M).</w:t>
      </w:r>
    </w:p>
    <w:p>
      <w:r>
        <w:rPr>
          <w:rFonts w:ascii="Calibri" w:hAnsi="Calibri"/>
          <w:b w:val="0"/>
          <w:color w:val="333333"/>
          <w:sz w:val="21"/>
        </w:rPr>
        <w:t>We estimate run-rate cost synergies of $600 million by Year 3, which would reduce pro-forma leverage from 6.9x to 3.6x Debt/EBITDA — well within serviceable range for a business of this scale and recurring revenue profile.</w:t>
      </w:r>
    </w:p>
    <w:p>
      <w:pPr>
        <w:pStyle w:val="Heading2"/>
      </w:pPr>
      <w:r>
        <w:rPr>
          <w:rFonts w:ascii="Calibri" w:hAnsi="Calibri"/>
          <w:color w:val="0B1D3A"/>
        </w:rPr>
        <w:t>Transaction Overview</w:t>
      </w:r>
    </w:p>
    <w:tbl>
      <w:tblPr>
        <w:tblStyle w:val="TableGrid"/>
        <w:tblW w:type="auto" w:w="0"/>
        <w:jc w:val="center"/>
        <w:tblLook w:firstColumn="1" w:firstRow="1" w:lastColumn="0" w:lastRow="0" w:noHBand="0" w:noVBand="1" w:val="04A0"/>
      </w:tblPr>
      <w:tblGrid>
        <w:gridCol w:w="4703"/>
        <w:gridCol w:w="4703"/>
      </w:tblGrid>
      <w:tr>
        <w:tc>
          <w:tcPr>
            <w:tcW w:type="dxa" w:w="4320"/>
            <w:shd w:fill="0B1D3A"/>
            <w:tcMar>
              <w:top w:w="40" w:type="dxa"/>
              <w:bottom w:w="40" w:type="dxa"/>
              <w:left w:w="80" w:type="dxa"/>
              <w:right w:w="80" w:type="dxa"/>
            </w:tcMar>
          </w:tcPr>
          <w:p>
            <w:pPr>
              <w:jc w:val="center"/>
            </w:pPr>
            <w:r/>
            <w:r>
              <w:rPr>
                <w:rFonts w:ascii="Calibri" w:hAnsi="Calibri"/>
                <w:b/>
                <w:color w:val="FFFFFF"/>
                <w:sz w:val="19"/>
              </w:rPr>
              <w:t>Metric</w:t>
            </w:r>
          </w:p>
        </w:tc>
        <w:tc>
          <w:tcPr>
            <w:tcW w:type="dxa" w:w="5040"/>
            <w:shd w:fill="0B1D3A"/>
            <w:tcMar>
              <w:top w:w="40" w:type="dxa"/>
              <w:bottom w:w="40" w:type="dxa"/>
              <w:left w:w="80" w:type="dxa"/>
              <w:right w:w="80" w:type="dxa"/>
            </w:tcMar>
          </w:tcPr>
          <w:p>
            <w:pPr>
              <w:jc w:val="center"/>
            </w:pPr>
            <w:r/>
            <w:r>
              <w:rPr>
                <w:rFonts w:ascii="Calibri" w:hAnsi="Calibri"/>
                <w:b/>
                <w:color w:val="FFFFFF"/>
                <w:sz w:val="19"/>
              </w:rPr>
              <w:t>Value</w:t>
            </w:r>
          </w:p>
        </w:tc>
      </w:tr>
      <w:tr>
        <w:tc>
          <w:tcPr>
            <w:tcW w:type="dxa" w:w="4320"/>
            <w:tcMar>
              <w:top w:w="40" w:type="dxa"/>
              <w:bottom w:w="40" w:type="dxa"/>
              <w:left w:w="80" w:type="dxa"/>
              <w:right w:w="80" w:type="dxa"/>
            </w:tcMar>
          </w:tcPr>
          <w:p>
            <w:pPr>
              <w:jc w:val="left"/>
            </w:pPr>
            <w:r/>
            <w:r>
              <w:rPr>
                <w:rFonts w:ascii="Calibri" w:hAnsi="Calibri"/>
                <w:b w:val="0"/>
                <w:color w:val="333333"/>
                <w:sz w:val="18"/>
              </w:rPr>
              <w:t>Target</w:t>
            </w:r>
          </w:p>
        </w:tc>
        <w:tc>
          <w:tcPr>
            <w:tcW w:type="dxa" w:w="5040"/>
            <w:tcMar>
              <w:top w:w="40" w:type="dxa"/>
              <w:bottom w:w="40" w:type="dxa"/>
              <w:left w:w="80" w:type="dxa"/>
              <w:right w:w="80" w:type="dxa"/>
            </w:tcMar>
          </w:tcPr>
          <w:p>
            <w:pPr>
              <w:jc w:val="center"/>
            </w:pPr>
            <w:r/>
            <w:r>
              <w:rPr>
                <w:rFonts w:ascii="Calibri" w:hAnsi="Calibri"/>
                <w:b w:val="0"/>
                <w:color w:val="333333"/>
                <w:sz w:val="18"/>
              </w:rPr>
              <w:t>Commvault Systems (NASDAQ: CVLT)</w:t>
            </w:r>
          </w:p>
        </w:tc>
      </w:tr>
      <w:tr>
        <w:tc>
          <w:tcPr>
            <w:tcW w:type="dxa" w:w="4320"/>
            <w:shd w:fill="EBF1F8"/>
            <w:tcMar>
              <w:top w:w="40" w:type="dxa"/>
              <w:bottom w:w="40" w:type="dxa"/>
              <w:left w:w="80" w:type="dxa"/>
              <w:right w:w="80" w:type="dxa"/>
            </w:tcMar>
          </w:tcPr>
          <w:p>
            <w:pPr>
              <w:jc w:val="left"/>
            </w:pPr>
            <w:r/>
            <w:r>
              <w:rPr>
                <w:rFonts w:ascii="Calibri" w:hAnsi="Calibri"/>
                <w:b w:val="0"/>
                <w:color w:val="333333"/>
                <w:sz w:val="18"/>
              </w:rPr>
              <w:t>Acquirer</w:t>
            </w:r>
          </w:p>
        </w:tc>
        <w:tc>
          <w:tcPr>
            <w:tcW w:type="dxa" w:w="5040"/>
            <w:shd w:fill="EBF1F8"/>
            <w:tcMar>
              <w:top w:w="40" w:type="dxa"/>
              <w:bottom w:w="40" w:type="dxa"/>
              <w:left w:w="80" w:type="dxa"/>
              <w:right w:w="80" w:type="dxa"/>
            </w:tcMar>
          </w:tcPr>
          <w:p>
            <w:pPr>
              <w:jc w:val="center"/>
            </w:pPr>
            <w:r/>
            <w:r>
              <w:rPr>
                <w:rFonts w:ascii="Calibri" w:hAnsi="Calibri"/>
                <w:b w:val="0"/>
                <w:color w:val="333333"/>
                <w:sz w:val="18"/>
              </w:rPr>
              <w:t>Cohesity, Inc. (Private)</w:t>
            </w:r>
          </w:p>
        </w:tc>
      </w:tr>
      <w:tr>
        <w:tc>
          <w:tcPr>
            <w:tcW w:type="dxa" w:w="4320"/>
            <w:tcMar>
              <w:top w:w="40" w:type="dxa"/>
              <w:bottom w:w="40" w:type="dxa"/>
              <w:left w:w="80" w:type="dxa"/>
              <w:right w:w="80" w:type="dxa"/>
            </w:tcMar>
          </w:tcPr>
          <w:p>
            <w:pPr>
              <w:jc w:val="left"/>
            </w:pPr>
            <w:r/>
            <w:r>
              <w:rPr>
                <w:rFonts w:ascii="Calibri" w:hAnsi="Calibri"/>
                <w:b w:val="0"/>
                <w:color w:val="333333"/>
                <w:sz w:val="18"/>
              </w:rPr>
              <w:t>Current Share Price</w:t>
            </w:r>
          </w:p>
        </w:tc>
        <w:tc>
          <w:tcPr>
            <w:tcW w:type="dxa" w:w="5040"/>
            <w:tcMar>
              <w:top w:w="40" w:type="dxa"/>
              <w:bottom w:w="40" w:type="dxa"/>
              <w:left w:w="80" w:type="dxa"/>
              <w:right w:w="80" w:type="dxa"/>
            </w:tcMar>
          </w:tcPr>
          <w:p>
            <w:pPr>
              <w:jc w:val="center"/>
            </w:pPr>
            <w:r/>
            <w:r>
              <w:rPr>
                <w:rFonts w:ascii="Calibri" w:hAnsi="Calibri"/>
                <w:b w:val="0"/>
                <w:color w:val="333333"/>
                <w:sz w:val="18"/>
              </w:rPr>
              <w:t>$79.41 (Mar 20, 2026)</w:t>
            </w:r>
          </w:p>
        </w:tc>
      </w:tr>
      <w:tr>
        <w:tc>
          <w:tcPr>
            <w:tcW w:type="dxa" w:w="4320"/>
            <w:shd w:fill="EBF1F8"/>
            <w:tcMar>
              <w:top w:w="40" w:type="dxa"/>
              <w:bottom w:w="40" w:type="dxa"/>
              <w:left w:w="80" w:type="dxa"/>
              <w:right w:w="80" w:type="dxa"/>
            </w:tcMar>
          </w:tcPr>
          <w:p>
            <w:pPr>
              <w:jc w:val="left"/>
            </w:pPr>
            <w:r/>
            <w:r>
              <w:rPr>
                <w:rFonts w:ascii="Calibri" w:hAnsi="Calibri"/>
                <w:b/>
                <w:color w:val="333333"/>
                <w:sz w:val="18"/>
              </w:rPr>
              <w:t>Recommended Offer</w:t>
            </w:r>
          </w:p>
        </w:tc>
        <w:tc>
          <w:tcPr>
            <w:tcW w:type="dxa" w:w="5040"/>
            <w:shd w:fill="EBF1F8"/>
            <w:tcMar>
              <w:top w:w="40" w:type="dxa"/>
              <w:bottom w:w="40" w:type="dxa"/>
              <w:left w:w="80" w:type="dxa"/>
              <w:right w:w="80" w:type="dxa"/>
            </w:tcMar>
          </w:tcPr>
          <w:p>
            <w:pPr>
              <w:jc w:val="center"/>
            </w:pPr>
            <w:r/>
            <w:r>
              <w:rPr>
                <w:rFonts w:ascii="Calibri" w:hAnsi="Calibri"/>
                <w:b/>
                <w:color w:val="333333"/>
                <w:sz w:val="18"/>
              </w:rPr>
              <w:t>$150–165 per share</w:t>
            </w:r>
          </w:p>
        </w:tc>
      </w:tr>
      <w:tr>
        <w:tc>
          <w:tcPr>
            <w:tcW w:type="dxa" w:w="4320"/>
            <w:tcMar>
              <w:top w:w="40" w:type="dxa"/>
              <w:bottom w:w="40" w:type="dxa"/>
              <w:left w:w="80" w:type="dxa"/>
              <w:right w:w="80" w:type="dxa"/>
            </w:tcMar>
          </w:tcPr>
          <w:p>
            <w:pPr>
              <w:jc w:val="left"/>
            </w:pPr>
            <w:r/>
            <w:r>
              <w:rPr>
                <w:rFonts w:ascii="Calibri" w:hAnsi="Calibri"/>
                <w:b w:val="0"/>
                <w:color w:val="333333"/>
                <w:sz w:val="18"/>
              </w:rPr>
              <w:t>Implied Premium</w:t>
            </w:r>
          </w:p>
        </w:tc>
        <w:tc>
          <w:tcPr>
            <w:tcW w:type="dxa" w:w="5040"/>
            <w:tcMar>
              <w:top w:w="40" w:type="dxa"/>
              <w:bottom w:w="40" w:type="dxa"/>
              <w:left w:w="80" w:type="dxa"/>
              <w:right w:w="80" w:type="dxa"/>
            </w:tcMar>
          </w:tcPr>
          <w:p>
            <w:pPr>
              <w:jc w:val="center"/>
            </w:pPr>
            <w:r/>
            <w:r>
              <w:rPr>
                <w:rFonts w:ascii="Calibri" w:hAnsi="Calibri"/>
                <w:b w:val="0"/>
                <w:color w:val="333333"/>
                <w:sz w:val="18"/>
              </w:rPr>
              <w:t>89–108%</w:t>
            </w:r>
          </w:p>
        </w:tc>
      </w:tr>
      <w:tr>
        <w:tc>
          <w:tcPr>
            <w:tcW w:type="dxa" w:w="4320"/>
            <w:shd w:fill="EBF1F8"/>
            <w:tcMar>
              <w:top w:w="40" w:type="dxa"/>
              <w:bottom w:w="40" w:type="dxa"/>
              <w:left w:w="80" w:type="dxa"/>
              <w:right w:w="80" w:type="dxa"/>
            </w:tcMar>
          </w:tcPr>
          <w:p>
            <w:pPr>
              <w:jc w:val="left"/>
            </w:pPr>
            <w:r/>
            <w:r>
              <w:rPr>
                <w:rFonts w:ascii="Calibri" w:hAnsi="Calibri"/>
                <w:b/>
                <w:color w:val="333333"/>
                <w:sz w:val="18"/>
              </w:rPr>
              <w:t>Total Enterprise Value</w:t>
            </w:r>
          </w:p>
        </w:tc>
        <w:tc>
          <w:tcPr>
            <w:tcW w:type="dxa" w:w="5040"/>
            <w:shd w:fill="EBF1F8"/>
            <w:tcMar>
              <w:top w:w="40" w:type="dxa"/>
              <w:bottom w:w="40" w:type="dxa"/>
              <w:left w:w="80" w:type="dxa"/>
              <w:right w:w="80" w:type="dxa"/>
            </w:tcMar>
          </w:tcPr>
          <w:p>
            <w:pPr>
              <w:jc w:val="center"/>
            </w:pPr>
            <w:r/>
            <w:r>
              <w:rPr>
                <w:rFonts w:ascii="Calibri" w:hAnsi="Calibri"/>
                <w:b/>
                <w:color w:val="333333"/>
                <w:sz w:val="18"/>
              </w:rPr>
              <w:t>$6.5–7.2B</w:t>
            </w:r>
          </w:p>
        </w:tc>
      </w:tr>
      <w:tr>
        <w:tc>
          <w:tcPr>
            <w:tcW w:type="dxa" w:w="4320"/>
            <w:tcMar>
              <w:top w:w="40" w:type="dxa"/>
              <w:bottom w:w="40" w:type="dxa"/>
              <w:left w:w="80" w:type="dxa"/>
              <w:right w:w="80" w:type="dxa"/>
            </w:tcMar>
          </w:tcPr>
          <w:p>
            <w:pPr>
              <w:jc w:val="left"/>
            </w:pPr>
            <w:r/>
            <w:r>
              <w:rPr>
                <w:rFonts w:ascii="Calibri" w:hAnsi="Calibri"/>
                <w:b w:val="0"/>
                <w:color w:val="333333"/>
                <w:sz w:val="18"/>
              </w:rPr>
              <w:t>EV / LTM Revenue</w:t>
            </w:r>
          </w:p>
        </w:tc>
        <w:tc>
          <w:tcPr>
            <w:tcW w:type="dxa" w:w="5040"/>
            <w:tcMar>
              <w:top w:w="40" w:type="dxa"/>
              <w:bottom w:w="40" w:type="dxa"/>
              <w:left w:w="80" w:type="dxa"/>
              <w:right w:w="80" w:type="dxa"/>
            </w:tcMar>
          </w:tcPr>
          <w:p>
            <w:pPr>
              <w:jc w:val="center"/>
            </w:pPr>
            <w:r/>
            <w:r>
              <w:rPr>
                <w:rFonts w:ascii="Calibri" w:hAnsi="Calibri"/>
                <w:b w:val="0"/>
                <w:color w:val="333333"/>
                <w:sz w:val="18"/>
              </w:rPr>
              <w:t>5.5–6.0x</w:t>
            </w:r>
          </w:p>
        </w:tc>
      </w:tr>
      <w:tr>
        <w:tc>
          <w:tcPr>
            <w:tcW w:type="dxa" w:w="4320"/>
            <w:shd w:fill="EBF1F8"/>
            <w:tcMar>
              <w:top w:w="40" w:type="dxa"/>
              <w:bottom w:w="40" w:type="dxa"/>
              <w:left w:w="80" w:type="dxa"/>
              <w:right w:w="80" w:type="dxa"/>
            </w:tcMar>
          </w:tcPr>
          <w:p>
            <w:pPr>
              <w:jc w:val="left"/>
            </w:pPr>
            <w:r/>
            <w:r>
              <w:rPr>
                <w:rFonts w:ascii="Calibri" w:hAnsi="Calibri"/>
                <w:b w:val="0"/>
                <w:color w:val="333333"/>
                <w:sz w:val="18"/>
              </w:rPr>
              <w:t>EV / ARR</w:t>
            </w:r>
          </w:p>
        </w:tc>
        <w:tc>
          <w:tcPr>
            <w:tcW w:type="dxa" w:w="5040"/>
            <w:shd w:fill="EBF1F8"/>
            <w:tcMar>
              <w:top w:w="40" w:type="dxa"/>
              <w:bottom w:w="40" w:type="dxa"/>
              <w:left w:w="80" w:type="dxa"/>
              <w:right w:w="80" w:type="dxa"/>
            </w:tcMar>
          </w:tcPr>
          <w:p>
            <w:pPr>
              <w:jc w:val="center"/>
            </w:pPr>
            <w:r/>
            <w:r>
              <w:rPr>
                <w:rFonts w:ascii="Calibri" w:hAnsi="Calibri"/>
                <w:b w:val="0"/>
                <w:color w:val="333333"/>
                <w:sz w:val="18"/>
              </w:rPr>
              <w:t>5.7–6.3x</w:t>
            </w:r>
          </w:p>
        </w:tc>
      </w:tr>
      <w:tr>
        <w:tc>
          <w:tcPr>
            <w:tcW w:type="dxa" w:w="4320"/>
            <w:tcMar>
              <w:top w:w="40" w:type="dxa"/>
              <w:bottom w:w="40" w:type="dxa"/>
              <w:left w:w="80" w:type="dxa"/>
              <w:right w:w="80" w:type="dxa"/>
            </w:tcMar>
          </w:tcPr>
          <w:p>
            <w:pPr>
              <w:jc w:val="left"/>
            </w:pPr>
            <w:r/>
            <w:r>
              <w:rPr>
                <w:rFonts w:ascii="Calibri" w:hAnsi="Calibri"/>
                <w:b w:val="0"/>
                <w:color w:val="333333"/>
                <w:sz w:val="18"/>
              </w:rPr>
              <w:t>Pro-Forma Combined Revenue</w:t>
            </w:r>
          </w:p>
        </w:tc>
        <w:tc>
          <w:tcPr>
            <w:tcW w:type="dxa" w:w="5040"/>
            <w:tcMar>
              <w:top w:w="40" w:type="dxa"/>
              <w:bottom w:w="40" w:type="dxa"/>
              <w:left w:w="80" w:type="dxa"/>
              <w:right w:w="80" w:type="dxa"/>
            </w:tcMar>
          </w:tcPr>
          <w:p>
            <w:pPr>
              <w:jc w:val="center"/>
            </w:pPr>
            <w:r/>
            <w:r>
              <w:rPr>
                <w:rFonts w:ascii="Calibri" w:hAnsi="Calibri"/>
                <w:b w:val="0"/>
                <w:color w:val="333333"/>
                <w:sz w:val="18"/>
              </w:rPr>
              <w:t>~$2.8B</w:t>
            </w:r>
          </w:p>
        </w:tc>
      </w:tr>
      <w:tr>
        <w:tc>
          <w:tcPr>
            <w:tcW w:type="dxa" w:w="4320"/>
            <w:shd w:fill="EBF1F8"/>
            <w:tcMar>
              <w:top w:w="40" w:type="dxa"/>
              <w:bottom w:w="40" w:type="dxa"/>
              <w:left w:w="80" w:type="dxa"/>
              <w:right w:w="80" w:type="dxa"/>
            </w:tcMar>
          </w:tcPr>
          <w:p>
            <w:pPr>
              <w:jc w:val="left"/>
            </w:pPr>
            <w:r/>
            <w:r>
              <w:rPr>
                <w:rFonts w:ascii="Calibri" w:hAnsi="Calibri"/>
                <w:b w:val="0"/>
                <w:color w:val="333333"/>
                <w:sz w:val="18"/>
              </w:rPr>
              <w:t>Run-Rate Cost Synergies</w:t>
            </w:r>
          </w:p>
        </w:tc>
        <w:tc>
          <w:tcPr>
            <w:tcW w:type="dxa" w:w="5040"/>
            <w:shd w:fill="EBF1F8"/>
            <w:tcMar>
              <w:top w:w="40" w:type="dxa"/>
              <w:bottom w:w="40" w:type="dxa"/>
              <w:left w:w="80" w:type="dxa"/>
              <w:right w:w="80" w:type="dxa"/>
            </w:tcMar>
          </w:tcPr>
          <w:p>
            <w:pPr>
              <w:jc w:val="center"/>
            </w:pPr>
            <w:r/>
            <w:r>
              <w:rPr>
                <w:rFonts w:ascii="Calibri" w:hAnsi="Calibri"/>
                <w:b w:val="0"/>
                <w:color w:val="333333"/>
                <w:sz w:val="18"/>
              </w:rPr>
              <w:t>$600M (Year 3)</w:t>
            </w:r>
          </w:p>
        </w:tc>
      </w:tr>
      <w:tr>
        <w:tc>
          <w:tcPr>
            <w:tcW w:type="dxa" w:w="4320"/>
            <w:tcMar>
              <w:top w:w="40" w:type="dxa"/>
              <w:bottom w:w="40" w:type="dxa"/>
              <w:left w:w="80" w:type="dxa"/>
              <w:right w:w="80" w:type="dxa"/>
            </w:tcMar>
          </w:tcPr>
          <w:p>
            <w:pPr>
              <w:jc w:val="left"/>
            </w:pPr>
            <w:r/>
            <w:r>
              <w:rPr>
                <w:rFonts w:ascii="Calibri" w:hAnsi="Calibri"/>
                <w:b w:val="0"/>
                <w:color w:val="333333"/>
                <w:sz w:val="18"/>
              </w:rPr>
              <w:t>Pro-Forma Leverage (at close)</w:t>
            </w:r>
          </w:p>
        </w:tc>
        <w:tc>
          <w:tcPr>
            <w:tcW w:type="dxa" w:w="5040"/>
            <w:tcMar>
              <w:top w:w="40" w:type="dxa"/>
              <w:bottom w:w="40" w:type="dxa"/>
              <w:left w:w="80" w:type="dxa"/>
              <w:right w:w="80" w:type="dxa"/>
            </w:tcMar>
          </w:tcPr>
          <w:p>
            <w:pPr>
              <w:jc w:val="center"/>
            </w:pPr>
            <w:r/>
            <w:r>
              <w:rPr>
                <w:rFonts w:ascii="Calibri" w:hAnsi="Calibri"/>
                <w:b w:val="0"/>
                <w:color w:val="333333"/>
                <w:sz w:val="18"/>
              </w:rPr>
              <w:t>6.9x Debt/EBITDA</w:t>
            </w:r>
          </w:p>
        </w:tc>
      </w:tr>
      <w:tr>
        <w:tc>
          <w:tcPr>
            <w:tcW w:type="dxa" w:w="4320"/>
            <w:shd w:fill="EBF1F8"/>
            <w:tcMar>
              <w:top w:w="40" w:type="dxa"/>
              <w:bottom w:w="40" w:type="dxa"/>
              <w:left w:w="80" w:type="dxa"/>
              <w:right w:w="80" w:type="dxa"/>
            </w:tcMar>
          </w:tcPr>
          <w:p>
            <w:pPr>
              <w:jc w:val="left"/>
            </w:pPr>
            <w:r/>
            <w:r>
              <w:rPr>
                <w:rFonts w:ascii="Calibri" w:hAnsi="Calibri"/>
                <w:b w:val="0"/>
                <w:color w:val="333333"/>
                <w:sz w:val="18"/>
              </w:rPr>
              <w:t>Pro-Forma Leverage (with synergies)</w:t>
            </w:r>
          </w:p>
        </w:tc>
        <w:tc>
          <w:tcPr>
            <w:tcW w:type="dxa" w:w="5040"/>
            <w:shd w:fill="EBF1F8"/>
            <w:tcMar>
              <w:top w:w="40" w:type="dxa"/>
              <w:bottom w:w="40" w:type="dxa"/>
              <w:left w:w="80" w:type="dxa"/>
              <w:right w:w="80" w:type="dxa"/>
            </w:tcMar>
          </w:tcPr>
          <w:p>
            <w:pPr>
              <w:jc w:val="center"/>
            </w:pPr>
            <w:r/>
            <w:r>
              <w:rPr>
                <w:rFonts w:ascii="Calibri" w:hAnsi="Calibri"/>
                <w:b w:val="0"/>
                <w:color w:val="333333"/>
                <w:sz w:val="18"/>
              </w:rPr>
              <w:t>3.6x Debt/EBITDA</w:t>
            </w:r>
          </w:p>
        </w:tc>
      </w:tr>
    </w:tbl>
    <w:p/>
    <w:p>
      <w:r>
        <w:br w:type="page"/>
      </w:r>
    </w:p>
    <w:p>
      <w:pPr>
        <w:pStyle w:val="Heading1"/>
      </w:pPr>
      <w:r>
        <w:rPr>
          <w:rFonts w:ascii="Calibri" w:hAnsi="Calibri"/>
          <w:color w:val="0B1D3A"/>
        </w:rPr>
        <w:t>2. Company Profiles</w:t>
      </w:r>
    </w:p>
    <w:p>
      <w:pPr>
        <w:pStyle w:val="Heading2"/>
      </w:pPr>
      <w:r>
        <w:rPr>
          <w:rFonts w:ascii="Calibri" w:hAnsi="Calibri"/>
          <w:color w:val="0B1D3A"/>
        </w:rPr>
        <w:t>2.1 Commvault Systems (Target — NASDAQ: CVLT)</w:t>
      </w:r>
    </w:p>
    <w:p>
      <w:r>
        <w:rPr>
          <w:rFonts w:ascii="Calibri" w:hAnsi="Calibri"/>
          <w:b w:val="0"/>
          <w:color w:val="333333"/>
          <w:sz w:val="21"/>
        </w:rPr>
        <w:t>Commvault is a leading enterprise data protection and management software company, currently executing a successful cloud/SaaS transition with SaaS ARR growing 44% year-over-year.</w:t>
      </w:r>
    </w:p>
    <w:tbl>
      <w:tblPr>
        <w:tblStyle w:val="TableGrid"/>
        <w:tblW w:type="auto" w:w="0"/>
        <w:jc w:val="center"/>
        <w:tblLook w:firstColumn="1" w:firstRow="1" w:lastColumn="0" w:lastRow="0" w:noHBand="0" w:noVBand="1" w:val="04A0"/>
      </w:tblPr>
      <w:tblGrid>
        <w:gridCol w:w="4703"/>
        <w:gridCol w:w="4703"/>
      </w:tblGrid>
      <w:tr>
        <w:tc>
          <w:tcPr>
            <w:tcW w:type="dxa" w:w="4320"/>
            <w:shd w:fill="0B1D3A"/>
            <w:tcMar>
              <w:top w:w="40" w:type="dxa"/>
              <w:bottom w:w="40" w:type="dxa"/>
              <w:left w:w="80" w:type="dxa"/>
              <w:right w:w="80" w:type="dxa"/>
            </w:tcMar>
          </w:tcPr>
          <w:p>
            <w:pPr>
              <w:jc w:val="center"/>
            </w:pPr>
            <w:r/>
            <w:r>
              <w:rPr>
                <w:rFonts w:ascii="Calibri" w:hAnsi="Calibri"/>
                <w:b/>
                <w:color w:val="FFFFFF"/>
                <w:sz w:val="19"/>
              </w:rPr>
              <w:t>Metric</w:t>
            </w:r>
          </w:p>
        </w:tc>
        <w:tc>
          <w:tcPr>
            <w:tcW w:type="dxa" w:w="5040"/>
            <w:shd w:fill="0B1D3A"/>
            <w:tcMar>
              <w:top w:w="40" w:type="dxa"/>
              <w:bottom w:w="40" w:type="dxa"/>
              <w:left w:w="80" w:type="dxa"/>
              <w:right w:w="80" w:type="dxa"/>
            </w:tcMar>
          </w:tcPr>
          <w:p>
            <w:pPr>
              <w:jc w:val="center"/>
            </w:pPr>
            <w:r/>
            <w:r>
              <w:rPr>
                <w:rFonts w:ascii="Calibri" w:hAnsi="Calibri"/>
                <w:b/>
                <w:color w:val="FFFFFF"/>
                <w:sz w:val="19"/>
              </w:rPr>
              <w:t>Value</w:t>
            </w:r>
          </w:p>
        </w:tc>
      </w:tr>
      <w:tr>
        <w:tc>
          <w:tcPr>
            <w:tcW w:type="dxa" w:w="4320"/>
            <w:tcMar>
              <w:top w:w="40" w:type="dxa"/>
              <w:bottom w:w="40" w:type="dxa"/>
              <w:left w:w="80" w:type="dxa"/>
              <w:right w:w="80" w:type="dxa"/>
            </w:tcMar>
          </w:tcPr>
          <w:p>
            <w:pPr>
              <w:jc w:val="left"/>
            </w:pPr>
            <w:r/>
            <w:r>
              <w:rPr>
                <w:rFonts w:ascii="Calibri" w:hAnsi="Calibri"/>
                <w:b w:val="0"/>
                <w:color w:val="333333"/>
                <w:sz w:val="18"/>
              </w:rPr>
              <w:t>Stock Price (Mar 20, 2026)</w:t>
            </w:r>
          </w:p>
        </w:tc>
        <w:tc>
          <w:tcPr>
            <w:tcW w:type="dxa" w:w="5040"/>
            <w:tcMar>
              <w:top w:w="40" w:type="dxa"/>
              <w:bottom w:w="40" w:type="dxa"/>
              <w:left w:w="80" w:type="dxa"/>
              <w:right w:w="80" w:type="dxa"/>
            </w:tcMar>
          </w:tcPr>
          <w:p>
            <w:pPr>
              <w:jc w:val="center"/>
            </w:pPr>
            <w:r/>
            <w:r>
              <w:rPr>
                <w:rFonts w:ascii="Calibri" w:hAnsi="Calibri"/>
                <w:b w:val="0"/>
                <w:color w:val="333333"/>
                <w:sz w:val="18"/>
              </w:rPr>
              <w:t>~$79.41</w:t>
            </w:r>
          </w:p>
        </w:tc>
      </w:tr>
      <w:tr>
        <w:tc>
          <w:tcPr>
            <w:tcW w:type="dxa" w:w="4320"/>
            <w:shd w:fill="EBF1F8"/>
            <w:tcMar>
              <w:top w:w="40" w:type="dxa"/>
              <w:bottom w:w="40" w:type="dxa"/>
              <w:left w:w="80" w:type="dxa"/>
              <w:right w:w="80" w:type="dxa"/>
            </w:tcMar>
          </w:tcPr>
          <w:p>
            <w:pPr>
              <w:jc w:val="left"/>
            </w:pPr>
            <w:r/>
            <w:r>
              <w:rPr>
                <w:rFonts w:ascii="Calibri" w:hAnsi="Calibri"/>
                <w:b w:val="0"/>
                <w:color w:val="333333"/>
                <w:sz w:val="18"/>
              </w:rPr>
              <w:t>52-Week Range</w:t>
            </w:r>
          </w:p>
        </w:tc>
        <w:tc>
          <w:tcPr>
            <w:tcW w:type="dxa" w:w="5040"/>
            <w:shd w:fill="EBF1F8"/>
            <w:tcMar>
              <w:top w:w="40" w:type="dxa"/>
              <w:bottom w:w="40" w:type="dxa"/>
              <w:left w:w="80" w:type="dxa"/>
              <w:right w:w="80" w:type="dxa"/>
            </w:tcMar>
          </w:tcPr>
          <w:p>
            <w:pPr>
              <w:jc w:val="center"/>
            </w:pPr>
            <w:r/>
            <w:r>
              <w:rPr>
                <w:rFonts w:ascii="Calibri" w:hAnsi="Calibri"/>
                <w:b w:val="0"/>
                <w:color w:val="333333"/>
                <w:sz w:val="18"/>
              </w:rPr>
              <w:t>$79.51 – $200.68</w:t>
            </w:r>
          </w:p>
        </w:tc>
      </w:tr>
      <w:tr>
        <w:tc>
          <w:tcPr>
            <w:tcW w:type="dxa" w:w="4320"/>
            <w:tcMar>
              <w:top w:w="40" w:type="dxa"/>
              <w:bottom w:w="40" w:type="dxa"/>
              <w:left w:w="80" w:type="dxa"/>
              <w:right w:w="80" w:type="dxa"/>
            </w:tcMar>
          </w:tcPr>
          <w:p>
            <w:pPr>
              <w:jc w:val="left"/>
            </w:pPr>
            <w:r/>
            <w:r>
              <w:rPr>
                <w:rFonts w:ascii="Calibri" w:hAnsi="Calibri"/>
                <w:b w:val="0"/>
                <w:color w:val="333333"/>
                <w:sz w:val="18"/>
              </w:rPr>
              <w:t>Shares Outstanding</w:t>
            </w:r>
          </w:p>
        </w:tc>
        <w:tc>
          <w:tcPr>
            <w:tcW w:type="dxa" w:w="5040"/>
            <w:tcMar>
              <w:top w:w="40" w:type="dxa"/>
              <w:bottom w:w="40" w:type="dxa"/>
              <w:left w:w="80" w:type="dxa"/>
              <w:right w:w="80" w:type="dxa"/>
            </w:tcMar>
          </w:tcPr>
          <w:p>
            <w:pPr>
              <w:jc w:val="center"/>
            </w:pPr>
            <w:r/>
            <w:r>
              <w:rPr>
                <w:rFonts w:ascii="Calibri" w:hAnsi="Calibri"/>
                <w:b w:val="0"/>
                <w:color w:val="333333"/>
                <w:sz w:val="18"/>
              </w:rPr>
              <w:t>44.3M</w:t>
            </w:r>
          </w:p>
        </w:tc>
      </w:tr>
      <w:tr>
        <w:tc>
          <w:tcPr>
            <w:tcW w:type="dxa" w:w="4320"/>
            <w:shd w:fill="EBF1F8"/>
            <w:tcMar>
              <w:top w:w="40" w:type="dxa"/>
              <w:bottom w:w="40" w:type="dxa"/>
              <w:left w:w="80" w:type="dxa"/>
              <w:right w:w="80" w:type="dxa"/>
            </w:tcMar>
          </w:tcPr>
          <w:p>
            <w:pPr>
              <w:jc w:val="left"/>
            </w:pPr>
            <w:r/>
            <w:r>
              <w:rPr>
                <w:rFonts w:ascii="Calibri" w:hAnsi="Calibri"/>
                <w:b w:val="0"/>
                <w:color w:val="333333"/>
                <w:sz w:val="18"/>
              </w:rPr>
              <w:t>Market Capitalization</w:t>
            </w:r>
          </w:p>
        </w:tc>
        <w:tc>
          <w:tcPr>
            <w:tcW w:type="dxa" w:w="5040"/>
            <w:shd w:fill="EBF1F8"/>
            <w:tcMar>
              <w:top w:w="40" w:type="dxa"/>
              <w:bottom w:w="40" w:type="dxa"/>
              <w:left w:w="80" w:type="dxa"/>
              <w:right w:w="80" w:type="dxa"/>
            </w:tcMar>
          </w:tcPr>
          <w:p>
            <w:pPr>
              <w:jc w:val="center"/>
            </w:pPr>
            <w:r/>
            <w:r>
              <w:rPr>
                <w:rFonts w:ascii="Calibri" w:hAnsi="Calibri"/>
                <w:b w:val="0"/>
                <w:color w:val="333333"/>
                <w:sz w:val="18"/>
              </w:rPr>
              <w:t>~$3.5B</w:t>
            </w:r>
          </w:p>
        </w:tc>
      </w:tr>
      <w:tr>
        <w:tc>
          <w:tcPr>
            <w:tcW w:type="dxa" w:w="4320"/>
            <w:tcMar>
              <w:top w:w="40" w:type="dxa"/>
              <w:bottom w:w="40" w:type="dxa"/>
              <w:left w:w="80" w:type="dxa"/>
              <w:right w:w="80" w:type="dxa"/>
            </w:tcMar>
          </w:tcPr>
          <w:p>
            <w:pPr>
              <w:jc w:val="left"/>
            </w:pPr>
            <w:r/>
            <w:r>
              <w:rPr>
                <w:rFonts w:ascii="Calibri" w:hAnsi="Calibri"/>
                <w:b w:val="0"/>
                <w:color w:val="333333"/>
                <w:sz w:val="18"/>
              </w:rPr>
              <w:t>Cash &amp; Equivalents</w:t>
            </w:r>
          </w:p>
        </w:tc>
        <w:tc>
          <w:tcPr>
            <w:tcW w:type="dxa" w:w="5040"/>
            <w:tcMar>
              <w:top w:w="40" w:type="dxa"/>
              <w:bottom w:w="40" w:type="dxa"/>
              <w:left w:w="80" w:type="dxa"/>
              <w:right w:w="80" w:type="dxa"/>
            </w:tcMar>
          </w:tcPr>
          <w:p>
            <w:pPr>
              <w:jc w:val="center"/>
            </w:pPr>
            <w:r/>
            <w:r>
              <w:rPr>
                <w:rFonts w:ascii="Calibri" w:hAnsi="Calibri"/>
                <w:b w:val="0"/>
                <w:color w:val="333333"/>
                <w:sz w:val="18"/>
              </w:rPr>
              <w:t>$1.03B</w:t>
            </w:r>
          </w:p>
        </w:tc>
      </w:tr>
      <w:tr>
        <w:tc>
          <w:tcPr>
            <w:tcW w:type="dxa" w:w="4320"/>
            <w:shd w:fill="EBF1F8"/>
            <w:tcMar>
              <w:top w:w="40" w:type="dxa"/>
              <w:bottom w:w="40" w:type="dxa"/>
              <w:left w:w="80" w:type="dxa"/>
              <w:right w:w="80" w:type="dxa"/>
            </w:tcMar>
          </w:tcPr>
          <w:p>
            <w:pPr>
              <w:jc w:val="left"/>
            </w:pPr>
            <w:r/>
            <w:r>
              <w:rPr>
                <w:rFonts w:ascii="Calibri" w:hAnsi="Calibri"/>
                <w:b/>
                <w:color w:val="333333"/>
                <w:sz w:val="18"/>
              </w:rPr>
              <w:t>Total Debt</w:t>
            </w:r>
          </w:p>
        </w:tc>
        <w:tc>
          <w:tcPr>
            <w:tcW w:type="dxa" w:w="5040"/>
            <w:shd w:fill="EBF1F8"/>
            <w:tcMar>
              <w:top w:w="40" w:type="dxa"/>
              <w:bottom w:w="40" w:type="dxa"/>
              <w:left w:w="80" w:type="dxa"/>
              <w:right w:w="80" w:type="dxa"/>
            </w:tcMar>
          </w:tcPr>
          <w:p>
            <w:pPr>
              <w:jc w:val="center"/>
            </w:pPr>
            <w:r/>
            <w:r>
              <w:rPr>
                <w:rFonts w:ascii="Calibri" w:hAnsi="Calibri"/>
                <w:b/>
                <w:color w:val="333333"/>
                <w:sz w:val="18"/>
              </w:rPr>
              <w:t>$920M</w:t>
            </w:r>
          </w:p>
        </w:tc>
      </w:tr>
      <w:tr>
        <w:tc>
          <w:tcPr>
            <w:tcW w:type="dxa" w:w="4320"/>
            <w:tcMar>
              <w:top w:w="40" w:type="dxa"/>
              <w:bottom w:w="40" w:type="dxa"/>
              <w:left w:w="80" w:type="dxa"/>
              <w:right w:w="80" w:type="dxa"/>
            </w:tcMar>
          </w:tcPr>
          <w:p>
            <w:pPr>
              <w:jc w:val="left"/>
            </w:pPr>
            <w:r/>
            <w:r>
              <w:rPr>
                <w:rFonts w:ascii="Calibri" w:hAnsi="Calibri"/>
                <w:b/>
                <w:color w:val="333333"/>
                <w:sz w:val="18"/>
              </w:rPr>
              <w:t>Net Cash</w:t>
            </w:r>
          </w:p>
        </w:tc>
        <w:tc>
          <w:tcPr>
            <w:tcW w:type="dxa" w:w="5040"/>
            <w:tcMar>
              <w:top w:w="40" w:type="dxa"/>
              <w:bottom w:w="40" w:type="dxa"/>
              <w:left w:w="80" w:type="dxa"/>
              <w:right w:w="80" w:type="dxa"/>
            </w:tcMar>
          </w:tcPr>
          <w:p>
            <w:pPr>
              <w:jc w:val="center"/>
            </w:pPr>
            <w:r/>
            <w:r>
              <w:rPr>
                <w:rFonts w:ascii="Calibri" w:hAnsi="Calibri"/>
                <w:b/>
                <w:color w:val="333333"/>
                <w:sz w:val="18"/>
              </w:rPr>
              <w:t>$106M</w:t>
            </w:r>
          </w:p>
        </w:tc>
      </w:tr>
      <w:tr>
        <w:tc>
          <w:tcPr>
            <w:tcW w:type="dxa" w:w="4320"/>
            <w:shd w:fill="EBF1F8"/>
            <w:tcMar>
              <w:top w:w="40" w:type="dxa"/>
              <w:bottom w:w="40" w:type="dxa"/>
              <w:left w:w="80" w:type="dxa"/>
              <w:right w:w="80" w:type="dxa"/>
            </w:tcMar>
          </w:tcPr>
          <w:p>
            <w:pPr>
              <w:jc w:val="left"/>
            </w:pPr>
            <w:r/>
            <w:r>
              <w:rPr>
                <w:rFonts w:ascii="Calibri" w:hAnsi="Calibri"/>
                <w:b w:val="0"/>
                <w:color w:val="333333"/>
                <w:sz w:val="18"/>
              </w:rPr>
              <w:t>LTM Revenue</w:t>
            </w:r>
          </w:p>
        </w:tc>
        <w:tc>
          <w:tcPr>
            <w:tcW w:type="dxa" w:w="5040"/>
            <w:shd w:fill="EBF1F8"/>
            <w:tcMar>
              <w:top w:w="40" w:type="dxa"/>
              <w:bottom w:w="40" w:type="dxa"/>
              <w:left w:w="80" w:type="dxa"/>
              <w:right w:w="80" w:type="dxa"/>
            </w:tcMar>
          </w:tcPr>
          <w:p>
            <w:pPr>
              <w:jc w:val="center"/>
            </w:pPr>
            <w:r/>
            <w:r>
              <w:rPr>
                <w:rFonts w:ascii="Calibri" w:hAnsi="Calibri"/>
                <w:b w:val="0"/>
                <w:color w:val="333333"/>
                <w:sz w:val="18"/>
              </w:rPr>
              <w:t>~$1.18B</w:t>
            </w:r>
          </w:p>
        </w:tc>
      </w:tr>
      <w:tr>
        <w:tc>
          <w:tcPr>
            <w:tcW w:type="dxa" w:w="4320"/>
            <w:tcMar>
              <w:top w:w="40" w:type="dxa"/>
              <w:bottom w:w="40" w:type="dxa"/>
              <w:left w:w="80" w:type="dxa"/>
              <w:right w:w="80" w:type="dxa"/>
            </w:tcMar>
          </w:tcPr>
          <w:p>
            <w:pPr>
              <w:jc w:val="left"/>
            </w:pPr>
            <w:r/>
            <w:r>
              <w:rPr>
                <w:rFonts w:ascii="Calibri" w:hAnsi="Calibri"/>
                <w:b w:val="0"/>
                <w:color w:val="333333"/>
                <w:sz w:val="18"/>
              </w:rPr>
              <w:t>FY2026 Revenue Guidance</w:t>
            </w:r>
          </w:p>
        </w:tc>
        <w:tc>
          <w:tcPr>
            <w:tcW w:type="dxa" w:w="5040"/>
            <w:tcMar>
              <w:top w:w="40" w:type="dxa"/>
              <w:bottom w:w="40" w:type="dxa"/>
              <w:left w:w="80" w:type="dxa"/>
              <w:right w:w="80" w:type="dxa"/>
            </w:tcMar>
          </w:tcPr>
          <w:p>
            <w:pPr>
              <w:jc w:val="center"/>
            </w:pPr>
            <w:r/>
            <w:r>
              <w:rPr>
                <w:rFonts w:ascii="Calibri" w:hAnsi="Calibri"/>
                <w:b w:val="0"/>
                <w:color w:val="333333"/>
                <w:sz w:val="18"/>
              </w:rPr>
              <w:t>$1,177–1,180M</w:t>
            </w:r>
          </w:p>
        </w:tc>
      </w:tr>
      <w:tr>
        <w:tc>
          <w:tcPr>
            <w:tcW w:type="dxa" w:w="4320"/>
            <w:shd w:fill="EBF1F8"/>
            <w:tcMar>
              <w:top w:w="40" w:type="dxa"/>
              <w:bottom w:w="40" w:type="dxa"/>
              <w:left w:w="80" w:type="dxa"/>
              <w:right w:w="80" w:type="dxa"/>
            </w:tcMar>
          </w:tcPr>
          <w:p>
            <w:pPr>
              <w:jc w:val="left"/>
            </w:pPr>
            <w:r/>
            <w:r>
              <w:rPr>
                <w:rFonts w:ascii="Calibri" w:hAnsi="Calibri"/>
                <w:b/>
                <w:color w:val="333333"/>
                <w:sz w:val="18"/>
              </w:rPr>
              <w:t>Total ARR</w:t>
            </w:r>
          </w:p>
        </w:tc>
        <w:tc>
          <w:tcPr>
            <w:tcW w:type="dxa" w:w="5040"/>
            <w:shd w:fill="EBF1F8"/>
            <w:tcMar>
              <w:top w:w="40" w:type="dxa"/>
              <w:bottom w:w="40" w:type="dxa"/>
              <w:left w:w="80" w:type="dxa"/>
              <w:right w:w="80" w:type="dxa"/>
            </w:tcMar>
          </w:tcPr>
          <w:p>
            <w:pPr>
              <w:jc w:val="center"/>
            </w:pPr>
            <w:r/>
            <w:r>
              <w:rPr>
                <w:rFonts w:ascii="Calibri" w:hAnsi="Calibri"/>
                <w:b/>
                <w:color w:val="333333"/>
                <w:sz w:val="18"/>
              </w:rPr>
              <w:t>$1,085M (+22% YoY)</w:t>
            </w:r>
          </w:p>
        </w:tc>
      </w:tr>
      <w:tr>
        <w:tc>
          <w:tcPr>
            <w:tcW w:type="dxa" w:w="4320"/>
            <w:tcMar>
              <w:top w:w="40" w:type="dxa"/>
              <w:bottom w:w="40" w:type="dxa"/>
              <w:left w:w="80" w:type="dxa"/>
              <w:right w:w="80" w:type="dxa"/>
            </w:tcMar>
          </w:tcPr>
          <w:p>
            <w:pPr>
              <w:jc w:val="left"/>
            </w:pPr>
            <w:r/>
            <w:r>
              <w:rPr>
                <w:rFonts w:ascii="Calibri" w:hAnsi="Calibri"/>
                <w:b w:val="0"/>
                <w:color w:val="333333"/>
                <w:sz w:val="18"/>
              </w:rPr>
              <w:t>Subscription ARR</w:t>
            </w:r>
          </w:p>
        </w:tc>
        <w:tc>
          <w:tcPr>
            <w:tcW w:type="dxa" w:w="5040"/>
            <w:tcMar>
              <w:top w:w="40" w:type="dxa"/>
              <w:bottom w:w="40" w:type="dxa"/>
              <w:left w:w="80" w:type="dxa"/>
              <w:right w:w="80" w:type="dxa"/>
            </w:tcMar>
          </w:tcPr>
          <w:p>
            <w:pPr>
              <w:jc w:val="center"/>
            </w:pPr>
            <w:r/>
            <w:r>
              <w:rPr>
                <w:rFonts w:ascii="Calibri" w:hAnsi="Calibri"/>
                <w:b w:val="0"/>
                <w:color w:val="333333"/>
                <w:sz w:val="18"/>
              </w:rPr>
              <w:t>$941M (+28% YoY)</w:t>
            </w:r>
          </w:p>
        </w:tc>
      </w:tr>
      <w:tr>
        <w:tc>
          <w:tcPr>
            <w:tcW w:type="dxa" w:w="4320"/>
            <w:shd w:fill="EBF1F8"/>
            <w:tcMar>
              <w:top w:w="40" w:type="dxa"/>
              <w:bottom w:w="40" w:type="dxa"/>
              <w:left w:w="80" w:type="dxa"/>
              <w:right w:w="80" w:type="dxa"/>
            </w:tcMar>
          </w:tcPr>
          <w:p>
            <w:pPr>
              <w:jc w:val="left"/>
            </w:pPr>
            <w:r/>
            <w:r>
              <w:rPr>
                <w:rFonts w:ascii="Calibri" w:hAnsi="Calibri"/>
                <w:b w:val="0"/>
                <w:color w:val="333333"/>
                <w:sz w:val="18"/>
              </w:rPr>
              <w:t>SaaS ARR Growth</w:t>
            </w:r>
          </w:p>
        </w:tc>
        <w:tc>
          <w:tcPr>
            <w:tcW w:type="dxa" w:w="5040"/>
            <w:shd w:fill="EBF1F8"/>
            <w:tcMar>
              <w:top w:w="40" w:type="dxa"/>
              <w:bottom w:w="40" w:type="dxa"/>
              <w:left w:w="80" w:type="dxa"/>
              <w:right w:w="80" w:type="dxa"/>
            </w:tcMar>
          </w:tcPr>
          <w:p>
            <w:pPr>
              <w:jc w:val="center"/>
            </w:pPr>
            <w:r/>
            <w:r>
              <w:rPr>
                <w:rFonts w:ascii="Calibri" w:hAnsi="Calibri"/>
                <w:b w:val="0"/>
                <w:color w:val="333333"/>
                <w:sz w:val="18"/>
              </w:rPr>
              <w:t>+44% YoY</w:t>
            </w:r>
          </w:p>
        </w:tc>
      </w:tr>
      <w:tr>
        <w:tc>
          <w:tcPr>
            <w:tcW w:type="dxa" w:w="4320"/>
            <w:tcMar>
              <w:top w:w="40" w:type="dxa"/>
              <w:bottom w:w="40" w:type="dxa"/>
              <w:left w:w="80" w:type="dxa"/>
              <w:right w:w="80" w:type="dxa"/>
            </w:tcMar>
          </w:tcPr>
          <w:p>
            <w:pPr>
              <w:jc w:val="left"/>
            </w:pPr>
            <w:r/>
            <w:r>
              <w:rPr>
                <w:rFonts w:ascii="Calibri" w:hAnsi="Calibri"/>
                <w:b w:val="0"/>
                <w:color w:val="333333"/>
                <w:sz w:val="18"/>
              </w:rPr>
              <w:t>Non-GAAP EBIT Margin</w:t>
            </w:r>
          </w:p>
        </w:tc>
        <w:tc>
          <w:tcPr>
            <w:tcW w:type="dxa" w:w="5040"/>
            <w:tcMar>
              <w:top w:w="40" w:type="dxa"/>
              <w:bottom w:w="40" w:type="dxa"/>
              <w:left w:w="80" w:type="dxa"/>
              <w:right w:w="80" w:type="dxa"/>
            </w:tcMar>
          </w:tcPr>
          <w:p>
            <w:pPr>
              <w:jc w:val="center"/>
            </w:pPr>
            <w:r/>
            <w:r>
              <w:rPr>
                <w:rFonts w:ascii="Calibri" w:hAnsi="Calibri"/>
                <w:b w:val="0"/>
                <w:color w:val="333333"/>
                <w:sz w:val="18"/>
              </w:rPr>
              <w:t>19–20%</w:t>
            </w:r>
          </w:p>
        </w:tc>
      </w:tr>
      <w:tr>
        <w:tc>
          <w:tcPr>
            <w:tcW w:type="dxa" w:w="4320"/>
            <w:shd w:fill="EBF1F8"/>
            <w:tcMar>
              <w:top w:w="40" w:type="dxa"/>
              <w:bottom w:w="40" w:type="dxa"/>
              <w:left w:w="80" w:type="dxa"/>
              <w:right w:w="80" w:type="dxa"/>
            </w:tcMar>
          </w:tcPr>
          <w:p>
            <w:pPr>
              <w:jc w:val="left"/>
            </w:pPr>
            <w:r/>
            <w:r>
              <w:rPr>
                <w:rFonts w:ascii="Calibri" w:hAnsi="Calibri"/>
                <w:b w:val="0"/>
                <w:color w:val="333333"/>
                <w:sz w:val="18"/>
              </w:rPr>
              <w:t>Non-GAAP Gross Margin</w:t>
            </w:r>
          </w:p>
        </w:tc>
        <w:tc>
          <w:tcPr>
            <w:tcW w:type="dxa" w:w="5040"/>
            <w:shd w:fill="EBF1F8"/>
            <w:tcMar>
              <w:top w:w="40" w:type="dxa"/>
              <w:bottom w:w="40" w:type="dxa"/>
              <w:left w:w="80" w:type="dxa"/>
              <w:right w:w="80" w:type="dxa"/>
            </w:tcMar>
          </w:tcPr>
          <w:p>
            <w:pPr>
              <w:jc w:val="center"/>
            </w:pPr>
            <w:r/>
            <w:r>
              <w:rPr>
                <w:rFonts w:ascii="Calibri" w:hAnsi="Calibri"/>
                <w:b w:val="0"/>
                <w:color w:val="333333"/>
                <w:sz w:val="18"/>
              </w:rPr>
              <w:t>~81%</w:t>
            </w:r>
          </w:p>
        </w:tc>
      </w:tr>
      <w:tr>
        <w:tc>
          <w:tcPr>
            <w:tcW w:type="dxa" w:w="4320"/>
            <w:tcMar>
              <w:top w:w="40" w:type="dxa"/>
              <w:bottom w:w="40" w:type="dxa"/>
              <w:left w:w="80" w:type="dxa"/>
              <w:right w:w="80" w:type="dxa"/>
            </w:tcMar>
          </w:tcPr>
          <w:p>
            <w:pPr>
              <w:jc w:val="left"/>
            </w:pPr>
            <w:r/>
            <w:r>
              <w:rPr>
                <w:rFonts w:ascii="Calibri" w:hAnsi="Calibri"/>
                <w:b w:val="0"/>
                <w:color w:val="333333"/>
                <w:sz w:val="18"/>
              </w:rPr>
              <w:t>Free Cash Flow (Guided)</w:t>
            </w:r>
          </w:p>
        </w:tc>
        <w:tc>
          <w:tcPr>
            <w:tcW w:type="dxa" w:w="5040"/>
            <w:tcMar>
              <w:top w:w="40" w:type="dxa"/>
              <w:bottom w:w="40" w:type="dxa"/>
              <w:left w:w="80" w:type="dxa"/>
              <w:right w:w="80" w:type="dxa"/>
            </w:tcMar>
          </w:tcPr>
          <w:p>
            <w:pPr>
              <w:jc w:val="center"/>
            </w:pPr>
            <w:r/>
            <w:r>
              <w:rPr>
                <w:rFonts w:ascii="Calibri" w:hAnsi="Calibri"/>
                <w:b w:val="0"/>
                <w:color w:val="333333"/>
                <w:sz w:val="18"/>
              </w:rPr>
              <w:t>$215–220M</w:t>
            </w:r>
          </w:p>
        </w:tc>
      </w:tr>
      <w:tr>
        <w:tc>
          <w:tcPr>
            <w:tcW w:type="dxa" w:w="4320"/>
            <w:shd w:fill="EBF1F8"/>
            <w:tcMar>
              <w:top w:w="40" w:type="dxa"/>
              <w:bottom w:w="40" w:type="dxa"/>
              <w:left w:w="80" w:type="dxa"/>
              <w:right w:w="80" w:type="dxa"/>
            </w:tcMar>
          </w:tcPr>
          <w:p>
            <w:pPr>
              <w:jc w:val="left"/>
            </w:pPr>
            <w:r/>
            <w:r>
              <w:rPr>
                <w:rFonts w:ascii="Calibri" w:hAnsi="Calibri"/>
                <w:b w:val="0"/>
                <w:color w:val="333333"/>
                <w:sz w:val="18"/>
              </w:rPr>
              <w:t>Q3 FY2026 Revenue</w:t>
            </w:r>
          </w:p>
        </w:tc>
        <w:tc>
          <w:tcPr>
            <w:tcW w:type="dxa" w:w="5040"/>
            <w:shd w:fill="EBF1F8"/>
            <w:tcMar>
              <w:top w:w="40" w:type="dxa"/>
              <w:bottom w:w="40" w:type="dxa"/>
              <w:left w:w="80" w:type="dxa"/>
              <w:right w:w="80" w:type="dxa"/>
            </w:tcMar>
          </w:tcPr>
          <w:p>
            <w:pPr>
              <w:jc w:val="center"/>
            </w:pPr>
            <w:r/>
            <w:r>
              <w:rPr>
                <w:rFonts w:ascii="Calibri" w:hAnsi="Calibri"/>
                <w:b w:val="0"/>
                <w:color w:val="333333"/>
                <w:sz w:val="18"/>
              </w:rPr>
              <w:t>$314M (+19% YoY)</w:t>
            </w:r>
          </w:p>
        </w:tc>
      </w:tr>
    </w:tbl>
    <w:p/>
    <w:p>
      <w:pPr>
        <w:pStyle w:val="Heading2"/>
      </w:pPr>
      <w:r>
        <w:rPr>
          <w:rFonts w:ascii="Calibri" w:hAnsi="Calibri"/>
          <w:color w:val="0B1D3A"/>
        </w:rPr>
        <w:t>2.2 Cohesity (Acquirer — Private)</w:t>
      </w:r>
    </w:p>
    <w:p>
      <w:r>
        <w:rPr>
          <w:rFonts w:ascii="Calibri" w:hAnsi="Calibri"/>
          <w:b w:val="0"/>
          <w:color w:val="333333"/>
          <w:sz w:val="21"/>
        </w:rPr>
        <w:t>Cohesity is a leading AI-powered data security and management platform. Following its merger with Veritas Technologies in December 2024, Cohesity is the largest data protection company globally with approximately 6,000 employees.</w:t>
      </w:r>
    </w:p>
    <w:tbl>
      <w:tblPr>
        <w:tblStyle w:val="TableGrid"/>
        <w:tblW w:type="auto" w:w="0"/>
        <w:jc w:val="center"/>
        <w:tblLook w:firstColumn="1" w:firstRow="1" w:lastColumn="0" w:lastRow="0" w:noHBand="0" w:noVBand="1" w:val="04A0"/>
      </w:tblPr>
      <w:tblGrid>
        <w:gridCol w:w="4703"/>
        <w:gridCol w:w="4703"/>
      </w:tblGrid>
      <w:tr>
        <w:tc>
          <w:tcPr>
            <w:tcW w:type="dxa" w:w="4320"/>
            <w:shd w:fill="0B1D3A"/>
            <w:tcMar>
              <w:top w:w="40" w:type="dxa"/>
              <w:bottom w:w="40" w:type="dxa"/>
              <w:left w:w="80" w:type="dxa"/>
              <w:right w:w="80" w:type="dxa"/>
            </w:tcMar>
          </w:tcPr>
          <w:p>
            <w:pPr>
              <w:jc w:val="center"/>
            </w:pPr>
            <w:r/>
            <w:r>
              <w:rPr>
                <w:rFonts w:ascii="Calibri" w:hAnsi="Calibri"/>
                <w:b/>
                <w:color w:val="FFFFFF"/>
                <w:sz w:val="19"/>
              </w:rPr>
              <w:t>Metric</w:t>
            </w:r>
          </w:p>
        </w:tc>
        <w:tc>
          <w:tcPr>
            <w:tcW w:type="dxa" w:w="5040"/>
            <w:shd w:fill="0B1D3A"/>
            <w:tcMar>
              <w:top w:w="40" w:type="dxa"/>
              <w:bottom w:w="40" w:type="dxa"/>
              <w:left w:w="80" w:type="dxa"/>
              <w:right w:w="80" w:type="dxa"/>
            </w:tcMar>
          </w:tcPr>
          <w:p>
            <w:pPr>
              <w:jc w:val="center"/>
            </w:pPr>
            <w:r/>
            <w:r>
              <w:rPr>
                <w:rFonts w:ascii="Calibri" w:hAnsi="Calibri"/>
                <w:b/>
                <w:color w:val="FFFFFF"/>
                <w:sz w:val="19"/>
              </w:rPr>
              <w:t>Value</w:t>
            </w:r>
          </w:p>
        </w:tc>
      </w:tr>
      <w:tr>
        <w:tc>
          <w:tcPr>
            <w:tcW w:type="dxa" w:w="4320"/>
            <w:tcMar>
              <w:top w:w="40" w:type="dxa"/>
              <w:bottom w:w="40" w:type="dxa"/>
              <w:left w:w="80" w:type="dxa"/>
              <w:right w:w="80" w:type="dxa"/>
            </w:tcMar>
          </w:tcPr>
          <w:p>
            <w:pPr>
              <w:jc w:val="left"/>
            </w:pPr>
            <w:r/>
            <w:r>
              <w:rPr>
                <w:rFonts w:ascii="Calibri" w:hAnsi="Calibri"/>
                <w:b w:val="0"/>
                <w:color w:val="333333"/>
                <w:sz w:val="18"/>
              </w:rPr>
              <w:t>Valuation (Post-Veritas)</w:t>
            </w:r>
          </w:p>
        </w:tc>
        <w:tc>
          <w:tcPr>
            <w:tcW w:type="dxa" w:w="5040"/>
            <w:tcMar>
              <w:top w:w="40" w:type="dxa"/>
              <w:bottom w:w="40" w:type="dxa"/>
              <w:left w:w="80" w:type="dxa"/>
              <w:right w:w="80" w:type="dxa"/>
            </w:tcMar>
          </w:tcPr>
          <w:p>
            <w:pPr>
              <w:jc w:val="center"/>
            </w:pPr>
            <w:r/>
            <w:r>
              <w:rPr>
                <w:rFonts w:ascii="Calibri" w:hAnsi="Calibri"/>
                <w:b w:val="0"/>
                <w:color w:val="333333"/>
                <w:sz w:val="18"/>
              </w:rPr>
              <w:t>$7B; IPO target ~$17B</w:t>
            </w:r>
          </w:p>
        </w:tc>
      </w:tr>
      <w:tr>
        <w:tc>
          <w:tcPr>
            <w:tcW w:type="dxa" w:w="4320"/>
            <w:shd w:fill="EBF1F8"/>
            <w:tcMar>
              <w:top w:w="40" w:type="dxa"/>
              <w:bottom w:w="40" w:type="dxa"/>
              <w:left w:w="80" w:type="dxa"/>
              <w:right w:w="80" w:type="dxa"/>
            </w:tcMar>
          </w:tcPr>
          <w:p>
            <w:pPr>
              <w:jc w:val="left"/>
            </w:pPr>
            <w:r/>
            <w:r>
              <w:rPr>
                <w:rFonts w:ascii="Calibri" w:hAnsi="Calibri"/>
                <w:b w:val="0"/>
                <w:color w:val="333333"/>
                <w:sz w:val="18"/>
              </w:rPr>
              <w:t>Pro-Forma Revenue</w:t>
            </w:r>
          </w:p>
        </w:tc>
        <w:tc>
          <w:tcPr>
            <w:tcW w:type="dxa" w:w="5040"/>
            <w:shd w:fill="EBF1F8"/>
            <w:tcMar>
              <w:top w:w="40" w:type="dxa"/>
              <w:bottom w:w="40" w:type="dxa"/>
              <w:left w:w="80" w:type="dxa"/>
              <w:right w:w="80" w:type="dxa"/>
            </w:tcMar>
          </w:tcPr>
          <w:p>
            <w:pPr>
              <w:jc w:val="center"/>
            </w:pPr>
            <w:r/>
            <w:r>
              <w:rPr>
                <w:rFonts w:ascii="Calibri" w:hAnsi="Calibri"/>
                <w:b w:val="0"/>
                <w:color w:val="333333"/>
                <w:sz w:val="18"/>
              </w:rPr>
              <w:t>~$1.6B (post-Veritas)</w:t>
            </w:r>
          </w:p>
        </w:tc>
      </w:tr>
      <w:tr>
        <w:tc>
          <w:tcPr>
            <w:tcW w:type="dxa" w:w="4320"/>
            <w:tcMar>
              <w:top w:w="40" w:type="dxa"/>
              <w:bottom w:w="40" w:type="dxa"/>
              <w:left w:w="80" w:type="dxa"/>
              <w:right w:w="80" w:type="dxa"/>
            </w:tcMar>
          </w:tcPr>
          <w:p>
            <w:pPr>
              <w:jc w:val="left"/>
            </w:pPr>
            <w:r/>
            <w:r>
              <w:rPr>
                <w:rFonts w:ascii="Calibri" w:hAnsi="Calibri"/>
                <w:b w:val="0"/>
                <w:color w:val="333333"/>
                <w:sz w:val="18"/>
              </w:rPr>
              <w:t>ARR</w:t>
            </w:r>
          </w:p>
        </w:tc>
        <w:tc>
          <w:tcPr>
            <w:tcW w:type="dxa" w:w="5040"/>
            <w:tcMar>
              <w:top w:w="40" w:type="dxa"/>
              <w:bottom w:w="40" w:type="dxa"/>
              <w:left w:w="80" w:type="dxa"/>
              <w:right w:w="80" w:type="dxa"/>
            </w:tcMar>
          </w:tcPr>
          <w:p>
            <w:pPr>
              <w:jc w:val="center"/>
            </w:pPr>
            <w:r/>
            <w:r>
              <w:rPr>
                <w:rFonts w:ascii="Calibri" w:hAnsi="Calibri"/>
                <w:b w:val="0"/>
                <w:color w:val="333333"/>
                <w:sz w:val="18"/>
              </w:rPr>
              <w:t>~$1.5B</w:t>
            </w:r>
          </w:p>
        </w:tc>
      </w:tr>
      <w:tr>
        <w:tc>
          <w:tcPr>
            <w:tcW w:type="dxa" w:w="4320"/>
            <w:shd w:fill="EBF1F8"/>
            <w:tcMar>
              <w:top w:w="40" w:type="dxa"/>
              <w:bottom w:w="40" w:type="dxa"/>
              <w:left w:w="80" w:type="dxa"/>
              <w:right w:w="80" w:type="dxa"/>
            </w:tcMar>
          </w:tcPr>
          <w:p>
            <w:pPr>
              <w:jc w:val="left"/>
            </w:pPr>
            <w:r/>
            <w:r>
              <w:rPr>
                <w:rFonts w:ascii="Calibri" w:hAnsi="Calibri"/>
                <w:b w:val="0"/>
                <w:color w:val="333333"/>
                <w:sz w:val="18"/>
              </w:rPr>
              <w:t>Revenue Growth (Pre-Veritas)</w:t>
            </w:r>
          </w:p>
        </w:tc>
        <w:tc>
          <w:tcPr>
            <w:tcW w:type="dxa" w:w="5040"/>
            <w:shd w:fill="EBF1F8"/>
            <w:tcMar>
              <w:top w:w="40" w:type="dxa"/>
              <w:bottom w:w="40" w:type="dxa"/>
              <w:left w:w="80" w:type="dxa"/>
              <w:right w:w="80" w:type="dxa"/>
            </w:tcMar>
          </w:tcPr>
          <w:p>
            <w:pPr>
              <w:jc w:val="center"/>
            </w:pPr>
            <w:r/>
            <w:r>
              <w:rPr>
                <w:rFonts w:ascii="Calibri" w:hAnsi="Calibri"/>
                <w:b w:val="0"/>
                <w:color w:val="333333"/>
                <w:sz w:val="18"/>
              </w:rPr>
              <w:t>~30%</w:t>
            </w:r>
          </w:p>
        </w:tc>
      </w:tr>
      <w:tr>
        <w:tc>
          <w:tcPr>
            <w:tcW w:type="dxa" w:w="4320"/>
            <w:tcMar>
              <w:top w:w="40" w:type="dxa"/>
              <w:bottom w:w="40" w:type="dxa"/>
              <w:left w:w="80" w:type="dxa"/>
              <w:right w:w="80" w:type="dxa"/>
            </w:tcMar>
          </w:tcPr>
          <w:p>
            <w:pPr>
              <w:jc w:val="left"/>
            </w:pPr>
            <w:r/>
            <w:r>
              <w:rPr>
                <w:rFonts w:ascii="Calibri" w:hAnsi="Calibri"/>
                <w:b w:val="0"/>
                <w:color w:val="333333"/>
                <w:sz w:val="18"/>
              </w:rPr>
              <w:t>Adjusted Profit Margin</w:t>
            </w:r>
          </w:p>
        </w:tc>
        <w:tc>
          <w:tcPr>
            <w:tcW w:type="dxa" w:w="5040"/>
            <w:tcMar>
              <w:top w:w="40" w:type="dxa"/>
              <w:bottom w:w="40" w:type="dxa"/>
              <w:left w:w="80" w:type="dxa"/>
              <w:right w:w="80" w:type="dxa"/>
            </w:tcMar>
          </w:tcPr>
          <w:p>
            <w:pPr>
              <w:jc w:val="center"/>
            </w:pPr>
            <w:r/>
            <w:r>
              <w:rPr>
                <w:rFonts w:ascii="Calibri" w:hAnsi="Calibri"/>
                <w:b w:val="0"/>
                <w:color w:val="333333"/>
                <w:sz w:val="18"/>
              </w:rPr>
              <w:t>28%</w:t>
            </w:r>
          </w:p>
        </w:tc>
      </w:tr>
      <w:tr>
        <w:tc>
          <w:tcPr>
            <w:tcW w:type="dxa" w:w="4320"/>
            <w:shd w:fill="EBF1F8"/>
            <w:tcMar>
              <w:top w:w="40" w:type="dxa"/>
              <w:bottom w:w="40" w:type="dxa"/>
              <w:left w:w="80" w:type="dxa"/>
              <w:right w:w="80" w:type="dxa"/>
            </w:tcMar>
          </w:tcPr>
          <w:p>
            <w:pPr>
              <w:jc w:val="left"/>
            </w:pPr>
            <w:r/>
            <w:r>
              <w:rPr>
                <w:rFonts w:ascii="Calibri" w:hAnsi="Calibri"/>
                <w:b w:val="0"/>
                <w:color w:val="333333"/>
                <w:sz w:val="18"/>
              </w:rPr>
              <w:t>Key Investors</w:t>
            </w:r>
          </w:p>
        </w:tc>
        <w:tc>
          <w:tcPr>
            <w:tcW w:type="dxa" w:w="5040"/>
            <w:shd w:fill="EBF1F8"/>
            <w:tcMar>
              <w:top w:w="40" w:type="dxa"/>
              <w:bottom w:w="40" w:type="dxa"/>
              <w:left w:w="80" w:type="dxa"/>
              <w:right w:w="80" w:type="dxa"/>
            </w:tcMar>
          </w:tcPr>
          <w:p>
            <w:pPr>
              <w:jc w:val="center"/>
            </w:pPr>
            <w:r/>
            <w:r>
              <w:rPr>
                <w:rFonts w:ascii="Calibri" w:hAnsi="Calibri"/>
                <w:b w:val="0"/>
                <w:color w:val="333333"/>
                <w:sz w:val="18"/>
              </w:rPr>
              <w:t>SoftBank, Sequoia Capital</w:t>
            </w:r>
          </w:p>
        </w:tc>
      </w:tr>
      <w:tr>
        <w:tc>
          <w:tcPr>
            <w:tcW w:type="dxa" w:w="4320"/>
            <w:tcMar>
              <w:top w:w="40" w:type="dxa"/>
              <w:bottom w:w="40" w:type="dxa"/>
              <w:left w:w="80" w:type="dxa"/>
              <w:right w:w="80" w:type="dxa"/>
            </w:tcMar>
          </w:tcPr>
          <w:p>
            <w:pPr>
              <w:jc w:val="left"/>
            </w:pPr>
            <w:r/>
            <w:r>
              <w:rPr>
                <w:rFonts w:ascii="Calibri" w:hAnsi="Calibri"/>
                <w:b w:val="0"/>
                <w:color w:val="333333"/>
                <w:sz w:val="18"/>
              </w:rPr>
              <w:t>Veritas Merger</w:t>
            </w:r>
          </w:p>
        </w:tc>
        <w:tc>
          <w:tcPr>
            <w:tcW w:type="dxa" w:w="5040"/>
            <w:tcMar>
              <w:top w:w="40" w:type="dxa"/>
              <w:bottom w:w="40" w:type="dxa"/>
              <w:left w:w="80" w:type="dxa"/>
              <w:right w:w="80" w:type="dxa"/>
            </w:tcMar>
          </w:tcPr>
          <w:p>
            <w:pPr>
              <w:jc w:val="center"/>
            </w:pPr>
            <w:r/>
            <w:r>
              <w:rPr>
                <w:rFonts w:ascii="Calibri" w:hAnsi="Calibri"/>
                <w:b w:val="0"/>
                <w:color w:val="333333"/>
                <w:sz w:val="18"/>
              </w:rPr>
              <w:t>Completed December 2024</w:t>
            </w:r>
          </w:p>
        </w:tc>
      </w:tr>
      <w:tr>
        <w:tc>
          <w:tcPr>
            <w:tcW w:type="dxa" w:w="4320"/>
            <w:shd w:fill="EBF1F8"/>
            <w:tcMar>
              <w:top w:w="40" w:type="dxa"/>
              <w:bottom w:w="40" w:type="dxa"/>
              <w:left w:w="80" w:type="dxa"/>
              <w:right w:w="80" w:type="dxa"/>
            </w:tcMar>
          </w:tcPr>
          <w:p>
            <w:pPr>
              <w:jc w:val="left"/>
            </w:pPr>
            <w:r/>
            <w:r>
              <w:rPr>
                <w:rFonts w:ascii="Calibri" w:hAnsi="Calibri"/>
                <w:b w:val="0"/>
                <w:color w:val="333333"/>
                <w:sz w:val="18"/>
              </w:rPr>
              <w:t>Employees</w:t>
            </w:r>
          </w:p>
        </w:tc>
        <w:tc>
          <w:tcPr>
            <w:tcW w:type="dxa" w:w="5040"/>
            <w:shd w:fill="EBF1F8"/>
            <w:tcMar>
              <w:top w:w="40" w:type="dxa"/>
              <w:bottom w:w="40" w:type="dxa"/>
              <w:left w:w="80" w:type="dxa"/>
              <w:right w:w="80" w:type="dxa"/>
            </w:tcMar>
          </w:tcPr>
          <w:p>
            <w:pPr>
              <w:jc w:val="center"/>
            </w:pPr>
            <w:r/>
            <w:r>
              <w:rPr>
                <w:rFonts w:ascii="Calibri" w:hAnsi="Calibri"/>
                <w:b w:val="0"/>
                <w:color w:val="333333"/>
                <w:sz w:val="18"/>
              </w:rPr>
              <w:t>~6,000</w:t>
            </w:r>
          </w:p>
        </w:tc>
      </w:tr>
    </w:tbl>
    <w:p/>
    <w:p>
      <w:r>
        <w:br w:type="page"/>
      </w:r>
    </w:p>
    <w:p>
      <w:pPr>
        <w:pStyle w:val="Heading1"/>
      </w:pPr>
      <w:r>
        <w:rPr>
          <w:rFonts w:ascii="Calibri" w:hAnsi="Calibri"/>
          <w:color w:val="0B1D3A"/>
        </w:rPr>
        <w:t>3. Purchase Price Analysis</w:t>
      </w:r>
    </w:p>
    <w:p>
      <w:pPr>
        <w:pStyle w:val="Heading2"/>
      </w:pPr>
      <w:r>
        <w:rPr>
          <w:rFonts w:ascii="Calibri" w:hAnsi="Calibri"/>
          <w:color w:val="0B1D3A"/>
        </w:rPr>
        <w:t>3.1 Valuation Methodology</w:t>
      </w:r>
    </w:p>
    <w:p>
      <w:r>
        <w:rPr>
          <w:rFonts w:ascii="Calibri" w:hAnsi="Calibri"/>
          <w:b w:val="0"/>
          <w:color w:val="333333"/>
          <w:sz w:val="21"/>
        </w:rPr>
        <w:t>Our valuation is based on EV/Revenue and EV/ARR multiples derived from comparable transactions in the enterprise software and data protection sectors.</w:t>
      </w:r>
    </w:p>
    <w:p>
      <w:pPr>
        <w:pStyle w:val="ListBullet"/>
      </w:pPr>
      <w:r>
        <w:rPr>
          <w:rFonts w:ascii="Calibri" w:hAnsi="Calibri"/>
          <w:color w:val="333333"/>
          <w:sz w:val="20"/>
        </w:rPr>
        <w:t>SaaS M&amp;A median revenue multiple: 3.8x (2025, per Aventis Advisors)</w:t>
      </w:r>
    </w:p>
    <w:p>
      <w:pPr>
        <w:pStyle w:val="ListBullet"/>
      </w:pPr>
      <w:r>
        <w:rPr>
          <w:rFonts w:ascii="Calibri" w:hAnsi="Calibri"/>
          <w:color w:val="333333"/>
          <w:sz w:val="20"/>
        </w:rPr>
        <w:t>Enterprise software PE acquisitions: 12–20x EBITDA</w:t>
      </w:r>
    </w:p>
    <w:p>
      <w:pPr>
        <w:pStyle w:val="ListBullet"/>
      </w:pPr>
      <w:r>
        <w:rPr>
          <w:rFonts w:ascii="Calibri" w:hAnsi="Calibri"/>
          <w:color w:val="333333"/>
          <w:sz w:val="20"/>
        </w:rPr>
        <w:t>High-growth SaaS (NRR &gt;120%): up to 11.7x revenue</w:t>
      </w:r>
    </w:p>
    <w:p>
      <w:pPr>
        <w:pStyle w:val="ListBullet"/>
      </w:pPr>
      <w:r>
        <w:rPr>
          <w:rFonts w:ascii="Calibri" w:hAnsi="Calibri"/>
          <w:color w:val="333333"/>
          <w:sz w:val="20"/>
        </w:rPr>
        <w:t>Control premium for public targets: typically 25–40%</w:t>
      </w:r>
    </w:p>
    <w:p>
      <w:pPr>
        <w:pStyle w:val="Heading2"/>
      </w:pPr>
      <w:r>
        <w:rPr>
          <w:rFonts w:ascii="Calibri" w:hAnsi="Calibri"/>
          <w:color w:val="0B1D3A"/>
        </w:rPr>
        <w:t>3.2 Valuation Scenarios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880"/>
            <w:shd w:fill="0B1D3A"/>
            <w:tcMar>
              <w:top w:w="40" w:type="dxa"/>
              <w:bottom w:w="40" w:type="dxa"/>
              <w:left w:w="80" w:type="dxa"/>
              <w:right w:w="80" w:type="dxa"/>
            </w:tcMar>
          </w:tcPr>
          <w:p>
            <w:pPr>
              <w:jc w:val="center"/>
            </w:pPr>
            <w:r/>
            <w:r>
              <w:rPr>
                <w:rFonts w:ascii="Calibri" w:hAnsi="Calibri"/>
                <w:b/>
                <w:color w:val="FFFFFF"/>
                <w:sz w:val="19"/>
              </w:rPr>
            </w:r>
          </w:p>
        </w:tc>
        <w:tc>
          <w:tcPr>
            <w:tcW w:type="dxa" w:w="2448"/>
            <w:shd w:fill="0B1D3A"/>
            <w:tcMar>
              <w:top w:w="40" w:type="dxa"/>
              <w:bottom w:w="40" w:type="dxa"/>
              <w:left w:w="80" w:type="dxa"/>
              <w:right w:w="80" w:type="dxa"/>
            </w:tcMar>
          </w:tcPr>
          <w:p>
            <w:pPr>
              <w:jc w:val="center"/>
            </w:pPr>
            <w:r/>
            <w:r>
              <w:rPr>
                <w:rFonts w:ascii="Calibri" w:hAnsi="Calibri"/>
                <w:b/>
                <w:color w:val="FFFFFF"/>
                <w:sz w:val="19"/>
              </w:rPr>
              <w:t>Low Case (4.5x)</w:t>
            </w:r>
          </w:p>
        </w:tc>
        <w:tc>
          <w:tcPr>
            <w:tcW w:type="dxa" w:w="2448"/>
            <w:shd w:fill="0B1D3A"/>
            <w:tcMar>
              <w:top w:w="40" w:type="dxa"/>
              <w:bottom w:w="40" w:type="dxa"/>
              <w:left w:w="80" w:type="dxa"/>
              <w:right w:w="80" w:type="dxa"/>
            </w:tcMar>
          </w:tcPr>
          <w:p>
            <w:pPr>
              <w:jc w:val="center"/>
            </w:pPr>
            <w:r/>
            <w:r>
              <w:rPr>
                <w:rFonts w:ascii="Calibri" w:hAnsi="Calibri"/>
                <w:b/>
                <w:color w:val="FFFFFF"/>
                <w:sz w:val="19"/>
              </w:rPr>
              <w:t>Base Case (6.0x)</w:t>
            </w:r>
          </w:p>
        </w:tc>
        <w:tc>
          <w:tcPr>
            <w:tcW w:type="dxa" w:w="2448"/>
            <w:shd w:fill="0B1D3A"/>
            <w:tcMar>
              <w:top w:w="40" w:type="dxa"/>
              <w:bottom w:w="40" w:type="dxa"/>
              <w:left w:w="80" w:type="dxa"/>
              <w:right w:w="80" w:type="dxa"/>
            </w:tcMar>
          </w:tcPr>
          <w:p>
            <w:pPr>
              <w:jc w:val="center"/>
            </w:pPr>
            <w:r/>
            <w:r>
              <w:rPr>
                <w:rFonts w:ascii="Calibri" w:hAnsi="Calibri"/>
                <w:b/>
                <w:color w:val="FFFFFF"/>
                <w:sz w:val="19"/>
              </w:rPr>
              <w:t>High Case (8.0x)</w:t>
            </w:r>
          </w:p>
        </w:tc>
      </w:tr>
      <w:tr>
        <w:tc>
          <w:tcPr>
            <w:tcW w:type="dxa" w:w="2880"/>
            <w:tcMar>
              <w:top w:w="40" w:type="dxa"/>
              <w:bottom w:w="40" w:type="dxa"/>
              <w:left w:w="80" w:type="dxa"/>
              <w:right w:w="80" w:type="dxa"/>
            </w:tcMar>
          </w:tcPr>
          <w:p>
            <w:pPr>
              <w:jc w:val="left"/>
            </w:pPr>
            <w:r/>
            <w:r>
              <w:rPr>
                <w:rFonts w:ascii="Calibri" w:hAnsi="Calibri"/>
                <w:b w:val="0"/>
                <w:color w:val="333333"/>
                <w:sz w:val="18"/>
              </w:rPr>
              <w:t>EV/Revenue Multiple</w:t>
            </w:r>
          </w:p>
        </w:tc>
        <w:tc>
          <w:tcPr>
            <w:tcW w:type="dxa" w:w="2448"/>
            <w:tcMar>
              <w:top w:w="40" w:type="dxa"/>
              <w:bottom w:w="40" w:type="dxa"/>
              <w:left w:w="80" w:type="dxa"/>
              <w:right w:w="80" w:type="dxa"/>
            </w:tcMar>
          </w:tcPr>
          <w:p>
            <w:pPr>
              <w:jc w:val="center"/>
            </w:pPr>
            <w:r/>
            <w:r>
              <w:rPr>
                <w:rFonts w:ascii="Calibri" w:hAnsi="Calibri"/>
                <w:b w:val="0"/>
                <w:color w:val="333333"/>
                <w:sz w:val="18"/>
              </w:rPr>
              <w:t>4.5x</w:t>
            </w:r>
          </w:p>
        </w:tc>
        <w:tc>
          <w:tcPr>
            <w:tcW w:type="dxa" w:w="2448"/>
            <w:tcMar>
              <w:top w:w="40" w:type="dxa"/>
              <w:bottom w:w="40" w:type="dxa"/>
              <w:left w:w="80" w:type="dxa"/>
              <w:right w:w="80" w:type="dxa"/>
            </w:tcMar>
          </w:tcPr>
          <w:p>
            <w:pPr>
              <w:jc w:val="center"/>
            </w:pPr>
            <w:r/>
            <w:r>
              <w:rPr>
                <w:rFonts w:ascii="Calibri" w:hAnsi="Calibri"/>
                <w:b w:val="0"/>
                <w:color w:val="333333"/>
                <w:sz w:val="18"/>
              </w:rPr>
              <w:t>6.0x</w:t>
            </w:r>
          </w:p>
        </w:tc>
        <w:tc>
          <w:tcPr>
            <w:tcW w:type="dxa" w:w="2448"/>
            <w:tcMar>
              <w:top w:w="40" w:type="dxa"/>
              <w:bottom w:w="40" w:type="dxa"/>
              <w:left w:w="80" w:type="dxa"/>
              <w:right w:w="80" w:type="dxa"/>
            </w:tcMar>
          </w:tcPr>
          <w:p>
            <w:pPr>
              <w:jc w:val="center"/>
            </w:pPr>
            <w:r/>
            <w:r>
              <w:rPr>
                <w:rFonts w:ascii="Calibri" w:hAnsi="Calibri"/>
                <w:b w:val="0"/>
                <w:color w:val="333333"/>
                <w:sz w:val="18"/>
              </w:rPr>
              <w:t>8.0x</w:t>
            </w:r>
          </w:p>
        </w:tc>
      </w:tr>
      <w:tr>
        <w:tc>
          <w:tcPr>
            <w:tcW w:type="dxa" w:w="2880"/>
            <w:shd w:fill="EBF1F8"/>
            <w:tcMar>
              <w:top w:w="40" w:type="dxa"/>
              <w:bottom w:w="40" w:type="dxa"/>
              <w:left w:w="80" w:type="dxa"/>
              <w:right w:w="80" w:type="dxa"/>
            </w:tcMar>
          </w:tcPr>
          <w:p>
            <w:pPr>
              <w:jc w:val="left"/>
            </w:pPr>
            <w:r/>
            <w:r>
              <w:rPr>
                <w:rFonts w:ascii="Calibri" w:hAnsi="Calibri"/>
                <w:b w:val="0"/>
                <w:color w:val="333333"/>
                <w:sz w:val="18"/>
              </w:rPr>
              <w:t>Enterprise Value</w:t>
            </w:r>
          </w:p>
        </w:tc>
        <w:tc>
          <w:tcPr>
            <w:tcW w:type="dxa" w:w="2448"/>
            <w:shd w:fill="EBF1F8"/>
            <w:tcMar>
              <w:top w:w="40" w:type="dxa"/>
              <w:bottom w:w="40" w:type="dxa"/>
              <w:left w:w="80" w:type="dxa"/>
              <w:right w:w="80" w:type="dxa"/>
            </w:tcMar>
          </w:tcPr>
          <w:p>
            <w:pPr>
              <w:jc w:val="center"/>
            </w:pPr>
            <w:r/>
            <w:r>
              <w:rPr>
                <w:rFonts w:ascii="Calibri" w:hAnsi="Calibri"/>
                <w:b w:val="0"/>
                <w:color w:val="333333"/>
                <w:sz w:val="18"/>
              </w:rPr>
              <w:t>$5.3B</w:t>
            </w:r>
          </w:p>
        </w:tc>
        <w:tc>
          <w:tcPr>
            <w:tcW w:type="dxa" w:w="2448"/>
            <w:shd w:fill="EBF1F8"/>
            <w:tcMar>
              <w:top w:w="40" w:type="dxa"/>
              <w:bottom w:w="40" w:type="dxa"/>
              <w:left w:w="80" w:type="dxa"/>
              <w:right w:w="80" w:type="dxa"/>
            </w:tcMar>
          </w:tcPr>
          <w:p>
            <w:pPr>
              <w:jc w:val="center"/>
            </w:pPr>
            <w:r/>
            <w:r>
              <w:rPr>
                <w:rFonts w:ascii="Calibri" w:hAnsi="Calibri"/>
                <w:b w:val="0"/>
                <w:color w:val="333333"/>
                <w:sz w:val="18"/>
              </w:rPr>
              <w:t>$7.1B</w:t>
            </w:r>
          </w:p>
        </w:tc>
        <w:tc>
          <w:tcPr>
            <w:tcW w:type="dxa" w:w="2448"/>
            <w:shd w:fill="EBF1F8"/>
            <w:tcMar>
              <w:top w:w="40" w:type="dxa"/>
              <w:bottom w:w="40" w:type="dxa"/>
              <w:left w:w="80" w:type="dxa"/>
              <w:right w:w="80" w:type="dxa"/>
            </w:tcMar>
          </w:tcPr>
          <w:p>
            <w:pPr>
              <w:jc w:val="center"/>
            </w:pPr>
            <w:r/>
            <w:r>
              <w:rPr>
                <w:rFonts w:ascii="Calibri" w:hAnsi="Calibri"/>
                <w:b w:val="0"/>
                <w:color w:val="333333"/>
                <w:sz w:val="18"/>
              </w:rPr>
              <w:t>$9.4B</w:t>
            </w:r>
          </w:p>
        </w:tc>
      </w:tr>
      <w:tr>
        <w:tc>
          <w:tcPr>
            <w:tcW w:type="dxa" w:w="2880"/>
            <w:tcMar>
              <w:top w:w="40" w:type="dxa"/>
              <w:bottom w:w="40" w:type="dxa"/>
              <w:left w:w="80" w:type="dxa"/>
              <w:right w:w="80" w:type="dxa"/>
            </w:tcMar>
          </w:tcPr>
          <w:p>
            <w:pPr>
              <w:jc w:val="left"/>
            </w:pPr>
            <w:r/>
            <w:r>
              <w:rPr>
                <w:rFonts w:ascii="Calibri" w:hAnsi="Calibri"/>
                <w:b w:val="0"/>
                <w:color w:val="333333"/>
                <w:sz w:val="18"/>
              </w:rPr>
              <w:t>Less: Debt</w:t>
            </w:r>
          </w:p>
        </w:tc>
        <w:tc>
          <w:tcPr>
            <w:tcW w:type="dxa" w:w="2448"/>
            <w:tcMar>
              <w:top w:w="40" w:type="dxa"/>
              <w:bottom w:w="40" w:type="dxa"/>
              <w:left w:w="80" w:type="dxa"/>
              <w:right w:w="80" w:type="dxa"/>
            </w:tcMar>
          </w:tcPr>
          <w:p>
            <w:pPr>
              <w:jc w:val="center"/>
            </w:pPr>
            <w:r/>
            <w:r>
              <w:rPr>
                <w:rFonts w:ascii="Calibri" w:hAnsi="Calibri"/>
                <w:b w:val="0"/>
                <w:color w:val="333333"/>
                <w:sz w:val="18"/>
              </w:rPr>
              <w:t>($920M)</w:t>
            </w:r>
          </w:p>
        </w:tc>
        <w:tc>
          <w:tcPr>
            <w:tcW w:type="dxa" w:w="2448"/>
            <w:tcMar>
              <w:top w:w="40" w:type="dxa"/>
              <w:bottom w:w="40" w:type="dxa"/>
              <w:left w:w="80" w:type="dxa"/>
              <w:right w:w="80" w:type="dxa"/>
            </w:tcMar>
          </w:tcPr>
          <w:p>
            <w:pPr>
              <w:jc w:val="center"/>
            </w:pPr>
            <w:r/>
            <w:r>
              <w:rPr>
                <w:rFonts w:ascii="Calibri" w:hAnsi="Calibri"/>
                <w:b w:val="0"/>
                <w:color w:val="333333"/>
                <w:sz w:val="18"/>
              </w:rPr>
              <w:t>($920M)</w:t>
            </w:r>
          </w:p>
        </w:tc>
        <w:tc>
          <w:tcPr>
            <w:tcW w:type="dxa" w:w="2448"/>
            <w:tcMar>
              <w:top w:w="40" w:type="dxa"/>
              <w:bottom w:w="40" w:type="dxa"/>
              <w:left w:w="80" w:type="dxa"/>
              <w:right w:w="80" w:type="dxa"/>
            </w:tcMar>
          </w:tcPr>
          <w:p>
            <w:pPr>
              <w:jc w:val="center"/>
            </w:pPr>
            <w:r/>
            <w:r>
              <w:rPr>
                <w:rFonts w:ascii="Calibri" w:hAnsi="Calibri"/>
                <w:b w:val="0"/>
                <w:color w:val="333333"/>
                <w:sz w:val="18"/>
              </w:rPr>
              <w:t>($920M)</w:t>
            </w:r>
          </w:p>
        </w:tc>
      </w:tr>
      <w:tr>
        <w:tc>
          <w:tcPr>
            <w:tcW w:type="dxa" w:w="2880"/>
            <w:shd w:fill="EBF1F8"/>
            <w:tcMar>
              <w:top w:w="40" w:type="dxa"/>
              <w:bottom w:w="40" w:type="dxa"/>
              <w:left w:w="80" w:type="dxa"/>
              <w:right w:w="80" w:type="dxa"/>
            </w:tcMar>
          </w:tcPr>
          <w:p>
            <w:pPr>
              <w:jc w:val="left"/>
            </w:pPr>
            <w:r/>
            <w:r>
              <w:rPr>
                <w:rFonts w:ascii="Calibri" w:hAnsi="Calibri"/>
                <w:b w:val="0"/>
                <w:color w:val="333333"/>
                <w:sz w:val="18"/>
              </w:rPr>
              <w:t>Plus: Cash</w:t>
            </w:r>
          </w:p>
        </w:tc>
        <w:tc>
          <w:tcPr>
            <w:tcW w:type="dxa" w:w="2448"/>
            <w:shd w:fill="EBF1F8"/>
            <w:tcMar>
              <w:top w:w="40" w:type="dxa"/>
              <w:bottom w:w="40" w:type="dxa"/>
              <w:left w:w="80" w:type="dxa"/>
              <w:right w:w="80" w:type="dxa"/>
            </w:tcMar>
          </w:tcPr>
          <w:p>
            <w:pPr>
              <w:jc w:val="center"/>
            </w:pPr>
            <w:r/>
            <w:r>
              <w:rPr>
                <w:rFonts w:ascii="Calibri" w:hAnsi="Calibri"/>
                <w:b w:val="0"/>
                <w:color w:val="333333"/>
                <w:sz w:val="18"/>
              </w:rPr>
              <w:t>$1.03B</w:t>
            </w:r>
          </w:p>
        </w:tc>
        <w:tc>
          <w:tcPr>
            <w:tcW w:type="dxa" w:w="2448"/>
            <w:shd w:fill="EBF1F8"/>
            <w:tcMar>
              <w:top w:w="40" w:type="dxa"/>
              <w:bottom w:w="40" w:type="dxa"/>
              <w:left w:w="80" w:type="dxa"/>
              <w:right w:w="80" w:type="dxa"/>
            </w:tcMar>
          </w:tcPr>
          <w:p>
            <w:pPr>
              <w:jc w:val="center"/>
            </w:pPr>
            <w:r/>
            <w:r>
              <w:rPr>
                <w:rFonts w:ascii="Calibri" w:hAnsi="Calibri"/>
                <w:b w:val="0"/>
                <w:color w:val="333333"/>
                <w:sz w:val="18"/>
              </w:rPr>
              <w:t>$1.03B</w:t>
            </w:r>
          </w:p>
        </w:tc>
        <w:tc>
          <w:tcPr>
            <w:tcW w:type="dxa" w:w="2448"/>
            <w:shd w:fill="EBF1F8"/>
            <w:tcMar>
              <w:top w:w="40" w:type="dxa"/>
              <w:bottom w:w="40" w:type="dxa"/>
              <w:left w:w="80" w:type="dxa"/>
              <w:right w:w="80" w:type="dxa"/>
            </w:tcMar>
          </w:tcPr>
          <w:p>
            <w:pPr>
              <w:jc w:val="center"/>
            </w:pPr>
            <w:r/>
            <w:r>
              <w:rPr>
                <w:rFonts w:ascii="Calibri" w:hAnsi="Calibri"/>
                <w:b w:val="0"/>
                <w:color w:val="333333"/>
                <w:sz w:val="18"/>
              </w:rPr>
              <w:t>$1.03B</w:t>
            </w:r>
          </w:p>
        </w:tc>
      </w:tr>
      <w:tr>
        <w:tc>
          <w:tcPr>
            <w:tcW w:type="dxa" w:w="2880"/>
            <w:tcMar>
              <w:top w:w="40" w:type="dxa"/>
              <w:bottom w:w="40" w:type="dxa"/>
              <w:left w:w="80" w:type="dxa"/>
              <w:right w:w="80" w:type="dxa"/>
            </w:tcMar>
          </w:tcPr>
          <w:p>
            <w:pPr>
              <w:jc w:val="left"/>
            </w:pPr>
            <w:r/>
            <w:r>
              <w:rPr>
                <w:rFonts w:ascii="Calibri" w:hAnsi="Calibri"/>
                <w:b w:val="0"/>
                <w:color w:val="333333"/>
                <w:sz w:val="18"/>
              </w:rPr>
              <w:t>Equity Value</w:t>
            </w:r>
          </w:p>
        </w:tc>
        <w:tc>
          <w:tcPr>
            <w:tcW w:type="dxa" w:w="2448"/>
            <w:tcMar>
              <w:top w:w="40" w:type="dxa"/>
              <w:bottom w:w="40" w:type="dxa"/>
              <w:left w:w="80" w:type="dxa"/>
              <w:right w:w="80" w:type="dxa"/>
            </w:tcMar>
          </w:tcPr>
          <w:p>
            <w:pPr>
              <w:jc w:val="center"/>
            </w:pPr>
            <w:r/>
            <w:r>
              <w:rPr>
                <w:rFonts w:ascii="Calibri" w:hAnsi="Calibri"/>
                <w:b w:val="0"/>
                <w:color w:val="333333"/>
                <w:sz w:val="18"/>
              </w:rPr>
              <w:t>$5.4B</w:t>
            </w:r>
          </w:p>
        </w:tc>
        <w:tc>
          <w:tcPr>
            <w:tcW w:type="dxa" w:w="2448"/>
            <w:tcMar>
              <w:top w:w="40" w:type="dxa"/>
              <w:bottom w:w="40" w:type="dxa"/>
              <w:left w:w="80" w:type="dxa"/>
              <w:right w:w="80" w:type="dxa"/>
            </w:tcMar>
          </w:tcPr>
          <w:p>
            <w:pPr>
              <w:jc w:val="center"/>
            </w:pPr>
            <w:r/>
            <w:r>
              <w:rPr>
                <w:rFonts w:ascii="Calibri" w:hAnsi="Calibri"/>
                <w:b w:val="0"/>
                <w:color w:val="333333"/>
                <w:sz w:val="18"/>
              </w:rPr>
              <w:t>$7.2B</w:t>
            </w:r>
          </w:p>
        </w:tc>
        <w:tc>
          <w:tcPr>
            <w:tcW w:type="dxa" w:w="2448"/>
            <w:tcMar>
              <w:top w:w="40" w:type="dxa"/>
              <w:bottom w:w="40" w:type="dxa"/>
              <w:left w:w="80" w:type="dxa"/>
              <w:right w:w="80" w:type="dxa"/>
            </w:tcMar>
          </w:tcPr>
          <w:p>
            <w:pPr>
              <w:jc w:val="center"/>
            </w:pPr>
            <w:r/>
            <w:r>
              <w:rPr>
                <w:rFonts w:ascii="Calibri" w:hAnsi="Calibri"/>
                <w:b w:val="0"/>
                <w:color w:val="333333"/>
                <w:sz w:val="18"/>
              </w:rPr>
              <w:t>$9.5B</w:t>
            </w:r>
          </w:p>
        </w:tc>
      </w:tr>
      <w:tr>
        <w:tc>
          <w:tcPr>
            <w:tcW w:type="dxa" w:w="2880"/>
            <w:shd w:fill="EBF1F8"/>
            <w:tcMar>
              <w:top w:w="40" w:type="dxa"/>
              <w:bottom w:w="40" w:type="dxa"/>
              <w:left w:w="80" w:type="dxa"/>
              <w:right w:w="80" w:type="dxa"/>
            </w:tcMar>
          </w:tcPr>
          <w:p>
            <w:pPr>
              <w:jc w:val="left"/>
            </w:pPr>
            <w:r/>
            <w:r>
              <w:rPr>
                <w:rFonts w:ascii="Calibri" w:hAnsi="Calibri"/>
                <w:b w:val="0"/>
                <w:color w:val="333333"/>
                <w:sz w:val="18"/>
              </w:rPr>
              <w:t>Price Per Share</w:t>
            </w:r>
          </w:p>
        </w:tc>
        <w:tc>
          <w:tcPr>
            <w:tcW w:type="dxa" w:w="2448"/>
            <w:shd w:fill="EBF1F8"/>
            <w:tcMar>
              <w:top w:w="40" w:type="dxa"/>
              <w:bottom w:w="40" w:type="dxa"/>
              <w:left w:w="80" w:type="dxa"/>
              <w:right w:w="80" w:type="dxa"/>
            </w:tcMar>
          </w:tcPr>
          <w:p>
            <w:pPr>
              <w:jc w:val="center"/>
            </w:pPr>
            <w:r/>
            <w:r>
              <w:rPr>
                <w:rFonts w:ascii="Calibri" w:hAnsi="Calibri"/>
                <w:b w:val="0"/>
                <w:color w:val="333333"/>
                <w:sz w:val="18"/>
              </w:rPr>
              <w:t>~$122</w:t>
            </w:r>
          </w:p>
        </w:tc>
        <w:tc>
          <w:tcPr>
            <w:tcW w:type="dxa" w:w="2448"/>
            <w:shd w:fill="EBF1F8"/>
            <w:tcMar>
              <w:top w:w="40" w:type="dxa"/>
              <w:bottom w:w="40" w:type="dxa"/>
              <w:left w:w="80" w:type="dxa"/>
              <w:right w:w="80" w:type="dxa"/>
            </w:tcMar>
          </w:tcPr>
          <w:p>
            <w:pPr>
              <w:jc w:val="center"/>
            </w:pPr>
            <w:r/>
            <w:r>
              <w:rPr>
                <w:rFonts w:ascii="Calibri" w:hAnsi="Calibri"/>
                <w:b w:val="0"/>
                <w:color w:val="333333"/>
                <w:sz w:val="18"/>
              </w:rPr>
              <w:t>~$163</w:t>
            </w:r>
          </w:p>
        </w:tc>
        <w:tc>
          <w:tcPr>
            <w:tcW w:type="dxa" w:w="2448"/>
            <w:shd w:fill="EBF1F8"/>
            <w:tcMar>
              <w:top w:w="40" w:type="dxa"/>
              <w:bottom w:w="40" w:type="dxa"/>
              <w:left w:w="80" w:type="dxa"/>
              <w:right w:w="80" w:type="dxa"/>
            </w:tcMar>
          </w:tcPr>
          <w:p>
            <w:pPr>
              <w:jc w:val="center"/>
            </w:pPr>
            <w:r/>
            <w:r>
              <w:rPr>
                <w:rFonts w:ascii="Calibri" w:hAnsi="Calibri"/>
                <w:b w:val="0"/>
                <w:color w:val="333333"/>
                <w:sz w:val="18"/>
              </w:rPr>
              <w:t>~$215</w:t>
            </w:r>
          </w:p>
        </w:tc>
      </w:tr>
      <w:tr>
        <w:tc>
          <w:tcPr>
            <w:tcW w:type="dxa" w:w="2880"/>
            <w:tcMar>
              <w:top w:w="40" w:type="dxa"/>
              <w:bottom w:w="40" w:type="dxa"/>
              <w:left w:w="80" w:type="dxa"/>
              <w:right w:w="80" w:type="dxa"/>
            </w:tcMar>
          </w:tcPr>
          <w:p>
            <w:pPr>
              <w:jc w:val="left"/>
            </w:pPr>
            <w:r/>
            <w:r>
              <w:rPr>
                <w:rFonts w:ascii="Calibri" w:hAnsi="Calibri"/>
                <w:b w:val="0"/>
                <w:color w:val="333333"/>
                <w:sz w:val="18"/>
              </w:rPr>
              <w:t>Premium to Current</w:t>
            </w:r>
          </w:p>
        </w:tc>
        <w:tc>
          <w:tcPr>
            <w:tcW w:type="dxa" w:w="2448"/>
            <w:tcMar>
              <w:top w:w="40" w:type="dxa"/>
              <w:bottom w:w="40" w:type="dxa"/>
              <w:left w:w="80" w:type="dxa"/>
              <w:right w:w="80" w:type="dxa"/>
            </w:tcMar>
          </w:tcPr>
          <w:p>
            <w:pPr>
              <w:jc w:val="center"/>
            </w:pPr>
            <w:r/>
            <w:r>
              <w:rPr>
                <w:rFonts w:ascii="Calibri" w:hAnsi="Calibri"/>
                <w:b w:val="0"/>
                <w:color w:val="333333"/>
                <w:sz w:val="18"/>
              </w:rPr>
              <w:t>54%</w:t>
            </w:r>
          </w:p>
        </w:tc>
        <w:tc>
          <w:tcPr>
            <w:tcW w:type="dxa" w:w="2448"/>
            <w:tcMar>
              <w:top w:w="40" w:type="dxa"/>
              <w:bottom w:w="40" w:type="dxa"/>
              <w:left w:w="80" w:type="dxa"/>
              <w:right w:w="80" w:type="dxa"/>
            </w:tcMar>
          </w:tcPr>
          <w:p>
            <w:pPr>
              <w:jc w:val="center"/>
            </w:pPr>
            <w:r/>
            <w:r>
              <w:rPr>
                <w:rFonts w:ascii="Calibri" w:hAnsi="Calibri"/>
                <w:b w:val="0"/>
                <w:color w:val="333333"/>
                <w:sz w:val="18"/>
              </w:rPr>
              <w:t>105%</w:t>
            </w:r>
          </w:p>
        </w:tc>
        <w:tc>
          <w:tcPr>
            <w:tcW w:type="dxa" w:w="2448"/>
            <w:tcMar>
              <w:top w:w="40" w:type="dxa"/>
              <w:bottom w:w="40" w:type="dxa"/>
              <w:left w:w="80" w:type="dxa"/>
              <w:right w:w="80" w:type="dxa"/>
            </w:tcMar>
          </w:tcPr>
          <w:p>
            <w:pPr>
              <w:jc w:val="center"/>
            </w:pPr>
            <w:r/>
            <w:r>
              <w:rPr>
                <w:rFonts w:ascii="Calibri" w:hAnsi="Calibri"/>
                <w:b w:val="0"/>
                <w:color w:val="333333"/>
                <w:sz w:val="18"/>
              </w:rPr>
              <w:t>171%</w:t>
            </w:r>
          </w:p>
        </w:tc>
      </w:tr>
    </w:tbl>
    <w:p/>
    <w:p>
      <w:pPr>
        <w:pStyle w:val="Heading2"/>
      </w:pPr>
      <w:r>
        <w:rPr>
          <w:rFonts w:ascii="Calibri" w:hAnsi="Calibri"/>
          <w:color w:val="0B1D3A"/>
        </w:rPr>
        <w:t>3.3 Recommended Offer</w:t>
      </w:r>
    </w:p>
    <w:p>
      <w:r>
        <w:rPr>
          <w:rFonts w:ascii="Calibri" w:hAnsi="Calibri"/>
          <w:b/>
          <w:color w:val="333333"/>
          <w:sz w:val="21"/>
        </w:rPr>
        <w:t>Recommended Offer: $150–165 per share (Base Case)</w:t>
      </w:r>
    </w:p>
    <w:tbl>
      <w:tblPr>
        <w:tblStyle w:val="TableGrid"/>
        <w:tblW w:type="auto" w:w="0"/>
        <w:jc w:val="center"/>
        <w:tblLook w:firstColumn="1" w:firstRow="1" w:lastColumn="0" w:lastRow="0" w:noHBand="0" w:noVBand="1" w:val="04A0"/>
      </w:tblPr>
      <w:tblGrid>
        <w:gridCol w:w="4703"/>
        <w:gridCol w:w="4703"/>
      </w:tblGrid>
      <w:tr>
        <w:tc>
          <w:tcPr>
            <w:tcW w:type="dxa" w:w="4320"/>
            <w:shd w:fill="0B1D3A"/>
            <w:tcMar>
              <w:top w:w="40" w:type="dxa"/>
              <w:bottom w:w="40" w:type="dxa"/>
              <w:left w:w="80" w:type="dxa"/>
              <w:right w:w="80" w:type="dxa"/>
            </w:tcMar>
          </w:tcPr>
          <w:p>
            <w:pPr>
              <w:jc w:val="center"/>
            </w:pPr>
            <w:r/>
            <w:r>
              <w:rPr>
                <w:rFonts w:ascii="Calibri" w:hAnsi="Calibri"/>
                <w:b/>
                <w:color w:val="FFFFFF"/>
                <w:sz w:val="19"/>
              </w:rPr>
              <w:t>Parameter</w:t>
            </w:r>
          </w:p>
        </w:tc>
        <w:tc>
          <w:tcPr>
            <w:tcW w:type="dxa" w:w="5040"/>
            <w:shd w:fill="0B1D3A"/>
            <w:tcMar>
              <w:top w:w="40" w:type="dxa"/>
              <w:bottom w:w="40" w:type="dxa"/>
              <w:left w:w="80" w:type="dxa"/>
              <w:right w:w="80" w:type="dxa"/>
            </w:tcMar>
          </w:tcPr>
          <w:p>
            <w:pPr>
              <w:jc w:val="center"/>
            </w:pPr>
            <w:r/>
            <w:r>
              <w:rPr>
                <w:rFonts w:ascii="Calibri" w:hAnsi="Calibri"/>
                <w:b/>
                <w:color w:val="FFFFFF"/>
                <w:sz w:val="19"/>
              </w:rPr>
              <w:t>Value</w:t>
            </w:r>
          </w:p>
        </w:tc>
      </w:tr>
      <w:tr>
        <w:tc>
          <w:tcPr>
            <w:tcW w:type="dxa" w:w="4320"/>
            <w:tcMar>
              <w:top w:w="40" w:type="dxa"/>
              <w:bottom w:w="40" w:type="dxa"/>
              <w:left w:w="80" w:type="dxa"/>
              <w:right w:w="80" w:type="dxa"/>
            </w:tcMar>
          </w:tcPr>
          <w:p>
            <w:pPr>
              <w:jc w:val="left"/>
            </w:pPr>
            <w:r/>
            <w:r>
              <w:rPr>
                <w:rFonts w:ascii="Calibri" w:hAnsi="Calibri"/>
                <w:b w:val="0"/>
                <w:color w:val="333333"/>
                <w:sz w:val="18"/>
              </w:rPr>
              <w:t>Offer Range</w:t>
            </w:r>
          </w:p>
        </w:tc>
        <w:tc>
          <w:tcPr>
            <w:tcW w:type="dxa" w:w="5040"/>
            <w:tcMar>
              <w:top w:w="40" w:type="dxa"/>
              <w:bottom w:w="40" w:type="dxa"/>
              <w:left w:w="80" w:type="dxa"/>
              <w:right w:w="80" w:type="dxa"/>
            </w:tcMar>
          </w:tcPr>
          <w:p>
            <w:pPr>
              <w:jc w:val="center"/>
            </w:pPr>
            <w:r/>
            <w:r>
              <w:rPr>
                <w:rFonts w:ascii="Calibri" w:hAnsi="Calibri"/>
                <w:b w:val="0"/>
                <w:color w:val="333333"/>
                <w:sz w:val="18"/>
              </w:rPr>
              <w:t>$150–165 per share</w:t>
            </w:r>
          </w:p>
        </w:tc>
      </w:tr>
      <w:tr>
        <w:tc>
          <w:tcPr>
            <w:tcW w:type="dxa" w:w="4320"/>
            <w:shd w:fill="EBF1F8"/>
            <w:tcMar>
              <w:top w:w="40" w:type="dxa"/>
              <w:bottom w:w="40" w:type="dxa"/>
              <w:left w:w="80" w:type="dxa"/>
              <w:right w:w="80" w:type="dxa"/>
            </w:tcMar>
          </w:tcPr>
          <w:p>
            <w:pPr>
              <w:jc w:val="left"/>
            </w:pPr>
            <w:r/>
            <w:r>
              <w:rPr>
                <w:rFonts w:ascii="Calibri" w:hAnsi="Calibri"/>
                <w:b w:val="0"/>
                <w:color w:val="333333"/>
                <w:sz w:val="18"/>
              </w:rPr>
              <w:t>Implied Premium</w:t>
            </w:r>
          </w:p>
        </w:tc>
        <w:tc>
          <w:tcPr>
            <w:tcW w:type="dxa" w:w="5040"/>
            <w:shd w:fill="EBF1F8"/>
            <w:tcMar>
              <w:top w:w="40" w:type="dxa"/>
              <w:bottom w:w="40" w:type="dxa"/>
              <w:left w:w="80" w:type="dxa"/>
              <w:right w:w="80" w:type="dxa"/>
            </w:tcMar>
          </w:tcPr>
          <w:p>
            <w:pPr>
              <w:jc w:val="center"/>
            </w:pPr>
            <w:r/>
            <w:r>
              <w:rPr>
                <w:rFonts w:ascii="Calibri" w:hAnsi="Calibri"/>
                <w:b w:val="0"/>
                <w:color w:val="333333"/>
                <w:sz w:val="18"/>
              </w:rPr>
              <w:t>89–108% to current price</w:t>
            </w:r>
          </w:p>
        </w:tc>
      </w:tr>
      <w:tr>
        <w:tc>
          <w:tcPr>
            <w:tcW w:type="dxa" w:w="4320"/>
            <w:tcMar>
              <w:top w:w="40" w:type="dxa"/>
              <w:bottom w:w="40" w:type="dxa"/>
              <w:left w:w="80" w:type="dxa"/>
              <w:right w:w="80" w:type="dxa"/>
            </w:tcMar>
          </w:tcPr>
          <w:p>
            <w:pPr>
              <w:jc w:val="left"/>
            </w:pPr>
            <w:r/>
            <w:r>
              <w:rPr>
                <w:rFonts w:ascii="Calibri" w:hAnsi="Calibri"/>
                <w:b w:val="0"/>
                <w:color w:val="333333"/>
                <w:sz w:val="18"/>
              </w:rPr>
              <w:t>EV / Revenue</w:t>
            </w:r>
          </w:p>
        </w:tc>
        <w:tc>
          <w:tcPr>
            <w:tcW w:type="dxa" w:w="5040"/>
            <w:tcMar>
              <w:top w:w="40" w:type="dxa"/>
              <w:bottom w:w="40" w:type="dxa"/>
              <w:left w:w="80" w:type="dxa"/>
              <w:right w:w="80" w:type="dxa"/>
            </w:tcMar>
          </w:tcPr>
          <w:p>
            <w:pPr>
              <w:jc w:val="center"/>
            </w:pPr>
            <w:r/>
            <w:r>
              <w:rPr>
                <w:rFonts w:ascii="Calibri" w:hAnsi="Calibri"/>
                <w:b w:val="0"/>
                <w:color w:val="333333"/>
                <w:sz w:val="18"/>
              </w:rPr>
              <w:t>5.5–6.0x</w:t>
            </w:r>
          </w:p>
        </w:tc>
      </w:tr>
      <w:tr>
        <w:tc>
          <w:tcPr>
            <w:tcW w:type="dxa" w:w="4320"/>
            <w:shd w:fill="EBF1F8"/>
            <w:tcMar>
              <w:top w:w="40" w:type="dxa"/>
              <w:bottom w:w="40" w:type="dxa"/>
              <w:left w:w="80" w:type="dxa"/>
              <w:right w:w="80" w:type="dxa"/>
            </w:tcMar>
          </w:tcPr>
          <w:p>
            <w:pPr>
              <w:jc w:val="left"/>
            </w:pPr>
            <w:r/>
            <w:r>
              <w:rPr>
                <w:rFonts w:ascii="Calibri" w:hAnsi="Calibri"/>
                <w:b w:val="0"/>
                <w:color w:val="333333"/>
                <w:sz w:val="18"/>
              </w:rPr>
              <w:t>EV / ARR</w:t>
            </w:r>
          </w:p>
        </w:tc>
        <w:tc>
          <w:tcPr>
            <w:tcW w:type="dxa" w:w="5040"/>
            <w:shd w:fill="EBF1F8"/>
            <w:tcMar>
              <w:top w:w="40" w:type="dxa"/>
              <w:bottom w:w="40" w:type="dxa"/>
              <w:left w:w="80" w:type="dxa"/>
              <w:right w:w="80" w:type="dxa"/>
            </w:tcMar>
          </w:tcPr>
          <w:p>
            <w:pPr>
              <w:jc w:val="center"/>
            </w:pPr>
            <w:r/>
            <w:r>
              <w:rPr>
                <w:rFonts w:ascii="Calibri" w:hAnsi="Calibri"/>
                <w:b w:val="0"/>
                <w:color w:val="333333"/>
                <w:sz w:val="18"/>
              </w:rPr>
              <w:t>5.7–6.3x</w:t>
            </w:r>
          </w:p>
        </w:tc>
      </w:tr>
      <w:tr>
        <w:tc>
          <w:tcPr>
            <w:tcW w:type="dxa" w:w="4320"/>
            <w:tcMar>
              <w:top w:w="40" w:type="dxa"/>
              <w:bottom w:w="40" w:type="dxa"/>
              <w:left w:w="80" w:type="dxa"/>
              <w:right w:w="80" w:type="dxa"/>
            </w:tcMar>
          </w:tcPr>
          <w:p>
            <w:pPr>
              <w:jc w:val="left"/>
            </w:pPr>
            <w:r/>
            <w:r>
              <w:rPr>
                <w:rFonts w:ascii="Calibri" w:hAnsi="Calibri"/>
                <w:b/>
                <w:color w:val="333333"/>
                <w:sz w:val="18"/>
              </w:rPr>
              <w:t>Total Equity Value</w:t>
            </w:r>
          </w:p>
        </w:tc>
        <w:tc>
          <w:tcPr>
            <w:tcW w:type="dxa" w:w="5040"/>
            <w:tcMar>
              <w:top w:w="40" w:type="dxa"/>
              <w:bottom w:w="40" w:type="dxa"/>
              <w:left w:w="80" w:type="dxa"/>
              <w:right w:w="80" w:type="dxa"/>
            </w:tcMar>
          </w:tcPr>
          <w:p>
            <w:pPr>
              <w:jc w:val="center"/>
            </w:pPr>
            <w:r/>
            <w:r>
              <w:rPr>
                <w:rFonts w:ascii="Calibri" w:hAnsi="Calibri"/>
                <w:b/>
                <w:color w:val="333333"/>
                <w:sz w:val="18"/>
              </w:rPr>
              <w:t>$6.6–7.3B</w:t>
            </w:r>
          </w:p>
        </w:tc>
      </w:tr>
      <w:tr>
        <w:tc>
          <w:tcPr>
            <w:tcW w:type="dxa" w:w="4320"/>
            <w:shd w:fill="EBF1F8"/>
            <w:tcMar>
              <w:top w:w="40" w:type="dxa"/>
              <w:bottom w:w="40" w:type="dxa"/>
              <w:left w:w="80" w:type="dxa"/>
              <w:right w:w="80" w:type="dxa"/>
            </w:tcMar>
          </w:tcPr>
          <w:p>
            <w:pPr>
              <w:jc w:val="left"/>
            </w:pPr>
            <w:r/>
            <w:r>
              <w:rPr>
                <w:rFonts w:ascii="Calibri" w:hAnsi="Calibri"/>
                <w:b/>
                <w:color w:val="333333"/>
                <w:sz w:val="18"/>
              </w:rPr>
              <w:t>Total Enterprise Value</w:t>
            </w:r>
          </w:p>
        </w:tc>
        <w:tc>
          <w:tcPr>
            <w:tcW w:type="dxa" w:w="5040"/>
            <w:shd w:fill="EBF1F8"/>
            <w:tcMar>
              <w:top w:w="40" w:type="dxa"/>
              <w:bottom w:w="40" w:type="dxa"/>
              <w:left w:w="80" w:type="dxa"/>
              <w:right w:w="80" w:type="dxa"/>
            </w:tcMar>
          </w:tcPr>
          <w:p>
            <w:pPr>
              <w:jc w:val="center"/>
            </w:pPr>
            <w:r/>
            <w:r>
              <w:rPr>
                <w:rFonts w:ascii="Calibri" w:hAnsi="Calibri"/>
                <w:b/>
                <w:color w:val="333333"/>
                <w:sz w:val="18"/>
              </w:rPr>
              <w:t>$6.5–7.2B</w:t>
            </w:r>
          </w:p>
        </w:tc>
      </w:tr>
    </w:tbl>
    <w:p/>
    <w:p>
      <w:r>
        <w:br w:type="page"/>
      </w:r>
    </w:p>
    <w:p>
      <w:pPr>
        <w:pStyle w:val="Heading1"/>
      </w:pPr>
      <w:r>
        <w:rPr>
          <w:rFonts w:ascii="Calibri" w:hAnsi="Calibri"/>
          <w:color w:val="0B1D3A"/>
        </w:rPr>
        <w:t>4. Deal Structure &amp; Financing</w:t>
      </w:r>
    </w:p>
    <w:p>
      <w:pPr>
        <w:pStyle w:val="Heading2"/>
      </w:pPr>
      <w:r>
        <w:rPr>
          <w:rFonts w:ascii="Calibri" w:hAnsi="Calibri"/>
          <w:color w:val="0B1D3A"/>
        </w:rPr>
        <w:t>4.1 Sources of Funds</w:t>
      </w:r>
    </w:p>
    <w:p>
      <w:r>
        <w:rPr>
          <w:rFonts w:ascii="Calibri" w:hAnsi="Calibri"/>
          <w:b w:val="0"/>
          <w:color w:val="333333"/>
          <w:sz w:val="21"/>
        </w:rPr>
        <w:t>The transaction will be financed through a mix of new debt, equity rollover, and sponsor equity:</w:t>
      </w:r>
    </w:p>
    <w:tbl>
      <w:tblPr>
        <w:tblStyle w:val="TableGrid"/>
        <w:tblW w:type="auto" w:w="0"/>
        <w:jc w:val="center"/>
        <w:tblLook w:firstColumn="1" w:firstRow="1" w:lastColumn="0" w:lastRow="0" w:noHBand="0" w:noVBand="1" w:val="04A0"/>
      </w:tblPr>
      <w:tblGrid>
        <w:gridCol w:w="3135"/>
        <w:gridCol w:w="3135"/>
        <w:gridCol w:w="3135"/>
      </w:tblGrid>
      <w:tr>
        <w:tc>
          <w:tcPr>
            <w:tcW w:type="dxa" w:w="4320"/>
            <w:shd w:fill="0B1D3A"/>
            <w:tcMar>
              <w:top w:w="40" w:type="dxa"/>
              <w:bottom w:w="40" w:type="dxa"/>
              <w:left w:w="80" w:type="dxa"/>
              <w:right w:w="80" w:type="dxa"/>
            </w:tcMar>
          </w:tcPr>
          <w:p>
            <w:pPr>
              <w:jc w:val="center"/>
            </w:pPr>
            <w:r/>
            <w:r>
              <w:rPr>
                <w:rFonts w:ascii="Calibri" w:hAnsi="Calibri"/>
                <w:b/>
                <w:color w:val="FFFFFF"/>
                <w:sz w:val="19"/>
              </w:rPr>
              <w:t>Source</w:t>
            </w:r>
          </w:p>
        </w:tc>
        <w:tc>
          <w:tcPr>
            <w:tcW w:type="dxa" w:w="2160"/>
            <w:shd w:fill="0B1D3A"/>
            <w:tcMar>
              <w:top w:w="40" w:type="dxa"/>
              <w:bottom w:w="40" w:type="dxa"/>
              <w:left w:w="80" w:type="dxa"/>
              <w:right w:w="80" w:type="dxa"/>
            </w:tcMar>
          </w:tcPr>
          <w:p>
            <w:pPr>
              <w:jc w:val="center"/>
            </w:pPr>
            <w:r/>
            <w:r>
              <w:rPr>
                <w:rFonts w:ascii="Calibri" w:hAnsi="Calibri"/>
                <w:b/>
                <w:color w:val="FFFFFF"/>
                <w:sz w:val="19"/>
              </w:rPr>
              <w:t>Amount</w:t>
            </w:r>
          </w:p>
        </w:tc>
        <w:tc>
          <w:tcPr>
            <w:tcW w:type="dxa" w:w="2160"/>
            <w:shd w:fill="0B1D3A"/>
            <w:tcMar>
              <w:top w:w="40" w:type="dxa"/>
              <w:bottom w:w="40" w:type="dxa"/>
              <w:left w:w="80" w:type="dxa"/>
              <w:right w:w="80" w:type="dxa"/>
            </w:tcMar>
          </w:tcPr>
          <w:p>
            <w:pPr>
              <w:jc w:val="center"/>
            </w:pPr>
            <w:r/>
            <w:r>
              <w:rPr>
                <w:rFonts w:ascii="Calibri" w:hAnsi="Calibri"/>
                <w:b/>
                <w:color w:val="FFFFFF"/>
                <w:sz w:val="19"/>
              </w:rPr>
              <w:t>% of Total</w:t>
            </w:r>
          </w:p>
        </w:tc>
      </w:tr>
      <w:tr>
        <w:tc>
          <w:tcPr>
            <w:tcW w:type="dxa" w:w="4320"/>
            <w:tcMar>
              <w:top w:w="40" w:type="dxa"/>
              <w:bottom w:w="40" w:type="dxa"/>
              <w:left w:w="80" w:type="dxa"/>
              <w:right w:w="80" w:type="dxa"/>
            </w:tcMar>
          </w:tcPr>
          <w:p>
            <w:pPr>
              <w:jc w:val="left"/>
            </w:pPr>
            <w:r/>
            <w:r>
              <w:rPr>
                <w:rFonts w:ascii="Calibri" w:hAnsi="Calibri"/>
                <w:b w:val="0"/>
                <w:color w:val="333333"/>
                <w:sz w:val="18"/>
              </w:rPr>
              <w:t>New Term Loan B</w:t>
            </w:r>
          </w:p>
        </w:tc>
        <w:tc>
          <w:tcPr>
            <w:tcW w:type="dxa" w:w="2160"/>
            <w:tcMar>
              <w:top w:w="40" w:type="dxa"/>
              <w:bottom w:w="40" w:type="dxa"/>
              <w:left w:w="80" w:type="dxa"/>
              <w:right w:w="80" w:type="dxa"/>
            </w:tcMar>
          </w:tcPr>
          <w:p>
            <w:pPr>
              <w:jc w:val="center"/>
            </w:pPr>
            <w:r/>
            <w:r>
              <w:rPr>
                <w:rFonts w:ascii="Calibri" w:hAnsi="Calibri"/>
                <w:b w:val="0"/>
                <w:color w:val="333333"/>
                <w:sz w:val="18"/>
              </w:rPr>
              <w:t>$3.0B</w:t>
            </w:r>
          </w:p>
        </w:tc>
        <w:tc>
          <w:tcPr>
            <w:tcW w:type="dxa" w:w="2160"/>
            <w:tcMar>
              <w:top w:w="40" w:type="dxa"/>
              <w:bottom w:w="40" w:type="dxa"/>
              <w:left w:w="80" w:type="dxa"/>
              <w:right w:w="80" w:type="dxa"/>
            </w:tcMar>
          </w:tcPr>
          <w:p>
            <w:pPr>
              <w:jc w:val="center"/>
            </w:pPr>
            <w:r/>
            <w:r>
              <w:rPr>
                <w:rFonts w:ascii="Calibri" w:hAnsi="Calibri"/>
                <w:b w:val="0"/>
                <w:color w:val="333333"/>
                <w:sz w:val="18"/>
              </w:rPr>
              <w:t>43%</w:t>
            </w:r>
          </w:p>
        </w:tc>
      </w:tr>
      <w:tr>
        <w:tc>
          <w:tcPr>
            <w:tcW w:type="dxa" w:w="4320"/>
            <w:shd w:fill="EBF1F8"/>
            <w:tcMar>
              <w:top w:w="40" w:type="dxa"/>
              <w:bottom w:w="40" w:type="dxa"/>
              <w:left w:w="80" w:type="dxa"/>
              <w:right w:w="80" w:type="dxa"/>
            </w:tcMar>
          </w:tcPr>
          <w:p>
            <w:pPr>
              <w:jc w:val="left"/>
            </w:pPr>
            <w:r/>
            <w:r>
              <w:rPr>
                <w:rFonts w:ascii="Calibri" w:hAnsi="Calibri"/>
                <w:b w:val="0"/>
                <w:color w:val="333333"/>
                <w:sz w:val="18"/>
              </w:rPr>
              <w:t>High Yield Notes</w:t>
            </w:r>
          </w:p>
        </w:tc>
        <w:tc>
          <w:tcPr>
            <w:tcW w:type="dxa" w:w="2160"/>
            <w:shd w:fill="EBF1F8"/>
            <w:tcMar>
              <w:top w:w="40" w:type="dxa"/>
              <w:bottom w:w="40" w:type="dxa"/>
              <w:left w:w="80" w:type="dxa"/>
              <w:right w:w="80" w:type="dxa"/>
            </w:tcMar>
          </w:tcPr>
          <w:p>
            <w:pPr>
              <w:jc w:val="center"/>
            </w:pPr>
            <w:r/>
            <w:r>
              <w:rPr>
                <w:rFonts w:ascii="Calibri" w:hAnsi="Calibri"/>
                <w:b w:val="0"/>
                <w:color w:val="333333"/>
                <w:sz w:val="18"/>
              </w:rPr>
              <w:t>$1.5B</w:t>
            </w:r>
          </w:p>
        </w:tc>
        <w:tc>
          <w:tcPr>
            <w:tcW w:type="dxa" w:w="2160"/>
            <w:shd w:fill="EBF1F8"/>
            <w:tcMar>
              <w:top w:w="40" w:type="dxa"/>
              <w:bottom w:w="40" w:type="dxa"/>
              <w:left w:w="80" w:type="dxa"/>
              <w:right w:w="80" w:type="dxa"/>
            </w:tcMar>
          </w:tcPr>
          <w:p>
            <w:pPr>
              <w:jc w:val="center"/>
            </w:pPr>
            <w:r/>
            <w:r>
              <w:rPr>
                <w:rFonts w:ascii="Calibri" w:hAnsi="Calibri"/>
                <w:b w:val="0"/>
                <w:color w:val="333333"/>
                <w:sz w:val="18"/>
              </w:rPr>
              <w:t>21%</w:t>
            </w:r>
          </w:p>
        </w:tc>
      </w:tr>
      <w:tr>
        <w:tc>
          <w:tcPr>
            <w:tcW w:type="dxa" w:w="4320"/>
            <w:tcMar>
              <w:top w:w="40" w:type="dxa"/>
              <w:bottom w:w="40" w:type="dxa"/>
              <w:left w:w="80" w:type="dxa"/>
              <w:right w:w="80" w:type="dxa"/>
            </w:tcMar>
          </w:tcPr>
          <w:p>
            <w:pPr>
              <w:jc w:val="left"/>
            </w:pPr>
            <w:r/>
            <w:r>
              <w:rPr>
                <w:rFonts w:ascii="Calibri" w:hAnsi="Calibri"/>
                <w:b w:val="0"/>
                <w:color w:val="333333"/>
                <w:sz w:val="18"/>
              </w:rPr>
              <w:t>Cohesity Equity Rollover</w:t>
            </w:r>
          </w:p>
        </w:tc>
        <w:tc>
          <w:tcPr>
            <w:tcW w:type="dxa" w:w="2160"/>
            <w:tcMar>
              <w:top w:w="40" w:type="dxa"/>
              <w:bottom w:w="40" w:type="dxa"/>
              <w:left w:w="80" w:type="dxa"/>
              <w:right w:w="80" w:type="dxa"/>
            </w:tcMar>
          </w:tcPr>
          <w:p>
            <w:pPr>
              <w:jc w:val="center"/>
            </w:pPr>
            <w:r/>
            <w:r>
              <w:rPr>
                <w:rFonts w:ascii="Calibri" w:hAnsi="Calibri"/>
                <w:b w:val="0"/>
                <w:color w:val="333333"/>
                <w:sz w:val="18"/>
              </w:rPr>
              <w:t>$2.0B</w:t>
            </w:r>
          </w:p>
        </w:tc>
        <w:tc>
          <w:tcPr>
            <w:tcW w:type="dxa" w:w="2160"/>
            <w:tcMar>
              <w:top w:w="40" w:type="dxa"/>
              <w:bottom w:w="40" w:type="dxa"/>
              <w:left w:w="80" w:type="dxa"/>
              <w:right w:w="80" w:type="dxa"/>
            </w:tcMar>
          </w:tcPr>
          <w:p>
            <w:pPr>
              <w:jc w:val="center"/>
            </w:pPr>
            <w:r/>
            <w:r>
              <w:rPr>
                <w:rFonts w:ascii="Calibri" w:hAnsi="Calibri"/>
                <w:b w:val="0"/>
                <w:color w:val="333333"/>
                <w:sz w:val="18"/>
              </w:rPr>
              <w:t>29%</w:t>
            </w:r>
          </w:p>
        </w:tc>
      </w:tr>
      <w:tr>
        <w:tc>
          <w:tcPr>
            <w:tcW w:type="dxa" w:w="4320"/>
            <w:shd w:fill="EBF1F8"/>
            <w:tcMar>
              <w:top w:w="40" w:type="dxa"/>
              <w:bottom w:w="40" w:type="dxa"/>
              <w:left w:w="80" w:type="dxa"/>
              <w:right w:w="80" w:type="dxa"/>
            </w:tcMar>
          </w:tcPr>
          <w:p>
            <w:pPr>
              <w:jc w:val="left"/>
            </w:pPr>
            <w:r/>
            <w:r>
              <w:rPr>
                <w:rFonts w:ascii="Calibri" w:hAnsi="Calibri"/>
                <w:b w:val="0"/>
                <w:color w:val="333333"/>
                <w:sz w:val="18"/>
              </w:rPr>
              <w:t>Sponsor Equity (SoftBank + co-investors)</w:t>
            </w:r>
          </w:p>
        </w:tc>
        <w:tc>
          <w:tcPr>
            <w:tcW w:type="dxa" w:w="2160"/>
            <w:shd w:fill="EBF1F8"/>
            <w:tcMar>
              <w:top w:w="40" w:type="dxa"/>
              <w:bottom w:w="40" w:type="dxa"/>
              <w:left w:w="80" w:type="dxa"/>
              <w:right w:w="80" w:type="dxa"/>
            </w:tcMar>
          </w:tcPr>
          <w:p>
            <w:pPr>
              <w:jc w:val="center"/>
            </w:pPr>
            <w:r/>
            <w:r>
              <w:rPr>
                <w:rFonts w:ascii="Calibri" w:hAnsi="Calibri"/>
                <w:b w:val="0"/>
                <w:color w:val="333333"/>
                <w:sz w:val="18"/>
              </w:rPr>
              <w:t>$500M</w:t>
            </w:r>
          </w:p>
        </w:tc>
        <w:tc>
          <w:tcPr>
            <w:tcW w:type="dxa" w:w="2160"/>
            <w:shd w:fill="EBF1F8"/>
            <w:tcMar>
              <w:top w:w="40" w:type="dxa"/>
              <w:bottom w:w="40" w:type="dxa"/>
              <w:left w:w="80" w:type="dxa"/>
              <w:right w:w="80" w:type="dxa"/>
            </w:tcMar>
          </w:tcPr>
          <w:p>
            <w:pPr>
              <w:jc w:val="center"/>
            </w:pPr>
            <w:r/>
            <w:r>
              <w:rPr>
                <w:rFonts w:ascii="Calibri" w:hAnsi="Calibri"/>
                <w:b w:val="0"/>
                <w:color w:val="333333"/>
                <w:sz w:val="18"/>
              </w:rPr>
              <w:t>7%</w:t>
            </w:r>
          </w:p>
        </w:tc>
      </w:tr>
      <w:tr>
        <w:tc>
          <w:tcPr>
            <w:tcW w:type="dxa" w:w="4320"/>
            <w:tcMar>
              <w:top w:w="40" w:type="dxa"/>
              <w:bottom w:w="40" w:type="dxa"/>
              <w:left w:w="80" w:type="dxa"/>
              <w:right w:w="80" w:type="dxa"/>
            </w:tcMar>
          </w:tcPr>
          <w:p>
            <w:pPr>
              <w:jc w:val="left"/>
            </w:pPr>
            <w:r/>
            <w:r>
              <w:rPr>
                <w:rFonts w:ascii="Calibri" w:hAnsi="Calibri"/>
                <w:b/>
                <w:color w:val="333333"/>
                <w:sz w:val="18"/>
              </w:rPr>
              <w:t>Total Sources</w:t>
            </w:r>
          </w:p>
        </w:tc>
        <w:tc>
          <w:tcPr>
            <w:tcW w:type="dxa" w:w="2160"/>
            <w:tcMar>
              <w:top w:w="40" w:type="dxa"/>
              <w:bottom w:w="40" w:type="dxa"/>
              <w:left w:w="80" w:type="dxa"/>
              <w:right w:w="80" w:type="dxa"/>
            </w:tcMar>
          </w:tcPr>
          <w:p>
            <w:pPr>
              <w:jc w:val="center"/>
            </w:pPr>
            <w:r/>
            <w:r>
              <w:rPr>
                <w:rFonts w:ascii="Calibri" w:hAnsi="Calibri"/>
                <w:b/>
                <w:color w:val="333333"/>
                <w:sz w:val="18"/>
              </w:rPr>
              <w:t>$7.0B</w:t>
            </w:r>
          </w:p>
        </w:tc>
        <w:tc>
          <w:tcPr>
            <w:tcW w:type="dxa" w:w="2160"/>
            <w:tcMar>
              <w:top w:w="40" w:type="dxa"/>
              <w:bottom w:w="40" w:type="dxa"/>
              <w:left w:w="80" w:type="dxa"/>
              <w:right w:w="80" w:type="dxa"/>
            </w:tcMar>
          </w:tcPr>
          <w:p>
            <w:pPr>
              <w:jc w:val="center"/>
            </w:pPr>
            <w:r/>
            <w:r>
              <w:rPr>
                <w:rFonts w:ascii="Calibri" w:hAnsi="Calibri"/>
                <w:b/>
                <w:color w:val="333333"/>
                <w:sz w:val="18"/>
              </w:rPr>
              <w:t>100%</w:t>
            </w:r>
          </w:p>
        </w:tc>
      </w:tr>
    </w:tbl>
    <w:p/>
    <w:p>
      <w:pPr>
        <w:pStyle w:val="Heading2"/>
      </w:pPr>
      <w:r>
        <w:rPr>
          <w:rFonts w:ascii="Calibri" w:hAnsi="Calibri"/>
          <w:color w:val="0B1D3A"/>
        </w:rPr>
        <w:t>4.2 Uses of Funds</w:t>
      </w:r>
    </w:p>
    <w:tbl>
      <w:tblPr>
        <w:tblStyle w:val="TableGrid"/>
        <w:tblW w:type="auto" w:w="0"/>
        <w:jc w:val="center"/>
        <w:tblLook w:firstColumn="1" w:firstRow="1" w:lastColumn="0" w:lastRow="0" w:noHBand="0" w:noVBand="1" w:val="04A0"/>
      </w:tblPr>
      <w:tblGrid>
        <w:gridCol w:w="4703"/>
        <w:gridCol w:w="4703"/>
      </w:tblGrid>
      <w:tr>
        <w:tc>
          <w:tcPr>
            <w:tcW w:type="dxa" w:w="5760"/>
            <w:shd w:fill="0B1D3A"/>
            <w:tcMar>
              <w:top w:w="40" w:type="dxa"/>
              <w:bottom w:w="40" w:type="dxa"/>
              <w:left w:w="80" w:type="dxa"/>
              <w:right w:w="80" w:type="dxa"/>
            </w:tcMar>
          </w:tcPr>
          <w:p>
            <w:pPr>
              <w:jc w:val="center"/>
            </w:pPr>
            <w:r/>
            <w:r>
              <w:rPr>
                <w:rFonts w:ascii="Calibri" w:hAnsi="Calibri"/>
                <w:b/>
                <w:color w:val="FFFFFF"/>
                <w:sz w:val="19"/>
              </w:rPr>
              <w:t>Use</w:t>
            </w:r>
          </w:p>
        </w:tc>
        <w:tc>
          <w:tcPr>
            <w:tcW w:type="dxa" w:w="2880"/>
            <w:shd w:fill="0B1D3A"/>
            <w:tcMar>
              <w:top w:w="40" w:type="dxa"/>
              <w:bottom w:w="40" w:type="dxa"/>
              <w:left w:w="80" w:type="dxa"/>
              <w:right w:w="80" w:type="dxa"/>
            </w:tcMar>
          </w:tcPr>
          <w:p>
            <w:pPr>
              <w:jc w:val="center"/>
            </w:pPr>
            <w:r/>
            <w:r>
              <w:rPr>
                <w:rFonts w:ascii="Calibri" w:hAnsi="Calibri"/>
                <w:b/>
                <w:color w:val="FFFFFF"/>
                <w:sz w:val="19"/>
              </w:rPr>
              <w:t>Amount</w:t>
            </w:r>
          </w:p>
        </w:tc>
      </w:tr>
      <w:tr>
        <w:tc>
          <w:tcPr>
            <w:tcW w:type="dxa" w:w="5760"/>
            <w:tcMar>
              <w:top w:w="40" w:type="dxa"/>
              <w:bottom w:w="40" w:type="dxa"/>
              <w:left w:w="80" w:type="dxa"/>
              <w:right w:w="80" w:type="dxa"/>
            </w:tcMar>
          </w:tcPr>
          <w:p>
            <w:pPr>
              <w:jc w:val="left"/>
            </w:pPr>
            <w:r/>
            <w:r>
              <w:rPr>
                <w:rFonts w:ascii="Calibri" w:hAnsi="Calibri"/>
                <w:b w:val="0"/>
                <w:color w:val="333333"/>
                <w:sz w:val="18"/>
              </w:rPr>
              <w:t>Commvault Equity Purchase</w:t>
            </w:r>
          </w:p>
        </w:tc>
        <w:tc>
          <w:tcPr>
            <w:tcW w:type="dxa" w:w="2880"/>
            <w:tcMar>
              <w:top w:w="40" w:type="dxa"/>
              <w:bottom w:w="40" w:type="dxa"/>
              <w:left w:w="80" w:type="dxa"/>
              <w:right w:w="80" w:type="dxa"/>
            </w:tcMar>
          </w:tcPr>
          <w:p>
            <w:pPr>
              <w:jc w:val="center"/>
            </w:pPr>
            <w:r/>
            <w:r>
              <w:rPr>
                <w:rFonts w:ascii="Calibri" w:hAnsi="Calibri"/>
                <w:b w:val="0"/>
                <w:color w:val="333333"/>
                <w:sz w:val="18"/>
              </w:rPr>
              <w:t>$7.2B</w:t>
            </w:r>
          </w:p>
        </w:tc>
      </w:tr>
      <w:tr>
        <w:tc>
          <w:tcPr>
            <w:tcW w:type="dxa" w:w="5760"/>
            <w:shd w:fill="EBF1F8"/>
            <w:tcMar>
              <w:top w:w="40" w:type="dxa"/>
              <w:bottom w:w="40" w:type="dxa"/>
              <w:left w:w="80" w:type="dxa"/>
              <w:right w:w="80" w:type="dxa"/>
            </w:tcMar>
          </w:tcPr>
          <w:p>
            <w:pPr>
              <w:jc w:val="left"/>
            </w:pPr>
            <w:r/>
            <w:r>
              <w:rPr>
                <w:rFonts w:ascii="Calibri" w:hAnsi="Calibri"/>
                <w:b w:val="0"/>
                <w:color w:val="333333"/>
                <w:sz w:val="18"/>
              </w:rPr>
              <w:t>Refinance Existing Commvault Debt</w:t>
            </w:r>
          </w:p>
        </w:tc>
        <w:tc>
          <w:tcPr>
            <w:tcW w:type="dxa" w:w="2880"/>
            <w:shd w:fill="EBF1F8"/>
            <w:tcMar>
              <w:top w:w="40" w:type="dxa"/>
              <w:bottom w:w="40" w:type="dxa"/>
              <w:left w:w="80" w:type="dxa"/>
              <w:right w:w="80" w:type="dxa"/>
            </w:tcMar>
          </w:tcPr>
          <w:p>
            <w:pPr>
              <w:jc w:val="center"/>
            </w:pPr>
            <w:r/>
            <w:r>
              <w:rPr>
                <w:rFonts w:ascii="Calibri" w:hAnsi="Calibri"/>
                <w:b w:val="0"/>
                <w:color w:val="333333"/>
                <w:sz w:val="18"/>
              </w:rPr>
              <w:t>$920M</w:t>
            </w:r>
          </w:p>
        </w:tc>
      </w:tr>
      <w:tr>
        <w:tc>
          <w:tcPr>
            <w:tcW w:type="dxa" w:w="5760"/>
            <w:tcMar>
              <w:top w:w="40" w:type="dxa"/>
              <w:bottom w:w="40" w:type="dxa"/>
              <w:left w:w="80" w:type="dxa"/>
              <w:right w:w="80" w:type="dxa"/>
            </w:tcMar>
          </w:tcPr>
          <w:p>
            <w:pPr>
              <w:jc w:val="left"/>
            </w:pPr>
            <w:r/>
            <w:r>
              <w:rPr>
                <w:rFonts w:ascii="Calibri" w:hAnsi="Calibri"/>
                <w:b w:val="0"/>
                <w:color w:val="333333"/>
                <w:sz w:val="18"/>
              </w:rPr>
              <w:t>Less: Commvault Cash on Hand</w:t>
            </w:r>
          </w:p>
        </w:tc>
        <w:tc>
          <w:tcPr>
            <w:tcW w:type="dxa" w:w="2880"/>
            <w:tcMar>
              <w:top w:w="40" w:type="dxa"/>
              <w:bottom w:w="40" w:type="dxa"/>
              <w:left w:w="80" w:type="dxa"/>
              <w:right w:w="80" w:type="dxa"/>
            </w:tcMar>
          </w:tcPr>
          <w:p>
            <w:pPr>
              <w:jc w:val="center"/>
            </w:pPr>
            <w:r/>
            <w:r>
              <w:rPr>
                <w:rFonts w:ascii="Calibri" w:hAnsi="Calibri"/>
                <w:b w:val="0"/>
                <w:color w:val="333333"/>
                <w:sz w:val="18"/>
              </w:rPr>
              <w:t>($1.03B)</w:t>
            </w:r>
          </w:p>
        </w:tc>
      </w:tr>
      <w:tr>
        <w:tc>
          <w:tcPr>
            <w:tcW w:type="dxa" w:w="5760"/>
            <w:shd w:fill="EBF1F8"/>
            <w:tcMar>
              <w:top w:w="40" w:type="dxa"/>
              <w:bottom w:w="40" w:type="dxa"/>
              <w:left w:w="80" w:type="dxa"/>
              <w:right w:w="80" w:type="dxa"/>
            </w:tcMar>
          </w:tcPr>
          <w:p>
            <w:pPr>
              <w:jc w:val="left"/>
            </w:pPr>
            <w:r/>
            <w:r>
              <w:rPr>
                <w:rFonts w:ascii="Calibri" w:hAnsi="Calibri"/>
                <w:b w:val="0"/>
                <w:color w:val="333333"/>
                <w:sz w:val="18"/>
              </w:rPr>
              <w:t>Transaction Fees</w:t>
            </w:r>
          </w:p>
        </w:tc>
        <w:tc>
          <w:tcPr>
            <w:tcW w:type="dxa" w:w="2880"/>
            <w:shd w:fill="EBF1F8"/>
            <w:tcMar>
              <w:top w:w="40" w:type="dxa"/>
              <w:bottom w:w="40" w:type="dxa"/>
              <w:left w:w="80" w:type="dxa"/>
              <w:right w:w="80" w:type="dxa"/>
            </w:tcMar>
          </w:tcPr>
          <w:p>
            <w:pPr>
              <w:jc w:val="center"/>
            </w:pPr>
            <w:r/>
            <w:r>
              <w:rPr>
                <w:rFonts w:ascii="Calibri" w:hAnsi="Calibri"/>
                <w:b w:val="0"/>
                <w:color w:val="333333"/>
                <w:sz w:val="18"/>
              </w:rPr>
              <w:t>~$100M</w:t>
            </w:r>
          </w:p>
        </w:tc>
      </w:tr>
      <w:tr>
        <w:tc>
          <w:tcPr>
            <w:tcW w:type="dxa" w:w="5760"/>
            <w:tcMar>
              <w:top w:w="40" w:type="dxa"/>
              <w:bottom w:w="40" w:type="dxa"/>
              <w:left w:w="80" w:type="dxa"/>
              <w:right w:w="80" w:type="dxa"/>
            </w:tcMar>
          </w:tcPr>
          <w:p>
            <w:pPr>
              <w:jc w:val="left"/>
            </w:pPr>
            <w:r/>
            <w:r>
              <w:rPr>
                <w:rFonts w:ascii="Calibri" w:hAnsi="Calibri"/>
                <w:b/>
                <w:color w:val="333333"/>
                <w:sz w:val="18"/>
              </w:rPr>
              <w:t>Total Uses</w:t>
            </w:r>
          </w:p>
        </w:tc>
        <w:tc>
          <w:tcPr>
            <w:tcW w:type="dxa" w:w="2880"/>
            <w:tcMar>
              <w:top w:w="40" w:type="dxa"/>
              <w:bottom w:w="40" w:type="dxa"/>
              <w:left w:w="80" w:type="dxa"/>
              <w:right w:w="80" w:type="dxa"/>
            </w:tcMar>
          </w:tcPr>
          <w:p>
            <w:pPr>
              <w:jc w:val="center"/>
            </w:pPr>
            <w:r/>
            <w:r>
              <w:rPr>
                <w:rFonts w:ascii="Calibri" w:hAnsi="Calibri"/>
                <w:b/>
                <w:color w:val="333333"/>
                <w:sz w:val="18"/>
              </w:rPr>
              <w:t>$7.2B</w:t>
            </w:r>
          </w:p>
        </w:tc>
      </w:tr>
    </w:tbl>
    <w:p/>
    <w:p>
      <w:pPr>
        <w:pStyle w:val="Heading2"/>
      </w:pPr>
      <w:r>
        <w:rPr>
          <w:rFonts w:ascii="Calibri" w:hAnsi="Calibri"/>
          <w:color w:val="0B1D3A"/>
        </w:rPr>
        <w:t>4.3 Pro-Forma Capital Structure</w:t>
      </w:r>
    </w:p>
    <w:tbl>
      <w:tblPr>
        <w:tblStyle w:val="TableGrid"/>
        <w:tblW w:type="auto" w:w="0"/>
        <w:jc w:val="center"/>
        <w:tblLook w:firstColumn="1" w:firstRow="1" w:lastColumn="0" w:lastRow="0" w:noHBand="0" w:noVBand="1" w:val="04A0"/>
      </w:tblPr>
      <w:tblGrid>
        <w:gridCol w:w="4703"/>
        <w:gridCol w:w="4703"/>
      </w:tblGrid>
      <w:tr>
        <w:tc>
          <w:tcPr>
            <w:tcW w:type="dxa" w:w="4320"/>
            <w:shd w:fill="0B1D3A"/>
            <w:tcMar>
              <w:top w:w="40" w:type="dxa"/>
              <w:bottom w:w="40" w:type="dxa"/>
              <w:left w:w="80" w:type="dxa"/>
              <w:right w:w="80" w:type="dxa"/>
            </w:tcMar>
          </w:tcPr>
          <w:p>
            <w:pPr>
              <w:jc w:val="center"/>
            </w:pPr>
            <w:r/>
            <w:r>
              <w:rPr>
                <w:rFonts w:ascii="Calibri" w:hAnsi="Calibri"/>
                <w:b/>
                <w:color w:val="FFFFFF"/>
                <w:sz w:val="19"/>
              </w:rPr>
              <w:t>Metric</w:t>
            </w:r>
          </w:p>
        </w:tc>
        <w:tc>
          <w:tcPr>
            <w:tcW w:type="dxa" w:w="5040"/>
            <w:shd w:fill="0B1D3A"/>
            <w:tcMar>
              <w:top w:w="40" w:type="dxa"/>
              <w:bottom w:w="40" w:type="dxa"/>
              <w:left w:w="80" w:type="dxa"/>
              <w:right w:w="80" w:type="dxa"/>
            </w:tcMar>
          </w:tcPr>
          <w:p>
            <w:pPr>
              <w:jc w:val="center"/>
            </w:pPr>
            <w:r/>
            <w:r>
              <w:rPr>
                <w:rFonts w:ascii="Calibri" w:hAnsi="Calibri"/>
                <w:b/>
                <w:color w:val="FFFFFF"/>
                <w:sz w:val="19"/>
              </w:rPr>
              <w:t>Value</w:t>
            </w:r>
          </w:p>
        </w:tc>
      </w:tr>
      <w:tr>
        <w:tc>
          <w:tcPr>
            <w:tcW w:type="dxa" w:w="4320"/>
            <w:tcMar>
              <w:top w:w="40" w:type="dxa"/>
              <w:bottom w:w="40" w:type="dxa"/>
              <w:left w:w="80" w:type="dxa"/>
              <w:right w:w="80" w:type="dxa"/>
            </w:tcMar>
          </w:tcPr>
          <w:p>
            <w:pPr>
              <w:jc w:val="left"/>
            </w:pPr>
            <w:r/>
            <w:r>
              <w:rPr>
                <w:rFonts w:ascii="Calibri" w:hAnsi="Calibri"/>
                <w:b/>
                <w:color w:val="333333"/>
                <w:sz w:val="18"/>
              </w:rPr>
              <w:t>Total Debt</w:t>
            </w:r>
          </w:p>
        </w:tc>
        <w:tc>
          <w:tcPr>
            <w:tcW w:type="dxa" w:w="5040"/>
            <w:tcMar>
              <w:top w:w="40" w:type="dxa"/>
              <w:bottom w:w="40" w:type="dxa"/>
              <w:left w:w="80" w:type="dxa"/>
              <w:right w:w="80" w:type="dxa"/>
            </w:tcMar>
          </w:tcPr>
          <w:p>
            <w:pPr>
              <w:jc w:val="center"/>
            </w:pPr>
            <w:r/>
            <w:r>
              <w:rPr>
                <w:rFonts w:ascii="Calibri" w:hAnsi="Calibri"/>
                <w:b/>
                <w:color w:val="333333"/>
                <w:sz w:val="18"/>
              </w:rPr>
              <w:t>$4.5B ($3.0B TLB + $1.5B HY)</w:t>
            </w:r>
          </w:p>
        </w:tc>
      </w:tr>
      <w:tr>
        <w:tc>
          <w:tcPr>
            <w:tcW w:type="dxa" w:w="4320"/>
            <w:shd w:fill="EBF1F8"/>
            <w:tcMar>
              <w:top w:w="40" w:type="dxa"/>
              <w:bottom w:w="40" w:type="dxa"/>
              <w:left w:w="80" w:type="dxa"/>
              <w:right w:w="80" w:type="dxa"/>
            </w:tcMar>
          </w:tcPr>
          <w:p>
            <w:pPr>
              <w:jc w:val="left"/>
            </w:pPr>
            <w:r/>
            <w:r>
              <w:rPr>
                <w:rFonts w:ascii="Calibri" w:hAnsi="Calibri"/>
                <w:b w:val="0"/>
                <w:color w:val="333333"/>
                <w:sz w:val="18"/>
              </w:rPr>
              <w:t>Pro-Forma Combined Revenue</w:t>
            </w:r>
          </w:p>
        </w:tc>
        <w:tc>
          <w:tcPr>
            <w:tcW w:type="dxa" w:w="5040"/>
            <w:shd w:fill="EBF1F8"/>
            <w:tcMar>
              <w:top w:w="40" w:type="dxa"/>
              <w:bottom w:w="40" w:type="dxa"/>
              <w:left w:w="80" w:type="dxa"/>
              <w:right w:w="80" w:type="dxa"/>
            </w:tcMar>
          </w:tcPr>
          <w:p>
            <w:pPr>
              <w:jc w:val="center"/>
            </w:pPr>
            <w:r/>
            <w:r>
              <w:rPr>
                <w:rFonts w:ascii="Calibri" w:hAnsi="Calibri"/>
                <w:b w:val="0"/>
                <w:color w:val="333333"/>
                <w:sz w:val="18"/>
              </w:rPr>
              <w:t>~$2.8B</w:t>
            </w:r>
          </w:p>
        </w:tc>
      </w:tr>
      <w:tr>
        <w:tc>
          <w:tcPr>
            <w:tcW w:type="dxa" w:w="4320"/>
            <w:tcMar>
              <w:top w:w="40" w:type="dxa"/>
              <w:bottom w:w="40" w:type="dxa"/>
              <w:left w:w="80" w:type="dxa"/>
              <w:right w:w="80" w:type="dxa"/>
            </w:tcMar>
          </w:tcPr>
          <w:p>
            <w:pPr>
              <w:jc w:val="left"/>
            </w:pPr>
            <w:r/>
            <w:r>
              <w:rPr>
                <w:rFonts w:ascii="Calibri" w:hAnsi="Calibri"/>
                <w:b w:val="0"/>
                <w:color w:val="333333"/>
                <w:sz w:val="18"/>
              </w:rPr>
              <w:t>Pro-Forma Combined EBITDA (est.)</w:t>
            </w:r>
          </w:p>
        </w:tc>
        <w:tc>
          <w:tcPr>
            <w:tcW w:type="dxa" w:w="5040"/>
            <w:tcMar>
              <w:top w:w="40" w:type="dxa"/>
              <w:bottom w:w="40" w:type="dxa"/>
              <w:left w:w="80" w:type="dxa"/>
              <w:right w:w="80" w:type="dxa"/>
            </w:tcMar>
          </w:tcPr>
          <w:p>
            <w:pPr>
              <w:jc w:val="center"/>
            </w:pPr>
            <w:r/>
            <w:r>
              <w:rPr>
                <w:rFonts w:ascii="Calibri" w:hAnsi="Calibri"/>
                <w:b w:val="0"/>
                <w:color w:val="333333"/>
                <w:sz w:val="18"/>
              </w:rPr>
              <w:t>~$650M (23% margin)</w:t>
            </w:r>
          </w:p>
        </w:tc>
      </w:tr>
      <w:tr>
        <w:tc>
          <w:tcPr>
            <w:tcW w:type="dxa" w:w="4320"/>
            <w:shd w:fill="EBF1F8"/>
            <w:tcMar>
              <w:top w:w="40" w:type="dxa"/>
              <w:bottom w:w="40" w:type="dxa"/>
              <w:left w:w="80" w:type="dxa"/>
              <w:right w:w="80" w:type="dxa"/>
            </w:tcMar>
          </w:tcPr>
          <w:p>
            <w:pPr>
              <w:jc w:val="left"/>
            </w:pPr>
            <w:r/>
            <w:r>
              <w:rPr>
                <w:rFonts w:ascii="Calibri" w:hAnsi="Calibri"/>
                <w:b w:val="0"/>
                <w:color w:val="333333"/>
                <w:sz w:val="18"/>
              </w:rPr>
              <w:t>Leverage Ratio</w:t>
            </w:r>
          </w:p>
        </w:tc>
        <w:tc>
          <w:tcPr>
            <w:tcW w:type="dxa" w:w="5040"/>
            <w:shd w:fill="EBF1F8"/>
            <w:tcMar>
              <w:top w:w="40" w:type="dxa"/>
              <w:bottom w:w="40" w:type="dxa"/>
              <w:left w:w="80" w:type="dxa"/>
              <w:right w:w="80" w:type="dxa"/>
            </w:tcMar>
          </w:tcPr>
          <w:p>
            <w:pPr>
              <w:jc w:val="center"/>
            </w:pPr>
            <w:r/>
            <w:r>
              <w:rPr>
                <w:rFonts w:ascii="Calibri" w:hAnsi="Calibri"/>
                <w:b w:val="0"/>
                <w:color w:val="333333"/>
                <w:sz w:val="18"/>
              </w:rPr>
              <w:t>6.9x Debt/EBITDA</w:t>
            </w:r>
          </w:p>
        </w:tc>
      </w:tr>
      <w:tr>
        <w:tc>
          <w:tcPr>
            <w:tcW w:type="dxa" w:w="4320"/>
            <w:tcMar>
              <w:top w:w="40" w:type="dxa"/>
              <w:bottom w:w="40" w:type="dxa"/>
              <w:left w:w="80" w:type="dxa"/>
              <w:right w:w="80" w:type="dxa"/>
            </w:tcMar>
          </w:tcPr>
          <w:p>
            <w:pPr>
              <w:jc w:val="left"/>
            </w:pPr>
            <w:r/>
            <w:r>
              <w:rPr>
                <w:rFonts w:ascii="Calibri" w:hAnsi="Calibri"/>
                <w:b w:val="0"/>
                <w:color w:val="333333"/>
                <w:sz w:val="18"/>
              </w:rPr>
              <w:t>Assessment</w:t>
            </w:r>
          </w:p>
        </w:tc>
        <w:tc>
          <w:tcPr>
            <w:tcW w:type="dxa" w:w="5040"/>
            <w:tcMar>
              <w:top w:w="40" w:type="dxa"/>
              <w:bottom w:w="40" w:type="dxa"/>
              <w:left w:w="80" w:type="dxa"/>
              <w:right w:w="80" w:type="dxa"/>
            </w:tcMar>
          </w:tcPr>
          <w:p>
            <w:pPr>
              <w:jc w:val="center"/>
            </w:pPr>
            <w:r/>
            <w:r>
              <w:rPr>
                <w:rFonts w:ascii="Calibri" w:hAnsi="Calibri"/>
                <w:b w:val="0"/>
                <w:color w:val="333333"/>
                <w:sz w:val="18"/>
              </w:rPr>
              <w:t>High but manageable with synergies</w:t>
            </w:r>
          </w:p>
        </w:tc>
      </w:tr>
    </w:tbl>
    <w:p/>
    <w:p>
      <w:r>
        <w:br w:type="page"/>
      </w:r>
    </w:p>
    <w:p>
      <w:pPr>
        <w:pStyle w:val="Heading1"/>
      </w:pPr>
      <w:r>
        <w:rPr>
          <w:rFonts w:ascii="Calibri" w:hAnsi="Calibri"/>
          <w:color w:val="0B1D3A"/>
        </w:rPr>
        <w:t>5. Cost Synergies</w:t>
      </w:r>
    </w:p>
    <w:p>
      <w:pPr>
        <w:pStyle w:val="Heading2"/>
      </w:pPr>
      <w:r>
        <w:rPr>
          <w:rFonts w:ascii="Calibri" w:hAnsi="Calibri"/>
          <w:color w:val="0B1D3A"/>
        </w:rPr>
        <w:t>5.1 Year 1–3 Synergy Bridge</w:t>
      </w:r>
    </w:p>
    <w:p>
      <w:r>
        <w:rPr>
          <w:rFonts w:ascii="Calibri" w:hAnsi="Calibri"/>
          <w:b w:val="0"/>
          <w:color w:val="333333"/>
          <w:sz w:val="21"/>
        </w:rPr>
        <w:t>We project total run-rate synergies of $600 million by Year 3, driven primarily by headcount rationalization across overlapping functions and infrastructure consolidation.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4032"/>
            <w:shd w:fill="0B1D3A"/>
            <w:tcMar>
              <w:top w:w="40" w:type="dxa"/>
              <w:bottom w:w="40" w:type="dxa"/>
              <w:left w:w="80" w:type="dxa"/>
              <w:right w:w="80" w:type="dxa"/>
            </w:tcMar>
          </w:tcPr>
          <w:p>
            <w:pPr>
              <w:jc w:val="center"/>
            </w:pPr>
            <w:r/>
            <w:r>
              <w:rPr>
                <w:rFonts w:ascii="Calibri" w:hAnsi="Calibri"/>
                <w:b/>
                <w:color w:val="FFFFFF"/>
                <w:sz w:val="19"/>
              </w:rPr>
              <w:t>Category</w:t>
            </w:r>
          </w:p>
        </w:tc>
        <w:tc>
          <w:tcPr>
            <w:tcW w:type="dxa" w:w="1728"/>
            <w:shd w:fill="0B1D3A"/>
            <w:tcMar>
              <w:top w:w="40" w:type="dxa"/>
              <w:bottom w:w="40" w:type="dxa"/>
              <w:left w:w="80" w:type="dxa"/>
              <w:right w:w="80" w:type="dxa"/>
            </w:tcMar>
          </w:tcPr>
          <w:p>
            <w:pPr>
              <w:jc w:val="center"/>
            </w:pPr>
            <w:r/>
            <w:r>
              <w:rPr>
                <w:rFonts w:ascii="Calibri" w:hAnsi="Calibri"/>
                <w:b/>
                <w:color w:val="FFFFFF"/>
                <w:sz w:val="19"/>
              </w:rPr>
              <w:t>Year 1</w:t>
            </w:r>
          </w:p>
        </w:tc>
        <w:tc>
          <w:tcPr>
            <w:tcW w:type="dxa" w:w="1728"/>
            <w:shd w:fill="0B1D3A"/>
            <w:tcMar>
              <w:top w:w="40" w:type="dxa"/>
              <w:bottom w:w="40" w:type="dxa"/>
              <w:left w:w="80" w:type="dxa"/>
              <w:right w:w="80" w:type="dxa"/>
            </w:tcMar>
          </w:tcPr>
          <w:p>
            <w:pPr>
              <w:jc w:val="center"/>
            </w:pPr>
            <w:r/>
            <w:r>
              <w:rPr>
                <w:rFonts w:ascii="Calibri" w:hAnsi="Calibri"/>
                <w:b/>
                <w:color w:val="FFFFFF"/>
                <w:sz w:val="19"/>
              </w:rPr>
              <w:t>Year 2</w:t>
            </w:r>
          </w:p>
        </w:tc>
        <w:tc>
          <w:tcPr>
            <w:tcW w:type="dxa" w:w="2160"/>
            <w:shd w:fill="0B1D3A"/>
            <w:tcMar>
              <w:top w:w="40" w:type="dxa"/>
              <w:bottom w:w="40" w:type="dxa"/>
              <w:left w:w="80" w:type="dxa"/>
              <w:right w:w="80" w:type="dxa"/>
            </w:tcMar>
          </w:tcPr>
          <w:p>
            <w:pPr>
              <w:jc w:val="center"/>
            </w:pPr>
            <w:r/>
            <w:r>
              <w:rPr>
                <w:rFonts w:ascii="Calibri" w:hAnsi="Calibri"/>
                <w:b/>
                <w:color w:val="FFFFFF"/>
                <w:sz w:val="19"/>
              </w:rPr>
              <w:t>Year 3 (Run-Rate)</w:t>
            </w:r>
          </w:p>
        </w:tc>
      </w:tr>
      <w:tr>
        <w:tc>
          <w:tcPr>
            <w:tcW w:type="dxa" w:w="4032"/>
            <w:tcMar>
              <w:top w:w="40" w:type="dxa"/>
              <w:bottom w:w="40" w:type="dxa"/>
              <w:left w:w="80" w:type="dxa"/>
              <w:right w:w="80" w:type="dxa"/>
            </w:tcMar>
          </w:tcPr>
          <w:p>
            <w:pPr>
              <w:jc w:val="left"/>
            </w:pPr>
            <w:r/>
            <w:r>
              <w:rPr>
                <w:rFonts w:ascii="Calibri" w:hAnsi="Calibri"/>
                <w:b w:val="0"/>
                <w:color w:val="333333"/>
                <w:sz w:val="18"/>
              </w:rPr>
              <w:t>Headcount Reduction (15–20% overlap)</w:t>
            </w:r>
          </w:p>
        </w:tc>
        <w:tc>
          <w:tcPr>
            <w:tcW w:type="dxa" w:w="1728"/>
            <w:tcMar>
              <w:top w:w="40" w:type="dxa"/>
              <w:bottom w:w="40" w:type="dxa"/>
              <w:left w:w="80" w:type="dxa"/>
              <w:right w:w="80" w:type="dxa"/>
            </w:tcMar>
          </w:tcPr>
          <w:p>
            <w:pPr>
              <w:jc w:val="center"/>
            </w:pPr>
            <w:r/>
            <w:r>
              <w:rPr>
                <w:rFonts w:ascii="Calibri" w:hAnsi="Calibri"/>
                <w:b w:val="0"/>
                <w:color w:val="333333"/>
                <w:sz w:val="18"/>
              </w:rPr>
              <w:t>$150M</w:t>
            </w:r>
          </w:p>
        </w:tc>
        <w:tc>
          <w:tcPr>
            <w:tcW w:type="dxa" w:w="1728"/>
            <w:tcMar>
              <w:top w:w="40" w:type="dxa"/>
              <w:bottom w:w="40" w:type="dxa"/>
              <w:left w:w="80" w:type="dxa"/>
              <w:right w:w="80" w:type="dxa"/>
            </w:tcMar>
          </w:tcPr>
          <w:p>
            <w:pPr>
              <w:jc w:val="center"/>
            </w:pPr>
            <w:r/>
            <w:r>
              <w:rPr>
                <w:rFonts w:ascii="Calibri" w:hAnsi="Calibri"/>
                <w:b w:val="0"/>
                <w:color w:val="333333"/>
                <w:sz w:val="18"/>
              </w:rPr>
              <w:t>$250M</w:t>
            </w:r>
          </w:p>
        </w:tc>
        <w:tc>
          <w:tcPr>
            <w:tcW w:type="dxa" w:w="2160"/>
            <w:tcMar>
              <w:top w:w="40" w:type="dxa"/>
              <w:bottom w:w="40" w:type="dxa"/>
              <w:left w:w="80" w:type="dxa"/>
              <w:right w:w="80" w:type="dxa"/>
            </w:tcMar>
          </w:tcPr>
          <w:p>
            <w:pPr>
              <w:jc w:val="center"/>
            </w:pPr>
            <w:r/>
            <w:r>
              <w:rPr>
                <w:rFonts w:ascii="Calibri" w:hAnsi="Calibri"/>
                <w:b w:val="0"/>
                <w:color w:val="333333"/>
                <w:sz w:val="18"/>
              </w:rPr>
              <w:t>$350M</w:t>
            </w:r>
          </w:p>
        </w:tc>
      </w:tr>
      <w:tr>
        <w:tc>
          <w:tcPr>
            <w:tcW w:type="dxa" w:w="4032"/>
            <w:shd w:fill="EBF1F8"/>
            <w:tcMar>
              <w:top w:w="40" w:type="dxa"/>
              <w:bottom w:w="40" w:type="dxa"/>
              <w:left w:w="80" w:type="dxa"/>
              <w:right w:w="80" w:type="dxa"/>
            </w:tcMar>
          </w:tcPr>
          <w:p>
            <w:pPr>
              <w:jc w:val="left"/>
            </w:pPr>
            <w:r/>
            <w:r>
              <w:rPr>
                <w:rFonts w:ascii="Calibri" w:hAnsi="Calibri"/>
                <w:b w:val="0"/>
                <w:color w:val="333333"/>
                <w:sz w:val="18"/>
              </w:rPr>
              <w:t>Infrastructure / Data Center Consolidation</w:t>
            </w:r>
          </w:p>
        </w:tc>
        <w:tc>
          <w:tcPr>
            <w:tcW w:type="dxa" w:w="1728"/>
            <w:shd w:fill="EBF1F8"/>
            <w:tcMar>
              <w:top w:w="40" w:type="dxa"/>
              <w:bottom w:w="40" w:type="dxa"/>
              <w:left w:w="80" w:type="dxa"/>
              <w:right w:w="80" w:type="dxa"/>
            </w:tcMar>
          </w:tcPr>
          <w:p>
            <w:pPr>
              <w:jc w:val="center"/>
            </w:pPr>
            <w:r/>
            <w:r>
              <w:rPr>
                <w:rFonts w:ascii="Calibri" w:hAnsi="Calibri"/>
                <w:b w:val="0"/>
                <w:color w:val="333333"/>
                <w:sz w:val="18"/>
              </w:rPr>
              <w:t>$30M</w:t>
            </w:r>
          </w:p>
        </w:tc>
        <w:tc>
          <w:tcPr>
            <w:tcW w:type="dxa" w:w="1728"/>
            <w:shd w:fill="EBF1F8"/>
            <w:tcMar>
              <w:top w:w="40" w:type="dxa"/>
              <w:bottom w:w="40" w:type="dxa"/>
              <w:left w:w="80" w:type="dxa"/>
              <w:right w:w="80" w:type="dxa"/>
            </w:tcMar>
          </w:tcPr>
          <w:p>
            <w:pPr>
              <w:jc w:val="center"/>
            </w:pPr>
            <w:r/>
            <w:r>
              <w:rPr>
                <w:rFonts w:ascii="Calibri" w:hAnsi="Calibri"/>
                <w:b w:val="0"/>
                <w:color w:val="333333"/>
                <w:sz w:val="18"/>
              </w:rPr>
              <w:t>$60M</w:t>
            </w:r>
          </w:p>
        </w:tc>
        <w:tc>
          <w:tcPr>
            <w:tcW w:type="dxa" w:w="2160"/>
            <w:shd w:fill="EBF1F8"/>
            <w:tcMar>
              <w:top w:w="40" w:type="dxa"/>
              <w:bottom w:w="40" w:type="dxa"/>
              <w:left w:w="80" w:type="dxa"/>
              <w:right w:w="80" w:type="dxa"/>
            </w:tcMar>
          </w:tcPr>
          <w:p>
            <w:pPr>
              <w:jc w:val="center"/>
            </w:pPr>
            <w:r/>
            <w:r>
              <w:rPr>
                <w:rFonts w:ascii="Calibri" w:hAnsi="Calibri"/>
                <w:b w:val="0"/>
                <w:color w:val="333333"/>
                <w:sz w:val="18"/>
              </w:rPr>
              <w:t>$80M</w:t>
            </w:r>
          </w:p>
        </w:tc>
      </w:tr>
      <w:tr>
        <w:tc>
          <w:tcPr>
            <w:tcW w:type="dxa" w:w="4032"/>
            <w:tcMar>
              <w:top w:w="40" w:type="dxa"/>
              <w:bottom w:w="40" w:type="dxa"/>
              <w:left w:w="80" w:type="dxa"/>
              <w:right w:w="80" w:type="dxa"/>
            </w:tcMar>
          </w:tcPr>
          <w:p>
            <w:pPr>
              <w:jc w:val="left"/>
            </w:pPr>
            <w:r/>
            <w:r>
              <w:rPr>
                <w:rFonts w:ascii="Calibri" w:hAnsi="Calibri"/>
                <w:b w:val="0"/>
                <w:color w:val="333333"/>
                <w:sz w:val="18"/>
              </w:rPr>
              <w:t>G&amp;A Elimination (Duplicate Corporate)</w:t>
            </w:r>
          </w:p>
        </w:tc>
        <w:tc>
          <w:tcPr>
            <w:tcW w:type="dxa" w:w="1728"/>
            <w:tcMar>
              <w:top w:w="40" w:type="dxa"/>
              <w:bottom w:w="40" w:type="dxa"/>
              <w:left w:w="80" w:type="dxa"/>
              <w:right w:w="80" w:type="dxa"/>
            </w:tcMar>
          </w:tcPr>
          <w:p>
            <w:pPr>
              <w:jc w:val="center"/>
            </w:pPr>
            <w:r/>
            <w:r>
              <w:rPr>
                <w:rFonts w:ascii="Calibri" w:hAnsi="Calibri"/>
                <w:b w:val="0"/>
                <w:color w:val="333333"/>
                <w:sz w:val="18"/>
              </w:rPr>
              <w:t>$40M</w:t>
            </w:r>
          </w:p>
        </w:tc>
        <w:tc>
          <w:tcPr>
            <w:tcW w:type="dxa" w:w="1728"/>
            <w:tcMar>
              <w:top w:w="40" w:type="dxa"/>
              <w:bottom w:w="40" w:type="dxa"/>
              <w:left w:w="80" w:type="dxa"/>
              <w:right w:w="80" w:type="dxa"/>
            </w:tcMar>
          </w:tcPr>
          <w:p>
            <w:pPr>
              <w:jc w:val="center"/>
            </w:pPr>
            <w:r/>
            <w:r>
              <w:rPr>
                <w:rFonts w:ascii="Calibri" w:hAnsi="Calibri"/>
                <w:b w:val="0"/>
                <w:color w:val="333333"/>
                <w:sz w:val="18"/>
              </w:rPr>
              <w:t>$70M</w:t>
            </w:r>
          </w:p>
        </w:tc>
        <w:tc>
          <w:tcPr>
            <w:tcW w:type="dxa" w:w="2160"/>
            <w:tcMar>
              <w:top w:w="40" w:type="dxa"/>
              <w:bottom w:w="40" w:type="dxa"/>
              <w:left w:w="80" w:type="dxa"/>
              <w:right w:w="80" w:type="dxa"/>
            </w:tcMar>
          </w:tcPr>
          <w:p>
            <w:pPr>
              <w:jc w:val="center"/>
            </w:pPr>
            <w:r/>
            <w:r>
              <w:rPr>
                <w:rFonts w:ascii="Calibri" w:hAnsi="Calibri"/>
                <w:b w:val="0"/>
                <w:color w:val="333333"/>
                <w:sz w:val="18"/>
              </w:rPr>
              <w:t>$90M</w:t>
            </w:r>
          </w:p>
        </w:tc>
      </w:tr>
      <w:tr>
        <w:tc>
          <w:tcPr>
            <w:tcW w:type="dxa" w:w="4032"/>
            <w:shd w:fill="EBF1F8"/>
            <w:tcMar>
              <w:top w:w="40" w:type="dxa"/>
              <w:bottom w:w="40" w:type="dxa"/>
              <w:left w:w="80" w:type="dxa"/>
              <w:right w:w="80" w:type="dxa"/>
            </w:tcMar>
          </w:tcPr>
          <w:p>
            <w:pPr>
              <w:jc w:val="left"/>
            </w:pPr>
            <w:r/>
            <w:r>
              <w:rPr>
                <w:rFonts w:ascii="Calibri" w:hAnsi="Calibri"/>
                <w:b w:val="0"/>
                <w:color w:val="333333"/>
                <w:sz w:val="18"/>
              </w:rPr>
              <w:t>Sales &amp; Marketing Optimization</w:t>
            </w:r>
          </w:p>
        </w:tc>
        <w:tc>
          <w:tcPr>
            <w:tcW w:type="dxa" w:w="1728"/>
            <w:shd w:fill="EBF1F8"/>
            <w:tcMar>
              <w:top w:w="40" w:type="dxa"/>
              <w:bottom w:w="40" w:type="dxa"/>
              <w:left w:w="80" w:type="dxa"/>
              <w:right w:w="80" w:type="dxa"/>
            </w:tcMar>
          </w:tcPr>
          <w:p>
            <w:pPr>
              <w:jc w:val="center"/>
            </w:pPr>
            <w:r/>
            <w:r>
              <w:rPr>
                <w:rFonts w:ascii="Calibri" w:hAnsi="Calibri"/>
                <w:b w:val="0"/>
                <w:color w:val="333333"/>
                <w:sz w:val="18"/>
              </w:rPr>
              <w:t>$20M</w:t>
            </w:r>
          </w:p>
        </w:tc>
        <w:tc>
          <w:tcPr>
            <w:tcW w:type="dxa" w:w="1728"/>
            <w:shd w:fill="EBF1F8"/>
            <w:tcMar>
              <w:top w:w="40" w:type="dxa"/>
              <w:bottom w:w="40" w:type="dxa"/>
              <w:left w:w="80" w:type="dxa"/>
              <w:right w:w="80" w:type="dxa"/>
            </w:tcMar>
          </w:tcPr>
          <w:p>
            <w:pPr>
              <w:jc w:val="center"/>
            </w:pPr>
            <w:r/>
            <w:r>
              <w:rPr>
                <w:rFonts w:ascii="Calibri" w:hAnsi="Calibri"/>
                <w:b w:val="0"/>
                <w:color w:val="333333"/>
                <w:sz w:val="18"/>
              </w:rPr>
              <w:t>$50M</w:t>
            </w:r>
          </w:p>
        </w:tc>
        <w:tc>
          <w:tcPr>
            <w:tcW w:type="dxa" w:w="2160"/>
            <w:shd w:fill="EBF1F8"/>
            <w:tcMar>
              <w:top w:w="40" w:type="dxa"/>
              <w:bottom w:w="40" w:type="dxa"/>
              <w:left w:w="80" w:type="dxa"/>
              <w:right w:w="80" w:type="dxa"/>
            </w:tcMar>
          </w:tcPr>
          <w:p>
            <w:pPr>
              <w:jc w:val="center"/>
            </w:pPr>
            <w:r/>
            <w:r>
              <w:rPr>
                <w:rFonts w:ascii="Calibri" w:hAnsi="Calibri"/>
                <w:b w:val="0"/>
                <w:color w:val="333333"/>
                <w:sz w:val="18"/>
              </w:rPr>
              <w:t>$80M</w:t>
            </w:r>
          </w:p>
        </w:tc>
      </w:tr>
      <w:tr>
        <w:tc>
          <w:tcPr>
            <w:tcW w:type="dxa" w:w="4032"/>
            <w:tcMar>
              <w:top w:w="40" w:type="dxa"/>
              <w:bottom w:w="40" w:type="dxa"/>
              <w:left w:w="80" w:type="dxa"/>
              <w:right w:w="80" w:type="dxa"/>
            </w:tcMar>
          </w:tcPr>
          <w:p>
            <w:pPr>
              <w:jc w:val="left"/>
            </w:pPr>
            <w:r/>
            <w:r>
              <w:rPr>
                <w:rFonts w:ascii="Calibri" w:hAnsi="Calibri"/>
                <w:b/>
                <w:color w:val="333333"/>
                <w:sz w:val="18"/>
              </w:rPr>
              <w:t>Total Synergies</w:t>
            </w:r>
          </w:p>
        </w:tc>
        <w:tc>
          <w:tcPr>
            <w:tcW w:type="dxa" w:w="1728"/>
            <w:tcMar>
              <w:top w:w="40" w:type="dxa"/>
              <w:bottom w:w="40" w:type="dxa"/>
              <w:left w:w="80" w:type="dxa"/>
              <w:right w:w="80" w:type="dxa"/>
            </w:tcMar>
          </w:tcPr>
          <w:p>
            <w:pPr>
              <w:jc w:val="center"/>
            </w:pPr>
            <w:r/>
            <w:r>
              <w:rPr>
                <w:rFonts w:ascii="Calibri" w:hAnsi="Calibri"/>
                <w:b/>
                <w:color w:val="333333"/>
                <w:sz w:val="18"/>
              </w:rPr>
              <w:t>$240M</w:t>
            </w:r>
          </w:p>
        </w:tc>
        <w:tc>
          <w:tcPr>
            <w:tcW w:type="dxa" w:w="1728"/>
            <w:tcMar>
              <w:top w:w="40" w:type="dxa"/>
              <w:bottom w:w="40" w:type="dxa"/>
              <w:left w:w="80" w:type="dxa"/>
              <w:right w:w="80" w:type="dxa"/>
            </w:tcMar>
          </w:tcPr>
          <w:p>
            <w:pPr>
              <w:jc w:val="center"/>
            </w:pPr>
            <w:r/>
            <w:r>
              <w:rPr>
                <w:rFonts w:ascii="Calibri" w:hAnsi="Calibri"/>
                <w:b/>
                <w:color w:val="333333"/>
                <w:sz w:val="18"/>
              </w:rPr>
              <w:t>$430M</w:t>
            </w:r>
          </w:p>
        </w:tc>
        <w:tc>
          <w:tcPr>
            <w:tcW w:type="dxa" w:w="2160"/>
            <w:tcMar>
              <w:top w:w="40" w:type="dxa"/>
              <w:bottom w:w="40" w:type="dxa"/>
              <w:left w:w="80" w:type="dxa"/>
              <w:right w:w="80" w:type="dxa"/>
            </w:tcMar>
          </w:tcPr>
          <w:p>
            <w:pPr>
              <w:jc w:val="center"/>
            </w:pPr>
            <w:r/>
            <w:r>
              <w:rPr>
                <w:rFonts w:ascii="Calibri" w:hAnsi="Calibri"/>
                <w:b/>
                <w:color w:val="333333"/>
                <w:sz w:val="18"/>
              </w:rPr>
              <w:t>$600M</w:t>
            </w:r>
          </w:p>
        </w:tc>
      </w:tr>
      <w:tr>
        <w:tc>
          <w:tcPr>
            <w:tcW w:type="dxa" w:w="4032"/>
            <w:shd w:fill="EBF1F8"/>
            <w:tcMar>
              <w:top w:w="40" w:type="dxa"/>
              <w:bottom w:w="40" w:type="dxa"/>
              <w:left w:w="80" w:type="dxa"/>
              <w:right w:w="80" w:type="dxa"/>
            </w:tcMar>
          </w:tcPr>
          <w:p>
            <w:pPr>
              <w:jc w:val="left"/>
            </w:pPr>
            <w:r/>
            <w:r>
              <w:rPr>
                <w:rFonts w:ascii="Calibri" w:hAnsi="Calibri"/>
                <w:b w:val="0"/>
                <w:color w:val="333333"/>
                <w:sz w:val="18"/>
              </w:rPr>
              <w:t>Implementation Costs</w:t>
            </w:r>
          </w:p>
        </w:tc>
        <w:tc>
          <w:tcPr>
            <w:tcW w:type="dxa" w:w="1728"/>
            <w:shd w:fill="EBF1F8"/>
            <w:tcMar>
              <w:top w:w="40" w:type="dxa"/>
              <w:bottom w:w="40" w:type="dxa"/>
              <w:left w:w="80" w:type="dxa"/>
              <w:right w:w="80" w:type="dxa"/>
            </w:tcMar>
          </w:tcPr>
          <w:p>
            <w:pPr>
              <w:jc w:val="center"/>
            </w:pPr>
            <w:r/>
            <w:r>
              <w:rPr>
                <w:rFonts w:ascii="Calibri" w:hAnsi="Calibri"/>
                <w:b w:val="0"/>
                <w:color w:val="333333"/>
                <w:sz w:val="18"/>
              </w:rPr>
              <w:t>($200M)</w:t>
            </w:r>
          </w:p>
        </w:tc>
        <w:tc>
          <w:tcPr>
            <w:tcW w:type="dxa" w:w="1728"/>
            <w:shd w:fill="EBF1F8"/>
            <w:tcMar>
              <w:top w:w="40" w:type="dxa"/>
              <w:bottom w:w="40" w:type="dxa"/>
              <w:left w:w="80" w:type="dxa"/>
              <w:right w:w="80" w:type="dxa"/>
            </w:tcMar>
          </w:tcPr>
          <w:p>
            <w:pPr>
              <w:jc w:val="center"/>
            </w:pPr>
            <w:r/>
            <w:r>
              <w:rPr>
                <w:rFonts w:ascii="Calibri" w:hAnsi="Calibri"/>
                <w:b w:val="0"/>
                <w:color w:val="333333"/>
                <w:sz w:val="18"/>
              </w:rPr>
              <w:t>($100M)</w:t>
            </w:r>
          </w:p>
        </w:tc>
        <w:tc>
          <w:tcPr>
            <w:tcW w:type="dxa" w:w="2160"/>
            <w:shd w:fill="EBF1F8"/>
            <w:tcMar>
              <w:top w:w="40" w:type="dxa"/>
              <w:bottom w:w="40" w:type="dxa"/>
              <w:left w:w="80" w:type="dxa"/>
              <w:right w:w="80" w:type="dxa"/>
            </w:tcMar>
          </w:tcPr>
          <w:p>
            <w:pPr>
              <w:jc w:val="center"/>
            </w:pPr>
            <w:r/>
            <w:r>
              <w:rPr>
                <w:rFonts w:ascii="Calibri" w:hAnsi="Calibri"/>
                <w:b w:val="0"/>
                <w:color w:val="333333"/>
                <w:sz w:val="18"/>
              </w:rPr>
              <w:t>$0</w:t>
            </w:r>
          </w:p>
        </w:tc>
      </w:tr>
      <w:tr>
        <w:tc>
          <w:tcPr>
            <w:tcW w:type="dxa" w:w="4032"/>
            <w:tcMar>
              <w:top w:w="40" w:type="dxa"/>
              <w:bottom w:w="40" w:type="dxa"/>
              <w:left w:w="80" w:type="dxa"/>
              <w:right w:w="80" w:type="dxa"/>
            </w:tcMar>
          </w:tcPr>
          <w:p>
            <w:pPr>
              <w:jc w:val="left"/>
            </w:pPr>
            <w:r/>
            <w:r>
              <w:rPr>
                <w:rFonts w:ascii="Calibri" w:hAnsi="Calibri"/>
                <w:b/>
                <w:color w:val="333333"/>
                <w:sz w:val="18"/>
              </w:rPr>
              <w:t>Net Synergies</w:t>
            </w:r>
          </w:p>
        </w:tc>
        <w:tc>
          <w:tcPr>
            <w:tcW w:type="dxa" w:w="1728"/>
            <w:tcMar>
              <w:top w:w="40" w:type="dxa"/>
              <w:bottom w:w="40" w:type="dxa"/>
              <w:left w:w="80" w:type="dxa"/>
              <w:right w:w="80" w:type="dxa"/>
            </w:tcMar>
          </w:tcPr>
          <w:p>
            <w:pPr>
              <w:jc w:val="center"/>
            </w:pPr>
            <w:r/>
            <w:r>
              <w:rPr>
                <w:rFonts w:ascii="Calibri" w:hAnsi="Calibri"/>
                <w:b/>
                <w:color w:val="333333"/>
                <w:sz w:val="18"/>
              </w:rPr>
              <w:t>$40M</w:t>
            </w:r>
          </w:p>
        </w:tc>
        <w:tc>
          <w:tcPr>
            <w:tcW w:type="dxa" w:w="1728"/>
            <w:tcMar>
              <w:top w:w="40" w:type="dxa"/>
              <w:bottom w:w="40" w:type="dxa"/>
              <w:left w:w="80" w:type="dxa"/>
              <w:right w:w="80" w:type="dxa"/>
            </w:tcMar>
          </w:tcPr>
          <w:p>
            <w:pPr>
              <w:jc w:val="center"/>
            </w:pPr>
            <w:r/>
            <w:r>
              <w:rPr>
                <w:rFonts w:ascii="Calibri" w:hAnsi="Calibri"/>
                <w:b/>
                <w:color w:val="333333"/>
                <w:sz w:val="18"/>
              </w:rPr>
              <w:t>$330M</w:t>
            </w:r>
          </w:p>
        </w:tc>
        <w:tc>
          <w:tcPr>
            <w:tcW w:type="dxa" w:w="2160"/>
            <w:tcMar>
              <w:top w:w="40" w:type="dxa"/>
              <w:bottom w:w="40" w:type="dxa"/>
              <w:left w:w="80" w:type="dxa"/>
              <w:right w:w="80" w:type="dxa"/>
            </w:tcMar>
          </w:tcPr>
          <w:p>
            <w:pPr>
              <w:jc w:val="center"/>
            </w:pPr>
            <w:r/>
            <w:r>
              <w:rPr>
                <w:rFonts w:ascii="Calibri" w:hAnsi="Calibri"/>
                <w:b/>
                <w:color w:val="333333"/>
                <w:sz w:val="18"/>
              </w:rPr>
              <w:t>$600M</w:t>
            </w:r>
          </w:p>
        </w:tc>
      </w:tr>
    </w:tbl>
    <w:p/>
    <w:p>
      <w:pPr>
        <w:pStyle w:val="Heading2"/>
      </w:pPr>
      <w:r>
        <w:rPr>
          <w:rFonts w:ascii="Calibri" w:hAnsi="Calibri"/>
          <w:color w:val="0B1D3A"/>
        </w:rPr>
        <w:t>5.2 Deleveraging Impact</w:t>
      </w:r>
    </w:p>
    <w:p>
      <w:r>
        <w:rPr>
          <w:rFonts w:ascii="Calibri" w:hAnsi="Calibri"/>
          <w:b w:val="0"/>
          <w:color w:val="333333"/>
          <w:sz w:val="21"/>
        </w:rPr>
        <w:t>With full run-rate synergies of $600M, the pro-forma financial profile improves significantly:</w:t>
      </w:r>
    </w:p>
    <w:tbl>
      <w:tblPr>
        <w:tblStyle w:val="TableGrid"/>
        <w:tblW w:type="auto" w:w="0"/>
        <w:jc w:val="center"/>
        <w:tblLook w:firstColumn="1" w:firstRow="1" w:lastColumn="0" w:lastRow="0" w:noHBand="0" w:noVBand="1" w:val="04A0"/>
      </w:tblPr>
      <w:tblGrid>
        <w:gridCol w:w="3135"/>
        <w:gridCol w:w="3135"/>
        <w:gridCol w:w="3135"/>
      </w:tblGrid>
      <w:tr>
        <w:tc>
          <w:tcPr>
            <w:tcW w:type="dxa" w:w="3600"/>
            <w:shd w:fill="0B1D3A"/>
            <w:tcMar>
              <w:top w:w="40" w:type="dxa"/>
              <w:bottom w:w="40" w:type="dxa"/>
              <w:left w:w="80" w:type="dxa"/>
              <w:right w:w="80" w:type="dxa"/>
            </w:tcMar>
          </w:tcPr>
          <w:p>
            <w:pPr>
              <w:jc w:val="center"/>
            </w:pPr>
            <w:r/>
            <w:r>
              <w:rPr>
                <w:rFonts w:ascii="Calibri" w:hAnsi="Calibri"/>
                <w:b/>
                <w:color w:val="FFFFFF"/>
                <w:sz w:val="19"/>
              </w:rPr>
              <w:t>Metric</w:t>
            </w:r>
          </w:p>
        </w:tc>
        <w:tc>
          <w:tcPr>
            <w:tcW w:type="dxa" w:w="2592"/>
            <w:shd w:fill="0B1D3A"/>
            <w:tcMar>
              <w:top w:w="40" w:type="dxa"/>
              <w:bottom w:w="40" w:type="dxa"/>
              <w:left w:w="80" w:type="dxa"/>
              <w:right w:w="80" w:type="dxa"/>
            </w:tcMar>
          </w:tcPr>
          <w:p>
            <w:pPr>
              <w:jc w:val="center"/>
            </w:pPr>
            <w:r/>
            <w:r>
              <w:rPr>
                <w:rFonts w:ascii="Calibri" w:hAnsi="Calibri"/>
                <w:b/>
                <w:color w:val="FFFFFF"/>
                <w:sz w:val="19"/>
              </w:rPr>
              <w:t>At Close</w:t>
            </w:r>
          </w:p>
        </w:tc>
        <w:tc>
          <w:tcPr>
            <w:tcW w:type="dxa" w:w="2592"/>
            <w:shd w:fill="0B1D3A"/>
            <w:tcMar>
              <w:top w:w="40" w:type="dxa"/>
              <w:bottom w:w="40" w:type="dxa"/>
              <w:left w:w="80" w:type="dxa"/>
              <w:right w:w="80" w:type="dxa"/>
            </w:tcMar>
          </w:tcPr>
          <w:p>
            <w:pPr>
              <w:jc w:val="center"/>
            </w:pPr>
            <w:r/>
            <w:r>
              <w:rPr>
                <w:rFonts w:ascii="Calibri" w:hAnsi="Calibri"/>
                <w:b/>
                <w:color w:val="FFFFFF"/>
                <w:sz w:val="19"/>
              </w:rPr>
              <w:t>With Full Synergies</w:t>
            </w:r>
          </w:p>
        </w:tc>
      </w:tr>
      <w:tr>
        <w:tc>
          <w:tcPr>
            <w:tcW w:type="dxa" w:w="3600"/>
            <w:tcMar>
              <w:top w:w="40" w:type="dxa"/>
              <w:bottom w:w="40" w:type="dxa"/>
              <w:left w:w="80" w:type="dxa"/>
              <w:right w:w="80" w:type="dxa"/>
            </w:tcMar>
          </w:tcPr>
          <w:p>
            <w:pPr>
              <w:jc w:val="left"/>
            </w:pPr>
            <w:r/>
            <w:r>
              <w:rPr>
                <w:rFonts w:ascii="Calibri" w:hAnsi="Calibri"/>
                <w:b w:val="0"/>
                <w:color w:val="333333"/>
                <w:sz w:val="18"/>
              </w:rPr>
              <w:t>Pro-Forma EBITDA</w:t>
            </w:r>
          </w:p>
        </w:tc>
        <w:tc>
          <w:tcPr>
            <w:tcW w:type="dxa" w:w="2592"/>
            <w:tcMar>
              <w:top w:w="40" w:type="dxa"/>
              <w:bottom w:w="40" w:type="dxa"/>
              <w:left w:w="80" w:type="dxa"/>
              <w:right w:w="80" w:type="dxa"/>
            </w:tcMar>
          </w:tcPr>
          <w:p>
            <w:pPr>
              <w:jc w:val="center"/>
            </w:pPr>
            <w:r/>
            <w:r>
              <w:rPr>
                <w:rFonts w:ascii="Calibri" w:hAnsi="Calibri"/>
                <w:b w:val="0"/>
                <w:color w:val="333333"/>
                <w:sz w:val="18"/>
              </w:rPr>
              <w:t>~$650M</w:t>
            </w:r>
          </w:p>
        </w:tc>
        <w:tc>
          <w:tcPr>
            <w:tcW w:type="dxa" w:w="2592"/>
            <w:tcMar>
              <w:top w:w="40" w:type="dxa"/>
              <w:bottom w:w="40" w:type="dxa"/>
              <w:left w:w="80" w:type="dxa"/>
              <w:right w:w="80" w:type="dxa"/>
            </w:tcMar>
          </w:tcPr>
          <w:p>
            <w:pPr>
              <w:jc w:val="center"/>
            </w:pPr>
            <w:r/>
            <w:r>
              <w:rPr>
                <w:rFonts w:ascii="Calibri" w:hAnsi="Calibri"/>
                <w:b w:val="0"/>
                <w:color w:val="333333"/>
                <w:sz w:val="18"/>
              </w:rPr>
              <w:t>~$1,250M</w:t>
            </w:r>
          </w:p>
        </w:tc>
      </w:tr>
      <w:tr>
        <w:tc>
          <w:tcPr>
            <w:tcW w:type="dxa" w:w="3600"/>
            <w:shd w:fill="EBF1F8"/>
            <w:tcMar>
              <w:top w:w="40" w:type="dxa"/>
              <w:bottom w:w="40" w:type="dxa"/>
              <w:left w:w="80" w:type="dxa"/>
              <w:right w:w="80" w:type="dxa"/>
            </w:tcMar>
          </w:tcPr>
          <w:p>
            <w:pPr>
              <w:jc w:val="left"/>
            </w:pPr>
            <w:r/>
            <w:r>
              <w:rPr>
                <w:rFonts w:ascii="Calibri" w:hAnsi="Calibri"/>
                <w:b/>
                <w:color w:val="333333"/>
                <w:sz w:val="18"/>
              </w:rPr>
              <w:t>Total Debt</w:t>
            </w:r>
          </w:p>
        </w:tc>
        <w:tc>
          <w:tcPr>
            <w:tcW w:type="dxa" w:w="2592"/>
            <w:shd w:fill="EBF1F8"/>
            <w:tcMar>
              <w:top w:w="40" w:type="dxa"/>
              <w:bottom w:w="40" w:type="dxa"/>
              <w:left w:w="80" w:type="dxa"/>
              <w:right w:w="80" w:type="dxa"/>
            </w:tcMar>
          </w:tcPr>
          <w:p>
            <w:pPr>
              <w:jc w:val="center"/>
            </w:pPr>
            <w:r/>
            <w:r>
              <w:rPr>
                <w:rFonts w:ascii="Calibri" w:hAnsi="Calibri"/>
                <w:b/>
                <w:color w:val="333333"/>
                <w:sz w:val="18"/>
              </w:rPr>
              <w:t>$4.5B</w:t>
            </w:r>
          </w:p>
        </w:tc>
        <w:tc>
          <w:tcPr>
            <w:tcW w:type="dxa" w:w="2592"/>
            <w:shd w:fill="EBF1F8"/>
            <w:tcMar>
              <w:top w:w="40" w:type="dxa"/>
              <w:bottom w:w="40" w:type="dxa"/>
              <w:left w:w="80" w:type="dxa"/>
              <w:right w:w="80" w:type="dxa"/>
            </w:tcMar>
          </w:tcPr>
          <w:p>
            <w:pPr>
              <w:jc w:val="center"/>
            </w:pPr>
            <w:r/>
            <w:r>
              <w:rPr>
                <w:rFonts w:ascii="Calibri" w:hAnsi="Calibri"/>
                <w:b/>
                <w:color w:val="333333"/>
                <w:sz w:val="18"/>
              </w:rPr>
              <w:t>$4.5B</w:t>
            </w:r>
          </w:p>
        </w:tc>
      </w:tr>
      <w:tr>
        <w:tc>
          <w:tcPr>
            <w:tcW w:type="dxa" w:w="3600"/>
            <w:tcMar>
              <w:top w:w="40" w:type="dxa"/>
              <w:bottom w:w="40" w:type="dxa"/>
              <w:left w:w="80" w:type="dxa"/>
              <w:right w:w="80" w:type="dxa"/>
            </w:tcMar>
          </w:tcPr>
          <w:p>
            <w:pPr>
              <w:jc w:val="left"/>
            </w:pPr>
            <w:r/>
            <w:r>
              <w:rPr>
                <w:rFonts w:ascii="Calibri" w:hAnsi="Calibri"/>
                <w:b w:val="0"/>
                <w:color w:val="333333"/>
                <w:sz w:val="18"/>
              </w:rPr>
              <w:t>Leverage (Debt/EBITDA)</w:t>
            </w:r>
          </w:p>
        </w:tc>
        <w:tc>
          <w:tcPr>
            <w:tcW w:type="dxa" w:w="2592"/>
            <w:tcMar>
              <w:top w:w="40" w:type="dxa"/>
              <w:bottom w:w="40" w:type="dxa"/>
              <w:left w:w="80" w:type="dxa"/>
              <w:right w:w="80" w:type="dxa"/>
            </w:tcMar>
          </w:tcPr>
          <w:p>
            <w:pPr>
              <w:jc w:val="center"/>
            </w:pPr>
            <w:r/>
            <w:r>
              <w:rPr>
                <w:rFonts w:ascii="Calibri" w:hAnsi="Calibri"/>
                <w:b w:val="0"/>
                <w:color w:val="333333"/>
                <w:sz w:val="18"/>
              </w:rPr>
              <w:t>6.9x</w:t>
            </w:r>
          </w:p>
        </w:tc>
        <w:tc>
          <w:tcPr>
            <w:tcW w:type="dxa" w:w="2592"/>
            <w:tcMar>
              <w:top w:w="40" w:type="dxa"/>
              <w:bottom w:w="40" w:type="dxa"/>
              <w:left w:w="80" w:type="dxa"/>
              <w:right w:w="80" w:type="dxa"/>
            </w:tcMar>
          </w:tcPr>
          <w:p>
            <w:pPr>
              <w:jc w:val="center"/>
            </w:pPr>
            <w:r/>
            <w:r>
              <w:rPr>
                <w:rFonts w:ascii="Calibri" w:hAnsi="Calibri"/>
                <w:b w:val="0"/>
                <w:color w:val="333333"/>
                <w:sz w:val="18"/>
              </w:rPr>
              <w:t>3.6x</w:t>
            </w:r>
          </w:p>
        </w:tc>
      </w:tr>
      <w:tr>
        <w:tc>
          <w:tcPr>
            <w:tcW w:type="dxa" w:w="3600"/>
            <w:shd w:fill="EBF1F8"/>
            <w:tcMar>
              <w:top w:w="40" w:type="dxa"/>
              <w:bottom w:w="40" w:type="dxa"/>
              <w:left w:w="80" w:type="dxa"/>
              <w:right w:w="80" w:type="dxa"/>
            </w:tcMar>
          </w:tcPr>
          <w:p>
            <w:pPr>
              <w:jc w:val="left"/>
            </w:pPr>
            <w:r/>
            <w:r>
              <w:rPr>
                <w:rFonts w:ascii="Calibri" w:hAnsi="Calibri"/>
                <w:b w:val="0"/>
                <w:color w:val="333333"/>
                <w:sz w:val="18"/>
              </w:rPr>
              <w:t>Interest Expense (8% blended)</w:t>
            </w:r>
          </w:p>
        </w:tc>
        <w:tc>
          <w:tcPr>
            <w:tcW w:type="dxa" w:w="2592"/>
            <w:shd w:fill="EBF1F8"/>
            <w:tcMar>
              <w:top w:w="40" w:type="dxa"/>
              <w:bottom w:w="40" w:type="dxa"/>
              <w:left w:w="80" w:type="dxa"/>
              <w:right w:w="80" w:type="dxa"/>
            </w:tcMar>
          </w:tcPr>
          <w:p>
            <w:pPr>
              <w:jc w:val="center"/>
            </w:pPr>
            <w:r/>
            <w:r>
              <w:rPr>
                <w:rFonts w:ascii="Calibri" w:hAnsi="Calibri"/>
                <w:b w:val="0"/>
                <w:color w:val="333333"/>
                <w:sz w:val="18"/>
              </w:rPr>
              <w:t>$360M</w:t>
            </w:r>
          </w:p>
        </w:tc>
        <w:tc>
          <w:tcPr>
            <w:tcW w:type="dxa" w:w="2592"/>
            <w:shd w:fill="EBF1F8"/>
            <w:tcMar>
              <w:top w:w="40" w:type="dxa"/>
              <w:bottom w:w="40" w:type="dxa"/>
              <w:left w:w="80" w:type="dxa"/>
              <w:right w:w="80" w:type="dxa"/>
            </w:tcMar>
          </w:tcPr>
          <w:p>
            <w:pPr>
              <w:jc w:val="center"/>
            </w:pPr>
            <w:r/>
            <w:r>
              <w:rPr>
                <w:rFonts w:ascii="Calibri" w:hAnsi="Calibri"/>
                <w:b w:val="0"/>
                <w:color w:val="333333"/>
                <w:sz w:val="18"/>
              </w:rPr>
              <w:t>$360M</w:t>
            </w:r>
          </w:p>
        </w:tc>
      </w:tr>
      <w:tr>
        <w:tc>
          <w:tcPr>
            <w:tcW w:type="dxa" w:w="3600"/>
            <w:tcMar>
              <w:top w:w="40" w:type="dxa"/>
              <w:bottom w:w="40" w:type="dxa"/>
              <w:left w:w="80" w:type="dxa"/>
              <w:right w:w="80" w:type="dxa"/>
            </w:tcMar>
          </w:tcPr>
          <w:p>
            <w:pPr>
              <w:jc w:val="left"/>
            </w:pPr>
            <w:r/>
            <w:r>
              <w:rPr>
                <w:rFonts w:ascii="Calibri" w:hAnsi="Calibri"/>
                <w:b w:val="0"/>
                <w:color w:val="333333"/>
                <w:sz w:val="18"/>
              </w:rPr>
              <w:t>Interest Coverage</w:t>
            </w:r>
          </w:p>
        </w:tc>
        <w:tc>
          <w:tcPr>
            <w:tcW w:type="dxa" w:w="2592"/>
            <w:tcMar>
              <w:top w:w="40" w:type="dxa"/>
              <w:bottom w:w="40" w:type="dxa"/>
              <w:left w:w="80" w:type="dxa"/>
              <w:right w:w="80" w:type="dxa"/>
            </w:tcMar>
          </w:tcPr>
          <w:p>
            <w:pPr>
              <w:jc w:val="center"/>
            </w:pPr>
            <w:r/>
            <w:r>
              <w:rPr>
                <w:rFonts w:ascii="Calibri" w:hAnsi="Calibri"/>
                <w:b w:val="0"/>
                <w:color w:val="333333"/>
                <w:sz w:val="18"/>
              </w:rPr>
              <w:t>~1.8x</w:t>
            </w:r>
          </w:p>
        </w:tc>
        <w:tc>
          <w:tcPr>
            <w:tcW w:type="dxa" w:w="2592"/>
            <w:tcMar>
              <w:top w:w="40" w:type="dxa"/>
              <w:bottom w:w="40" w:type="dxa"/>
              <w:left w:w="80" w:type="dxa"/>
              <w:right w:w="80" w:type="dxa"/>
            </w:tcMar>
          </w:tcPr>
          <w:p>
            <w:pPr>
              <w:jc w:val="center"/>
            </w:pPr>
            <w:r/>
            <w:r>
              <w:rPr>
                <w:rFonts w:ascii="Calibri" w:hAnsi="Calibri"/>
                <w:b w:val="0"/>
                <w:color w:val="333333"/>
                <w:sz w:val="18"/>
              </w:rPr>
              <w:t>~3.5x</w:t>
            </w:r>
          </w:p>
        </w:tc>
      </w:tr>
    </w:tbl>
    <w:p/>
    <w:p>
      <w:r>
        <w:br w:type="page"/>
      </w:r>
    </w:p>
    <w:p>
      <w:pPr>
        <w:pStyle w:val="Heading1"/>
      </w:pPr>
      <w:r>
        <w:rPr>
          <w:rFonts w:ascii="Calibri" w:hAnsi="Calibri"/>
          <w:color w:val="0B1D3A"/>
        </w:rPr>
        <w:t>6. Comparable Transactions</w:t>
      </w:r>
    </w:p>
    <w:p>
      <w:r>
        <w:rPr>
          <w:rFonts w:ascii="Calibri" w:hAnsi="Calibri"/>
          <w:b w:val="0"/>
          <w:color w:val="333333"/>
          <w:sz w:val="21"/>
        </w:rPr>
        <w:t>The following recent enterprise software transactions provide context for the proposed valuation multiples and premiums: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4032"/>
            <w:shd w:fill="0B1D3A"/>
            <w:tcMar>
              <w:top w:w="40" w:type="dxa"/>
              <w:bottom w:w="40" w:type="dxa"/>
              <w:left w:w="80" w:type="dxa"/>
              <w:right w:w="80" w:type="dxa"/>
            </w:tcMar>
          </w:tcPr>
          <w:p>
            <w:pPr>
              <w:jc w:val="center"/>
            </w:pPr>
            <w:r/>
            <w:r>
              <w:rPr>
                <w:rFonts w:ascii="Calibri" w:hAnsi="Calibri"/>
                <w:b/>
                <w:color w:val="FFFFFF"/>
                <w:sz w:val="19"/>
              </w:rPr>
              <w:t>Deal (Acquirer / Target)</w:t>
            </w:r>
          </w:p>
        </w:tc>
        <w:tc>
          <w:tcPr>
            <w:tcW w:type="dxa" w:w="1440"/>
            <w:shd w:fill="0B1D3A"/>
            <w:tcMar>
              <w:top w:w="40" w:type="dxa"/>
              <w:bottom w:w="40" w:type="dxa"/>
              <w:left w:w="80" w:type="dxa"/>
              <w:right w:w="80" w:type="dxa"/>
            </w:tcMar>
          </w:tcPr>
          <w:p>
            <w:pPr>
              <w:jc w:val="center"/>
            </w:pPr>
            <w:r/>
            <w:r>
              <w:rPr>
                <w:rFonts w:ascii="Calibri" w:hAnsi="Calibri"/>
                <w:b/>
                <w:color w:val="FFFFFF"/>
                <w:sz w:val="19"/>
              </w:rPr>
              <w:t>Year</w:t>
            </w:r>
          </w:p>
        </w:tc>
        <w:tc>
          <w:tcPr>
            <w:tcW w:type="dxa" w:w="1728"/>
            <w:shd w:fill="0B1D3A"/>
            <w:tcMar>
              <w:top w:w="40" w:type="dxa"/>
              <w:bottom w:w="40" w:type="dxa"/>
              <w:left w:w="80" w:type="dxa"/>
              <w:right w:w="80" w:type="dxa"/>
            </w:tcMar>
          </w:tcPr>
          <w:p>
            <w:pPr>
              <w:jc w:val="center"/>
            </w:pPr>
            <w:r/>
            <w:r>
              <w:rPr>
                <w:rFonts w:ascii="Calibri" w:hAnsi="Calibri"/>
                <w:b/>
                <w:color w:val="FFFFFF"/>
                <w:sz w:val="19"/>
              </w:rPr>
              <w:t>EV/Revenue</w:t>
            </w:r>
          </w:p>
        </w:tc>
        <w:tc>
          <w:tcPr>
            <w:tcW w:type="dxa" w:w="1728"/>
            <w:shd w:fill="0B1D3A"/>
            <w:tcMar>
              <w:top w:w="40" w:type="dxa"/>
              <w:bottom w:w="40" w:type="dxa"/>
              <w:left w:w="80" w:type="dxa"/>
              <w:right w:w="80" w:type="dxa"/>
            </w:tcMar>
          </w:tcPr>
          <w:p>
            <w:pPr>
              <w:jc w:val="center"/>
            </w:pPr>
            <w:r/>
            <w:r>
              <w:rPr>
                <w:rFonts w:ascii="Calibri" w:hAnsi="Calibri"/>
                <w:b/>
                <w:color w:val="FFFFFF"/>
                <w:sz w:val="19"/>
              </w:rPr>
              <w:t>Premium</w:t>
            </w:r>
          </w:p>
        </w:tc>
      </w:tr>
      <w:tr>
        <w:tc>
          <w:tcPr>
            <w:tcW w:type="dxa" w:w="4032"/>
            <w:tcMar>
              <w:top w:w="40" w:type="dxa"/>
              <w:bottom w:w="40" w:type="dxa"/>
              <w:left w:w="80" w:type="dxa"/>
              <w:right w:w="80" w:type="dxa"/>
            </w:tcMar>
          </w:tcPr>
          <w:p>
            <w:pPr>
              <w:jc w:val="left"/>
            </w:pPr>
            <w:r/>
            <w:r>
              <w:rPr>
                <w:rFonts w:ascii="Calibri" w:hAnsi="Calibri"/>
                <w:b w:val="0"/>
                <w:color w:val="333333"/>
                <w:sz w:val="18"/>
              </w:rPr>
              <w:t>Cohesity / Veritas</w:t>
            </w:r>
          </w:p>
        </w:tc>
        <w:tc>
          <w:tcPr>
            <w:tcW w:type="dxa" w:w="1440"/>
            <w:tcMar>
              <w:top w:w="40" w:type="dxa"/>
              <w:bottom w:w="40" w:type="dxa"/>
              <w:left w:w="80" w:type="dxa"/>
              <w:right w:w="80" w:type="dxa"/>
            </w:tcMar>
          </w:tcPr>
          <w:p>
            <w:pPr>
              <w:jc w:val="center"/>
            </w:pPr>
            <w:r/>
            <w:r>
              <w:rPr>
                <w:rFonts w:ascii="Calibri" w:hAnsi="Calibri"/>
                <w:b w:val="0"/>
                <w:color w:val="333333"/>
                <w:sz w:val="18"/>
              </w:rPr>
              <w:t>2024</w:t>
            </w:r>
          </w:p>
        </w:tc>
        <w:tc>
          <w:tcPr>
            <w:tcW w:type="dxa" w:w="1728"/>
            <w:tcMar>
              <w:top w:w="40" w:type="dxa"/>
              <w:bottom w:w="40" w:type="dxa"/>
              <w:left w:w="80" w:type="dxa"/>
              <w:right w:w="80" w:type="dxa"/>
            </w:tcMar>
          </w:tcPr>
          <w:p>
            <w:pPr>
              <w:jc w:val="center"/>
            </w:pPr>
            <w:r/>
            <w:r>
              <w:rPr>
                <w:rFonts w:ascii="Calibri" w:hAnsi="Calibri"/>
                <w:b w:val="0"/>
                <w:color w:val="333333"/>
                <w:sz w:val="18"/>
              </w:rPr>
              <w:t>~4.5x</w:t>
            </w:r>
          </w:p>
        </w:tc>
        <w:tc>
          <w:tcPr>
            <w:tcW w:type="dxa" w:w="1728"/>
            <w:tcMar>
              <w:top w:w="40" w:type="dxa"/>
              <w:bottom w:w="40" w:type="dxa"/>
              <w:left w:w="80" w:type="dxa"/>
              <w:right w:w="80" w:type="dxa"/>
            </w:tcMar>
          </w:tcPr>
          <w:p>
            <w:pPr>
              <w:jc w:val="center"/>
            </w:pPr>
            <w:r/>
            <w:r>
              <w:rPr>
                <w:rFonts w:ascii="Calibri" w:hAnsi="Calibri"/>
                <w:b w:val="0"/>
                <w:color w:val="333333"/>
                <w:sz w:val="18"/>
              </w:rPr>
              <w:t>N/A (private)</w:t>
            </w:r>
          </w:p>
        </w:tc>
      </w:tr>
      <w:tr>
        <w:tc>
          <w:tcPr>
            <w:tcW w:type="dxa" w:w="4032"/>
            <w:shd w:fill="EBF1F8"/>
            <w:tcMar>
              <w:top w:w="40" w:type="dxa"/>
              <w:bottom w:w="40" w:type="dxa"/>
              <w:left w:w="80" w:type="dxa"/>
              <w:right w:w="80" w:type="dxa"/>
            </w:tcMar>
          </w:tcPr>
          <w:p>
            <w:pPr>
              <w:jc w:val="left"/>
            </w:pPr>
            <w:r/>
            <w:r>
              <w:rPr>
                <w:rFonts w:ascii="Calibri" w:hAnsi="Calibri"/>
                <w:b w:val="0"/>
                <w:color w:val="333333"/>
                <w:sz w:val="18"/>
              </w:rPr>
              <w:t>Thoma Bravo / Darktrace</w:t>
            </w:r>
          </w:p>
        </w:tc>
        <w:tc>
          <w:tcPr>
            <w:tcW w:type="dxa" w:w="1440"/>
            <w:shd w:fill="EBF1F8"/>
            <w:tcMar>
              <w:top w:w="40" w:type="dxa"/>
              <w:bottom w:w="40" w:type="dxa"/>
              <w:left w:w="80" w:type="dxa"/>
              <w:right w:w="80" w:type="dxa"/>
            </w:tcMar>
          </w:tcPr>
          <w:p>
            <w:pPr>
              <w:jc w:val="center"/>
            </w:pPr>
            <w:r/>
            <w:r>
              <w:rPr>
                <w:rFonts w:ascii="Calibri" w:hAnsi="Calibri"/>
                <w:b w:val="0"/>
                <w:color w:val="333333"/>
                <w:sz w:val="18"/>
              </w:rPr>
              <w:t>2025</w:t>
            </w:r>
          </w:p>
        </w:tc>
        <w:tc>
          <w:tcPr>
            <w:tcW w:type="dxa" w:w="1728"/>
            <w:shd w:fill="EBF1F8"/>
            <w:tcMar>
              <w:top w:w="40" w:type="dxa"/>
              <w:bottom w:w="40" w:type="dxa"/>
              <w:left w:w="80" w:type="dxa"/>
              <w:right w:w="80" w:type="dxa"/>
            </w:tcMar>
          </w:tcPr>
          <w:p>
            <w:pPr>
              <w:jc w:val="center"/>
            </w:pPr>
            <w:r/>
            <w:r>
              <w:rPr>
                <w:rFonts w:ascii="Calibri" w:hAnsi="Calibri"/>
                <w:b w:val="0"/>
                <w:color w:val="333333"/>
                <w:sz w:val="18"/>
              </w:rPr>
              <w:t>~7.3x</w:t>
            </w:r>
          </w:p>
        </w:tc>
        <w:tc>
          <w:tcPr>
            <w:tcW w:type="dxa" w:w="1728"/>
            <w:shd w:fill="EBF1F8"/>
            <w:tcMar>
              <w:top w:w="40" w:type="dxa"/>
              <w:bottom w:w="40" w:type="dxa"/>
              <w:left w:w="80" w:type="dxa"/>
              <w:right w:w="80" w:type="dxa"/>
            </w:tcMar>
          </w:tcPr>
          <w:p>
            <w:pPr>
              <w:jc w:val="center"/>
            </w:pPr>
            <w:r/>
            <w:r>
              <w:rPr>
                <w:rFonts w:ascii="Calibri" w:hAnsi="Calibri"/>
                <w:b w:val="0"/>
                <w:color w:val="333333"/>
                <w:sz w:val="18"/>
              </w:rPr>
              <w:t>44%</w:t>
            </w:r>
          </w:p>
        </w:tc>
      </w:tr>
      <w:tr>
        <w:tc>
          <w:tcPr>
            <w:tcW w:type="dxa" w:w="4032"/>
            <w:tcMar>
              <w:top w:w="40" w:type="dxa"/>
              <w:bottom w:w="40" w:type="dxa"/>
              <w:left w:w="80" w:type="dxa"/>
              <w:right w:w="80" w:type="dxa"/>
            </w:tcMar>
          </w:tcPr>
          <w:p>
            <w:pPr>
              <w:jc w:val="left"/>
            </w:pPr>
            <w:r/>
            <w:r>
              <w:rPr>
                <w:rFonts w:ascii="Calibri" w:hAnsi="Calibri"/>
                <w:b/>
                <w:color w:val="333333"/>
                <w:sz w:val="18"/>
              </w:rPr>
              <w:t>HPE / Juniper Networks</w:t>
            </w:r>
          </w:p>
        </w:tc>
        <w:tc>
          <w:tcPr>
            <w:tcW w:type="dxa" w:w="1440"/>
            <w:tcMar>
              <w:top w:w="40" w:type="dxa"/>
              <w:bottom w:w="40" w:type="dxa"/>
              <w:left w:w="80" w:type="dxa"/>
              <w:right w:w="80" w:type="dxa"/>
            </w:tcMar>
          </w:tcPr>
          <w:p>
            <w:pPr>
              <w:jc w:val="center"/>
            </w:pPr>
            <w:r/>
            <w:r>
              <w:rPr>
                <w:rFonts w:ascii="Calibri" w:hAnsi="Calibri"/>
                <w:b/>
                <w:color w:val="333333"/>
                <w:sz w:val="18"/>
              </w:rPr>
              <w:t>2025</w:t>
            </w:r>
          </w:p>
        </w:tc>
        <w:tc>
          <w:tcPr>
            <w:tcW w:type="dxa" w:w="1728"/>
            <w:tcMar>
              <w:top w:w="40" w:type="dxa"/>
              <w:bottom w:w="40" w:type="dxa"/>
              <w:left w:w="80" w:type="dxa"/>
              <w:right w:w="80" w:type="dxa"/>
            </w:tcMar>
          </w:tcPr>
          <w:p>
            <w:pPr>
              <w:jc w:val="center"/>
            </w:pPr>
            <w:r/>
            <w:r>
              <w:rPr>
                <w:rFonts w:ascii="Calibri" w:hAnsi="Calibri"/>
                <w:b/>
                <w:color w:val="333333"/>
                <w:sz w:val="18"/>
              </w:rPr>
              <w:t>~2.5x</w:t>
            </w:r>
          </w:p>
        </w:tc>
        <w:tc>
          <w:tcPr>
            <w:tcW w:type="dxa" w:w="1728"/>
            <w:tcMar>
              <w:top w:w="40" w:type="dxa"/>
              <w:bottom w:w="40" w:type="dxa"/>
              <w:left w:w="80" w:type="dxa"/>
              <w:right w:w="80" w:type="dxa"/>
            </w:tcMar>
          </w:tcPr>
          <w:p>
            <w:pPr>
              <w:jc w:val="center"/>
            </w:pPr>
            <w:r/>
            <w:r>
              <w:rPr>
                <w:rFonts w:ascii="Calibri" w:hAnsi="Calibri"/>
                <w:b/>
                <w:color w:val="333333"/>
                <w:sz w:val="18"/>
              </w:rPr>
              <w:t>32%</w:t>
            </w:r>
          </w:p>
        </w:tc>
      </w:tr>
      <w:tr>
        <w:tc>
          <w:tcPr>
            <w:tcW w:type="dxa" w:w="4032"/>
            <w:shd w:fill="EBF1F8"/>
            <w:tcMar>
              <w:top w:w="40" w:type="dxa"/>
              <w:bottom w:w="40" w:type="dxa"/>
              <w:left w:w="80" w:type="dxa"/>
              <w:right w:w="80" w:type="dxa"/>
            </w:tcMar>
          </w:tcPr>
          <w:p>
            <w:pPr>
              <w:jc w:val="left"/>
            </w:pPr>
            <w:r/>
            <w:r>
              <w:rPr>
                <w:rFonts w:ascii="Calibri" w:hAnsi="Calibri"/>
                <w:b w:val="0"/>
                <w:color w:val="333333"/>
                <w:sz w:val="18"/>
              </w:rPr>
              <w:t>IBM / HashiCorp</w:t>
            </w:r>
          </w:p>
        </w:tc>
        <w:tc>
          <w:tcPr>
            <w:tcW w:type="dxa" w:w="1440"/>
            <w:shd w:fill="EBF1F8"/>
            <w:tcMar>
              <w:top w:w="40" w:type="dxa"/>
              <w:bottom w:w="40" w:type="dxa"/>
              <w:left w:w="80" w:type="dxa"/>
              <w:right w:w="80" w:type="dxa"/>
            </w:tcMar>
          </w:tcPr>
          <w:p>
            <w:pPr>
              <w:jc w:val="center"/>
            </w:pPr>
            <w:r/>
            <w:r>
              <w:rPr>
                <w:rFonts w:ascii="Calibri" w:hAnsi="Calibri"/>
                <w:b w:val="0"/>
                <w:color w:val="333333"/>
                <w:sz w:val="18"/>
              </w:rPr>
              <w:t>2024</w:t>
            </w:r>
          </w:p>
        </w:tc>
        <w:tc>
          <w:tcPr>
            <w:tcW w:type="dxa" w:w="1728"/>
            <w:shd w:fill="EBF1F8"/>
            <w:tcMar>
              <w:top w:w="40" w:type="dxa"/>
              <w:bottom w:w="40" w:type="dxa"/>
              <w:left w:w="80" w:type="dxa"/>
              <w:right w:w="80" w:type="dxa"/>
            </w:tcMar>
          </w:tcPr>
          <w:p>
            <w:pPr>
              <w:jc w:val="center"/>
            </w:pPr>
            <w:r/>
            <w:r>
              <w:rPr>
                <w:rFonts w:ascii="Calibri" w:hAnsi="Calibri"/>
                <w:b w:val="0"/>
                <w:color w:val="333333"/>
                <w:sz w:val="18"/>
              </w:rPr>
              <w:t>~9.5x</w:t>
            </w:r>
          </w:p>
        </w:tc>
        <w:tc>
          <w:tcPr>
            <w:tcW w:type="dxa" w:w="1728"/>
            <w:shd w:fill="EBF1F8"/>
            <w:tcMar>
              <w:top w:w="40" w:type="dxa"/>
              <w:bottom w:w="40" w:type="dxa"/>
              <w:left w:w="80" w:type="dxa"/>
              <w:right w:w="80" w:type="dxa"/>
            </w:tcMar>
          </w:tcPr>
          <w:p>
            <w:pPr>
              <w:jc w:val="center"/>
            </w:pPr>
            <w:r/>
            <w:r>
              <w:rPr>
                <w:rFonts w:ascii="Calibri" w:hAnsi="Calibri"/>
                <w:b w:val="0"/>
                <w:color w:val="333333"/>
                <w:sz w:val="18"/>
              </w:rPr>
              <w:t>64%</w:t>
            </w:r>
          </w:p>
        </w:tc>
      </w:tr>
      <w:tr>
        <w:tc>
          <w:tcPr>
            <w:tcW w:type="dxa" w:w="4032"/>
            <w:tcMar>
              <w:top w:w="40" w:type="dxa"/>
              <w:bottom w:w="40" w:type="dxa"/>
              <w:left w:w="80" w:type="dxa"/>
              <w:right w:w="80" w:type="dxa"/>
            </w:tcMar>
          </w:tcPr>
          <w:p>
            <w:pPr>
              <w:jc w:val="left"/>
            </w:pPr>
            <w:r/>
            <w:r>
              <w:rPr>
                <w:rFonts w:ascii="Calibri" w:hAnsi="Calibri"/>
                <w:b w:val="0"/>
                <w:color w:val="333333"/>
                <w:sz w:val="18"/>
              </w:rPr>
              <w:t>Sophos / Secureworks</w:t>
            </w:r>
          </w:p>
        </w:tc>
        <w:tc>
          <w:tcPr>
            <w:tcW w:type="dxa" w:w="1440"/>
            <w:tcMar>
              <w:top w:w="40" w:type="dxa"/>
              <w:bottom w:w="40" w:type="dxa"/>
              <w:left w:w="80" w:type="dxa"/>
              <w:right w:w="80" w:type="dxa"/>
            </w:tcMar>
          </w:tcPr>
          <w:p>
            <w:pPr>
              <w:jc w:val="center"/>
            </w:pPr>
            <w:r/>
            <w:r>
              <w:rPr>
                <w:rFonts w:ascii="Calibri" w:hAnsi="Calibri"/>
                <w:b w:val="0"/>
                <w:color w:val="333333"/>
                <w:sz w:val="18"/>
              </w:rPr>
              <w:t>2024</w:t>
            </w:r>
          </w:p>
        </w:tc>
        <w:tc>
          <w:tcPr>
            <w:tcW w:type="dxa" w:w="1728"/>
            <w:tcMar>
              <w:top w:w="40" w:type="dxa"/>
              <w:bottom w:w="40" w:type="dxa"/>
              <w:left w:w="80" w:type="dxa"/>
              <w:right w:w="80" w:type="dxa"/>
            </w:tcMar>
          </w:tcPr>
          <w:p>
            <w:pPr>
              <w:jc w:val="center"/>
            </w:pPr>
            <w:r/>
            <w:r>
              <w:rPr>
                <w:rFonts w:ascii="Calibri" w:hAnsi="Calibri"/>
                <w:b w:val="0"/>
                <w:color w:val="333333"/>
                <w:sz w:val="18"/>
              </w:rPr>
              <w:t>~3.5x</w:t>
            </w:r>
          </w:p>
        </w:tc>
        <w:tc>
          <w:tcPr>
            <w:tcW w:type="dxa" w:w="1728"/>
            <w:tcMar>
              <w:top w:w="40" w:type="dxa"/>
              <w:bottom w:w="40" w:type="dxa"/>
              <w:left w:w="80" w:type="dxa"/>
              <w:right w:w="80" w:type="dxa"/>
            </w:tcMar>
          </w:tcPr>
          <w:p>
            <w:pPr>
              <w:jc w:val="center"/>
            </w:pPr>
            <w:r/>
            <w:r>
              <w:rPr>
                <w:rFonts w:ascii="Calibri" w:hAnsi="Calibri"/>
                <w:b w:val="0"/>
                <w:color w:val="333333"/>
                <w:sz w:val="18"/>
              </w:rPr>
              <w:t>28%</w:t>
            </w:r>
          </w:p>
        </w:tc>
      </w:tr>
    </w:tbl>
    <w:p/>
    <w:p>
      <w:r>
        <w:rPr>
          <w:rFonts w:ascii="Calibri" w:hAnsi="Calibri"/>
          <w:b w:val="0"/>
          <w:color w:val="333333"/>
          <w:sz w:val="21"/>
        </w:rPr>
        <w:t>Our recommended 5.5–6.0x EV/Revenue multiple positions the Commvault acquisition at a moderate premium relative to comparable deals, reflecting the company's strong SaaS transition momentum and recurring revenue base, while accounting for the current market dislocation in Commvault's share price.</w:t>
      </w:r>
    </w:p>
    <w:p>
      <w:r>
        <w:br w:type="page"/>
      </w:r>
    </w:p>
    <w:p>
      <w:pPr>
        <w:pStyle w:val="Heading1"/>
      </w:pPr>
      <w:r>
        <w:rPr>
          <w:rFonts w:ascii="Calibri" w:hAnsi="Calibri"/>
          <w:color w:val="0B1D3A"/>
        </w:rPr>
        <w:t>7. Strategic Rationale</w:t>
      </w:r>
    </w:p>
    <w:p>
      <w:r>
        <w:rPr>
          <w:rFonts w:ascii="Calibri" w:hAnsi="Calibri"/>
          <w:b/>
          <w:color w:val="333333"/>
          <w:sz w:val="21"/>
        </w:rPr>
        <w:t xml:space="preserve">1. </w:t>
      </w:r>
      <w:r>
        <w:rPr>
          <w:rFonts w:ascii="Calibri" w:hAnsi="Calibri"/>
          <w:b/>
          <w:color w:val="2E75B6"/>
          <w:sz w:val="21"/>
        </w:rPr>
        <w:t xml:space="preserve">Market Leadership: </w:t>
      </w:r>
      <w:r>
        <w:rPr>
          <w:rFonts w:ascii="Calibri" w:hAnsi="Calibri"/>
          <w:color w:val="333333"/>
          <w:sz w:val="21"/>
        </w:rPr>
        <w:t>Creates the undisputed #1 data protection platform with $2.8B+ in combined revenue, far outpacing Veeam, Rubrik, and other competitors.</w:t>
      </w:r>
    </w:p>
    <w:p>
      <w:r>
        <w:rPr>
          <w:rFonts w:ascii="Calibri" w:hAnsi="Calibri"/>
          <w:b/>
          <w:color w:val="333333"/>
          <w:sz w:val="21"/>
        </w:rPr>
        <w:t xml:space="preserve">2. </w:t>
      </w:r>
      <w:r>
        <w:rPr>
          <w:rFonts w:ascii="Calibri" w:hAnsi="Calibri"/>
          <w:b/>
          <w:color w:val="2E75B6"/>
          <w:sz w:val="21"/>
        </w:rPr>
        <w:t xml:space="preserve">SaaS + AI Convergence: </w:t>
      </w:r>
      <w:r>
        <w:rPr>
          <w:rFonts w:ascii="Calibri" w:hAnsi="Calibri"/>
          <w:color w:val="333333"/>
          <w:sz w:val="21"/>
        </w:rPr>
        <w:t>Combines Commvault's accelerating SaaS growth (44% YoY SaaS ARR) with Cohesity's AI-powered data security platform, creating a differentiated offering.</w:t>
      </w:r>
    </w:p>
    <w:p>
      <w:r>
        <w:rPr>
          <w:rFonts w:ascii="Calibri" w:hAnsi="Calibri"/>
          <w:b/>
          <w:color w:val="333333"/>
          <w:sz w:val="21"/>
        </w:rPr>
        <w:t xml:space="preserve">3. </w:t>
      </w:r>
      <w:r>
        <w:rPr>
          <w:rFonts w:ascii="Calibri" w:hAnsi="Calibri"/>
          <w:b/>
          <w:color w:val="2E75B6"/>
          <w:sz w:val="21"/>
        </w:rPr>
        <w:t xml:space="preserve">Cross-Sell Opportunity: </w:t>
      </w:r>
      <w:r>
        <w:rPr>
          <w:rFonts w:ascii="Calibri" w:hAnsi="Calibri"/>
          <w:color w:val="333333"/>
          <w:sz w:val="21"/>
        </w:rPr>
        <w:t>Cohesity's 12,000+ customers combined with Commvault's deep enterprise installed base creates significant upsell and cross-sell potential.</w:t>
      </w:r>
    </w:p>
    <w:p>
      <w:r>
        <w:rPr>
          <w:rFonts w:ascii="Calibri" w:hAnsi="Calibri"/>
          <w:b/>
          <w:color w:val="333333"/>
          <w:sz w:val="21"/>
        </w:rPr>
        <w:t xml:space="preserve">4. </w:t>
      </w:r>
      <w:r>
        <w:rPr>
          <w:rFonts w:ascii="Calibri" w:hAnsi="Calibri"/>
          <w:b/>
          <w:color w:val="2E75B6"/>
          <w:sz w:val="21"/>
        </w:rPr>
        <w:t xml:space="preserve">Synergy-Justified Premium: </w:t>
      </w:r>
      <w:r>
        <w:rPr>
          <w:rFonts w:ascii="Calibri" w:hAnsi="Calibri"/>
          <w:color w:val="333333"/>
          <w:sz w:val="21"/>
        </w:rPr>
        <w:t>Run-rate cost synergies of $600M fully justify the acquisition premium and provide a clear path to deleveraging.</w:t>
      </w:r>
    </w:p>
    <w:p>
      <w:r>
        <w:rPr>
          <w:rFonts w:ascii="Calibri" w:hAnsi="Calibri"/>
          <w:b/>
          <w:color w:val="333333"/>
          <w:sz w:val="21"/>
        </w:rPr>
        <w:t xml:space="preserve">5. </w:t>
      </w:r>
      <w:r>
        <w:rPr>
          <w:rFonts w:ascii="Calibri" w:hAnsi="Calibri"/>
          <w:b/>
          <w:color w:val="2E75B6"/>
          <w:sz w:val="21"/>
        </w:rPr>
        <w:t xml:space="preserve">Competitive Elimination &amp; IPO Positioning: </w:t>
      </w:r>
      <w:r>
        <w:rPr>
          <w:rFonts w:ascii="Calibri" w:hAnsi="Calibri"/>
          <w:color w:val="333333"/>
          <w:sz w:val="21"/>
        </w:rPr>
        <w:t>Removes a key competitor while positioning the combined entity for a premium IPO valuation as the dominant data protection platform.</w:t>
      </w:r>
    </w:p>
    <w:p>
      <w:r>
        <w:br w:type="page"/>
      </w:r>
    </w:p>
    <w:p>
      <w:pPr>
        <w:pStyle w:val="Heading1"/>
      </w:pPr>
      <w:r>
        <w:rPr>
          <w:rFonts w:ascii="Calibri" w:hAnsi="Calibri"/>
          <w:color w:val="0B1D3A"/>
        </w:rPr>
        <w:t>8. Key Risks</w:t>
      </w:r>
    </w:p>
    <w:p>
      <w:r>
        <w:rPr>
          <w:rFonts w:ascii="Calibri" w:hAnsi="Calibri"/>
          <w:b/>
          <w:color w:val="0B1D3A"/>
          <w:sz w:val="22"/>
        </w:rPr>
        <w:t>1. Integration Complexity</w:t>
      </w:r>
    </w:p>
    <w:p>
      <w:r>
        <w:rPr>
          <w:rFonts w:ascii="Calibri" w:hAnsi="Calibri"/>
          <w:color w:val="333333"/>
          <w:sz w:val="21"/>
        </w:rPr>
        <w:t>Both companies have recently completed major integrations — Cohesity with Veritas (Dec 2024) and Commvault's ongoing cloud transformation. Executing a third major integration while digesting the prior ones creates significant operational risk.</w:t>
      </w:r>
    </w:p>
    <w:p/>
    <w:p>
      <w:r>
        <w:rPr>
          <w:rFonts w:ascii="Calibri" w:hAnsi="Calibri"/>
          <w:b/>
          <w:color w:val="0B1D3A"/>
          <w:sz w:val="22"/>
        </w:rPr>
        <w:t>2. High Initial Leverage</w:t>
      </w:r>
    </w:p>
    <w:p>
      <w:r>
        <w:rPr>
          <w:rFonts w:ascii="Calibri" w:hAnsi="Calibri"/>
          <w:color w:val="333333"/>
          <w:sz w:val="21"/>
        </w:rPr>
        <w:t>The 6.9x Debt/EBITDA leverage at close requires flawless synergy execution to deleverage to sustainable levels. Any shortfall in synergy realization could strain debt service capacity and limit strategic flexibility.</w:t>
      </w:r>
    </w:p>
    <w:p/>
    <w:p>
      <w:r>
        <w:rPr>
          <w:rFonts w:ascii="Calibri" w:hAnsi="Calibri"/>
          <w:b/>
          <w:color w:val="0B1D3A"/>
          <w:sz w:val="22"/>
        </w:rPr>
        <w:t>3. Customer Churn Risk</w:t>
      </w:r>
    </w:p>
    <w:p>
      <w:r>
        <w:rPr>
          <w:rFonts w:ascii="Calibri" w:hAnsi="Calibri"/>
          <w:color w:val="333333"/>
          <w:sz w:val="21"/>
        </w:rPr>
        <w:t>Overlapping customer bases may lead to confusion and churn during the integration period. Competitors (Veeam, Rubrik, Veritas legacy) will aggressively target displaced accounts.</w:t>
      </w:r>
    </w:p>
    <w:p/>
    <w:p>
      <w:r>
        <w:rPr>
          <w:rFonts w:ascii="Calibri" w:hAnsi="Calibri"/>
          <w:b/>
          <w:color w:val="0B1D3A"/>
          <w:sz w:val="22"/>
        </w:rPr>
        <w:t>4. Regulatory Scrutiny</w:t>
      </w:r>
    </w:p>
    <w:p>
      <w:r>
        <w:rPr>
          <w:rFonts w:ascii="Calibri" w:hAnsi="Calibri"/>
          <w:color w:val="333333"/>
          <w:sz w:val="21"/>
        </w:rPr>
        <w:t>The combined entity would dominate the enterprise data protection market, potentially attracting antitrust scrutiny from the DOJ, FTC, or international regulators. Remedies could include divestitures that reduce synergy potential.</w:t>
      </w:r>
    </w:p>
    <w:p/>
    <w:p>
      <w:r>
        <w:br w:type="page"/>
      </w:r>
    </w:p>
    <w:p>
      <w:pPr>
        <w:pStyle w:val="Heading1"/>
      </w:pPr>
      <w:r>
        <w:rPr>
          <w:rFonts w:ascii="Calibri" w:hAnsi="Calibri"/>
          <w:color w:val="0B1D3A"/>
        </w:rPr>
        <w:t>9. Disclaimer</w:t>
      </w:r>
    </w:p>
    <w:p>
      <w:r>
        <w:rPr>
          <w:rFonts w:ascii="Calibri" w:hAnsi="Calibri"/>
          <w:i/>
          <w:color w:val="666666"/>
          <w:sz w:val="18"/>
        </w:rPr>
        <w:t>This analysis is for discussion purposes only and does not constitute an offer, solicitation, or recommendation to buy or sell any securities. The information contained herein is based on publicly available data and certain assumptions that may not prove to be correct. No representation or warranty, express or implied, is made as to the accuracy, completeness, or fairness of the information or opinions contained in this document.</w:t>
        <w:br/>
        <w:br/>
        <w:t>This document has been prepared solely for informational purposes and is not intended to be, and should not be construed as, financial, legal, tax, or investment advice. Recipients should conduct their own independent analysis and consult with their own advisors before making any investment decision.</w:t>
        <w:br/>
        <w:br/>
        <w:t>Past performance is not indicative of future results. Forward-looking statements and projections are inherently uncertain and actual results may differ materially from those projected. The authors disclaim any liability for losses incurred in connection with any action taken based on the information contained herein.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