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172A"/>
          <w:sz w:val="44"/>
        </w:rPr>
        <w:t>Proposal: Formalize the CDI Function</w:t>
      </w:r>
    </w:p>
    <w:p>
      <w:pPr>
        <w:spacing w:after="200"/>
      </w:pPr>
      <w:r>
        <w:rPr>
          <w:i/>
          <w:color w:val="555555"/>
          <w:sz w:val="21"/>
        </w:rPr>
        <w:t>HealthProMed  ·  Coding &amp; CDI  ·  Reporting-line change - no new headcount ask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9936"/>
            <w:shd w:fill="FDE9C0"/>
          </w:tcPr>
          <w:p>
            <w:r>
              <w:rPr>
                <w:b/>
                <w:color w:val="B45309"/>
                <w:sz w:val="22"/>
              </w:rPr>
              <w:t>The ask: Recognize Coding &amp; CDI as a distinct function reporting outside of Billing (dotted line to Billing, solid line to Compliance / CMO / CFO). No new hires, no new budget - a structural change to protect audit independence.</w:t>
            </w:r>
          </w:p>
        </w:tc>
      </w:tr>
    </w:tbl>
    <w:p/>
    <w:p>
      <w:pPr>
        <w:spacing w:before="200" w:after="60"/>
      </w:pPr>
      <w:r>
        <w:rPr>
          <w:b/>
          <w:color w:val="0F6E6E"/>
          <w:sz w:val="26"/>
        </w:rPr>
        <w:t>1. Current state (3 months in)</w:t>
      </w:r>
    </w:p>
    <w:p>
      <w:r>
        <w:rPr>
          <w:sz w:val="21"/>
        </w:rPr>
        <w:t>Hired as a coder in the Billing department with responsibility for CPT II codes. In practice, the role has expanded into Clinical Documentation Improvement (CDI): a formal audit program, a scoring workbook, provider scorecards, and a completed Q3 quarterly rollup across 13 providers.</w:t>
      </w:r>
    </w:p>
    <w:p>
      <w:r>
        <w:rPr>
          <w:sz w:val="21"/>
        </w:rPr>
        <w:t>This CDI work is currently performed inside Billing, but CDI and Billing are distinct functions with different loyalties. Billing exists to move claims through the pipeline; CDI exists to slow claims down when documentation doesn't support them.</w:t>
      </w:r>
    </w:p>
    <w:p>
      <w:pPr>
        <w:spacing w:before="200" w:after="60"/>
      </w:pPr>
      <w:r>
        <w:rPr>
          <w:b/>
          <w:color w:val="0F6E6E"/>
          <w:sz w:val="26"/>
        </w:rPr>
        <w:t>2. Why the reporting line matters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96"/>
            <w:shd w:fill="0F6E6E"/>
          </w:tcPr>
          <w:p>
            <w:r>
              <w:rPr>
                <w:b/>
                <w:color w:val="FFFFFF"/>
                <w:sz w:val="20"/>
              </w:rPr>
              <w:t>Concern under current structure</w:t>
            </w:r>
          </w:p>
        </w:tc>
        <w:tc>
          <w:tcPr>
            <w:tcW w:type="dxa" w:w="5040"/>
            <w:shd w:fill="0F6E6E"/>
          </w:tcPr>
          <w:p>
            <w:r>
              <w:rPr>
                <w:b/>
                <w:color w:val="FFFFFF"/>
                <w:sz w:val="20"/>
              </w:rPr>
              <w:t>What separation solves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Billing supervisor can override CDI queries or holds to keep the pipeline moving.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Audit findings and queries can be raised independently, without pipeline pressure.</w:t>
            </w:r>
          </w:p>
        </w:tc>
      </w:tr>
      <w:tr>
        <w:tc>
          <w:tcPr>
            <w:tcW w:type="dxa" w:w="4896"/>
            <w:shd w:fill="F1F8F7"/>
          </w:tcPr>
          <w:p>
            <w:r>
              <w:rPr>
                <w:sz w:val="19"/>
              </w:rPr>
              <w:t>External audits (RADV, OIG) view CDI-under-Billing as a structural conflict of interest.</w:t>
            </w:r>
          </w:p>
        </w:tc>
        <w:tc>
          <w:tcPr>
            <w:tcW w:type="dxa" w:w="5040"/>
            <w:shd w:fill="F1F8F7"/>
          </w:tcPr>
          <w:p>
            <w:r>
              <w:rPr>
                <w:sz w:val="19"/>
              </w:rPr>
              <w:t>OIG Compliance Program element #4 (internal auditing) is better satisfied with an independent function.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Single point of failure - the function only exists as long as one person performs it.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Formalization creates institutional memory, defined SOPs, and a path to scale.</w:t>
            </w:r>
          </w:p>
        </w:tc>
      </w:tr>
      <w:tr>
        <w:tc>
          <w:tcPr>
            <w:tcW w:type="dxa" w:w="4896"/>
            <w:shd w:fill="F1F8F7"/>
          </w:tcPr>
          <w:p>
            <w:r>
              <w:rPr>
                <w:sz w:val="19"/>
              </w:rPr>
              <w:t>CDI staff time gets absorbed into billing overflow work under pressure.</w:t>
            </w:r>
          </w:p>
        </w:tc>
        <w:tc>
          <w:tcPr>
            <w:tcW w:type="dxa" w:w="5040"/>
            <w:shd w:fill="F1F8F7"/>
          </w:tcPr>
          <w:p>
            <w:r>
              <w:rPr>
                <w:sz w:val="19"/>
              </w:rPr>
              <w:t>Protected time to run audits, education, and HCC recapture - the highest-ROI activities.</w:t>
            </w:r>
          </w:p>
        </w:tc>
      </w:tr>
    </w:tbl>
    <w:p>
      <w:pPr>
        <w:spacing w:before="200" w:after="60"/>
      </w:pPr>
      <w:r>
        <w:rPr>
          <w:b/>
          <w:color w:val="0F6E6E"/>
          <w:sz w:val="26"/>
        </w:rPr>
        <w:t>3. Three reporting structure options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880"/>
            <w:shd w:fill="0F6E6E"/>
          </w:tcPr>
          <w:p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736"/>
            <w:shd w:fill="0F6E6E"/>
          </w:tcPr>
          <w:p>
            <w:r>
              <w:rPr>
                <w:b/>
                <w:color w:val="FFFFFF"/>
                <w:sz w:val="20"/>
              </w:rPr>
              <w:t>CDI reports to</w:t>
            </w:r>
          </w:p>
        </w:tc>
        <w:tc>
          <w:tcPr>
            <w:tcW w:type="dxa" w:w="2448"/>
            <w:shd w:fill="0F6E6E"/>
          </w:tcPr>
          <w:p>
            <w:r>
              <w:rPr>
                <w:b/>
                <w:color w:val="FFFFFF"/>
                <w:sz w:val="20"/>
              </w:rPr>
              <w:t>Pros</w:t>
            </w:r>
          </w:p>
        </w:tc>
        <w:tc>
          <w:tcPr>
            <w:tcW w:type="dxa" w:w="1872"/>
            <w:shd w:fill="0F6E6E"/>
          </w:tcPr>
          <w:p>
            <w:r>
              <w:rPr>
                <w:b/>
                <w:color w:val="FFFFFF"/>
                <w:sz w:val="20"/>
              </w:rPr>
              <w:t>Cons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 · Independent CDI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Compliance / CMO / Quality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Best independence · matches OIG guidance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Requires a mature Compliance function to absorb it</w:t>
            </w:r>
          </w:p>
        </w:tc>
      </w:tr>
      <w:tr>
        <w:tc>
          <w:tcPr>
            <w:tcW w:type="dxa" w:w="2880"/>
            <w:shd w:fill="F1F8F7"/>
          </w:tcPr>
          <w:p>
            <w:r>
              <w:rPr>
                <w:sz w:val="19"/>
              </w:rPr>
              <w:t>B · Revenue Integrity umbrella</w:t>
            </w:r>
          </w:p>
        </w:tc>
        <w:tc>
          <w:tcPr>
            <w:tcW w:type="dxa" w:w="2736"/>
            <w:shd w:fill="F1F8F7"/>
          </w:tcPr>
          <w:p>
            <w:r>
              <w:rPr>
                <w:sz w:val="19"/>
              </w:rPr>
              <w:t>CFO / VP Revenue Cycle</w:t>
            </w:r>
          </w:p>
        </w:tc>
        <w:tc>
          <w:tcPr>
            <w:tcW w:type="dxa" w:w="2448"/>
            <w:shd w:fill="F1F8F7"/>
          </w:tcPr>
          <w:p>
            <w:r>
              <w:rPr>
                <w:sz w:val="19"/>
              </w:rPr>
              <w:t>CDI sits at RCM level alongside (not under) Billing</w:t>
            </w:r>
          </w:p>
        </w:tc>
        <w:tc>
          <w:tcPr>
            <w:tcW w:type="dxa" w:w="1872"/>
            <w:shd w:fill="F1F8F7"/>
          </w:tcPr>
          <w:p>
            <w:r>
              <w:rPr>
                <w:sz w:val="19"/>
              </w:rPr>
              <w:t>Still lives with money-focused leadership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 · Dotted-line matrix (RECOMMENDED)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Solid: Compliance/CMO · Dotted: Billing</w:t>
            </w:r>
          </w:p>
        </w:tc>
        <w:tc>
          <w:tcPr>
            <w:tcW w:type="dxa" w:w="2448"/>
          </w:tcPr>
          <w:p>
            <w:r>
              <w:rPr>
                <w:sz w:val="19"/>
              </w:rPr>
              <w:t>Independence + operational alignment with Billing</w:t>
            </w:r>
          </w:p>
        </w:tc>
        <w:tc>
          <w:tcPr>
            <w:tcW w:type="dxa" w:w="1872"/>
          </w:tcPr>
          <w:p>
            <w:r>
              <w:rPr>
                <w:sz w:val="19"/>
              </w:rPr>
              <w:t>Requires clear communication of the matrix</w:t>
            </w:r>
          </w:p>
        </w:tc>
      </w:tr>
    </w:tbl>
    <w:p>
      <w:pPr>
        <w:spacing w:before="200" w:after="60"/>
      </w:pPr>
      <w:r>
        <w:rPr>
          <w:b/>
          <w:color w:val="0F6E6E"/>
          <w:sz w:val="26"/>
        </w:rPr>
        <w:t>4. What we are NOT asking for (yet)</w:t>
      </w:r>
    </w:p>
    <w:p>
      <w:pPr>
        <w:pStyle w:val="ListBullet"/>
        <w:spacing w:after="40"/>
        <w:ind w:left="317"/>
      </w:pPr>
      <w:r>
        <w:rPr>
          <w:sz w:val="21"/>
        </w:rPr>
        <w:t>A second hire - deferred to month 6 with a formal business case backed by ROI data</w:t>
      </w:r>
    </w:p>
    <w:p>
      <w:pPr>
        <w:pStyle w:val="ListBullet"/>
        <w:spacing w:after="40"/>
        <w:ind w:left="317"/>
      </w:pPr>
      <w:r>
        <w:rPr>
          <w:sz w:val="21"/>
        </w:rPr>
        <w:t>New software or enterprise CDI platform - the current audit workbook is functional and free</w:t>
      </w:r>
    </w:p>
    <w:p>
      <w:pPr>
        <w:pStyle w:val="ListBullet"/>
        <w:spacing w:after="40"/>
        <w:ind w:left="317"/>
      </w:pPr>
      <w:r>
        <w:rPr>
          <w:sz w:val="21"/>
        </w:rPr>
        <w:t>A separate physical office, dedicated staff, or budget increase</w:t>
      </w:r>
    </w:p>
    <w:p>
      <w:pPr>
        <w:pStyle w:val="ListBullet"/>
        <w:spacing w:after="40"/>
        <w:ind w:left="317"/>
      </w:pPr>
      <w:r>
        <w:rPr>
          <w:sz w:val="21"/>
        </w:rPr>
        <w:t>Title inflation - starting with 'Coding &amp; CDI Lead' is appropriate for year 1</w:t>
      </w:r>
    </w:p>
    <w:p>
      <w:pPr>
        <w:spacing w:before="200" w:after="60"/>
      </w:pPr>
      <w:r>
        <w:rPr>
          <w:b/>
          <w:color w:val="0F6E6E"/>
          <w:sz w:val="26"/>
        </w:rPr>
        <w:t>5. Immediate asks (day one)</w:t>
      </w:r>
    </w:p>
    <w:p>
      <w:pPr>
        <w:pStyle w:val="ListBullet"/>
        <w:spacing w:after="40"/>
        <w:ind w:left="317"/>
      </w:pPr>
      <w:r>
        <w:rPr>
          <w:sz w:val="21"/>
        </w:rPr>
        <w:t>Formal role change from 'Coder in Billing' to 'Coding &amp; CDI Lead' with a written scope of responsibilities</w:t>
      </w:r>
    </w:p>
    <w:p>
      <w:pPr>
        <w:pStyle w:val="ListBullet"/>
        <w:spacing w:after="40"/>
        <w:ind w:left="317"/>
      </w:pPr>
      <w:r>
        <w:rPr>
          <w:sz w:val="21"/>
        </w:rPr>
        <w:t>Reporting-line change per Model C (dotted-line to Billing, solid to Compliance / CMO / CFO)</w:t>
      </w:r>
    </w:p>
    <w:p>
      <w:pPr>
        <w:pStyle w:val="ListBullet"/>
        <w:spacing w:after="40"/>
        <w:ind w:left="317"/>
      </w:pPr>
      <w:r>
        <w:rPr>
          <w:sz w:val="21"/>
        </w:rPr>
        <w:t>Executive sponsor named (CMO, CFO, or VP Compliance) with a monthly 30-minute check-in on the calendar</w:t>
      </w:r>
    </w:p>
    <w:p>
      <w:pPr>
        <w:pStyle w:val="ListBullet"/>
        <w:spacing w:after="40"/>
        <w:ind w:left="317"/>
      </w:pPr>
      <w:r>
        <w:rPr>
          <w:sz w:val="21"/>
        </w:rPr>
        <w:t>Leadership endorsement to make monthly audits a mandatory participation for all providers</w:t>
      </w:r>
    </w:p>
    <w:p>
      <w:pPr>
        <w:pStyle w:val="ListBullet"/>
        <w:spacing w:after="40"/>
        <w:ind w:left="317"/>
      </w:pPr>
      <w:r>
        <w:rPr>
          <w:sz w:val="21"/>
        </w:rPr>
        <w:t>Permission to prepare a Certified Risk Adjustment Coder (CRC) hire business case at the 6-month checkpoint</w:t>
      </w:r>
    </w:p>
    <w:p>
      <w:pPr>
        <w:spacing w:before="200" w:after="60"/>
      </w:pPr>
      <w:r>
        <w:rPr>
          <w:b/>
          <w:color w:val="0F6E6E"/>
          <w:sz w:val="26"/>
        </w:rPr>
        <w:t>6. 12-month milestones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600"/>
            <w:shd w:fill="0F6E6E"/>
          </w:tcPr>
          <w:p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1728"/>
            <w:shd w:fill="0F6E6E"/>
          </w:tcPr>
          <w:p>
            <w:r>
              <w:rPr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4608"/>
            <w:shd w:fill="0F6E6E"/>
          </w:tcPr>
          <w:p>
            <w:r>
              <w:rPr>
                <w:b/>
                <w:color w:val="FFFFFF"/>
                <w:sz w:val="20"/>
              </w:rPr>
              <w:t>Deliverable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Function formalized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Month 3-4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Written scope · reporting-line documented · sponsor named</w:t>
            </w:r>
          </w:p>
        </w:tc>
      </w:tr>
      <w:tr>
        <w:tc>
          <w:tcPr>
            <w:tcW w:type="dxa" w:w="3600"/>
            <w:shd w:fill="F1F8F7"/>
          </w:tcPr>
          <w:p>
            <w:r>
              <w:rPr>
                <w:sz w:val="19"/>
              </w:rPr>
              <w:t>Q4 audit cycle + corrective plans</w:t>
            </w:r>
          </w:p>
        </w:tc>
        <w:tc>
          <w:tcPr>
            <w:tcW w:type="dxa" w:w="1728"/>
            <w:shd w:fill="F1F8F7"/>
          </w:tcPr>
          <w:p>
            <w:r>
              <w:rPr>
                <w:sz w:val="19"/>
              </w:rPr>
              <w:t>Month 4-6</w:t>
            </w:r>
          </w:p>
        </w:tc>
        <w:tc>
          <w:tcPr>
            <w:tcW w:type="dxa" w:w="4608"/>
            <w:shd w:fill="F1F8F7"/>
          </w:tcPr>
          <w:p>
            <w:r>
              <w:rPr>
                <w:sz w:val="19"/>
              </w:rPr>
              <w:t>10 charts × top providers · corrective plans opened for &lt;80% band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6-month review + hire case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Month 6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6-month report · CRC hire business case presented</w:t>
            </w:r>
          </w:p>
        </w:tc>
      </w:tr>
      <w:tr>
        <w:tc>
          <w:tcPr>
            <w:tcW w:type="dxa" w:w="3600"/>
            <w:shd w:fill="F1F8F7"/>
          </w:tcPr>
          <w:p>
            <w:r>
              <w:rPr>
                <w:sz w:val="19"/>
              </w:rPr>
              <w:t>Q1 next-year audit cycle</w:t>
            </w:r>
          </w:p>
        </w:tc>
        <w:tc>
          <w:tcPr>
            <w:tcW w:type="dxa" w:w="1728"/>
            <w:shd w:fill="F1F8F7"/>
          </w:tcPr>
          <w:p>
            <w:r>
              <w:rPr>
                <w:sz w:val="19"/>
              </w:rPr>
              <w:t>Month 7-9</w:t>
            </w:r>
          </w:p>
        </w:tc>
        <w:tc>
          <w:tcPr>
            <w:tcW w:type="dxa" w:w="4608"/>
            <w:shd w:fill="F1F8F7"/>
          </w:tcPr>
          <w:p>
            <w:r>
              <w:rPr>
                <w:sz w:val="19"/>
              </w:rPr>
              <w:t>Retest scores on corrective providers · systemic root cause investigation</w:t>
            </w:r>
          </w:p>
        </w:tc>
      </w:tr>
      <w:tr>
        <w:tc>
          <w:tcPr>
            <w:tcW w:type="dxa" w:w="3600"/>
          </w:tcPr>
          <w:p>
            <w:r>
              <w:rPr>
                <w:sz w:val="19"/>
              </w:rPr>
              <w:t>Annual report + year-2 plan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Month 12</w:t>
            </w:r>
          </w:p>
        </w:tc>
        <w:tc>
          <w:tcPr>
            <w:tcW w:type="dxa" w:w="4608"/>
          </w:tcPr>
          <w:p>
            <w:r>
              <w:rPr>
                <w:sz w:val="19"/>
              </w:rPr>
              <w:t>Full-year report · year-2 roadmap · headcount ask</w:t>
            </w:r>
          </w:p>
        </w:tc>
      </w:tr>
    </w:tbl>
    <w:p>
      <w:pPr>
        <w:spacing w:before="200" w:after="60"/>
      </w:pPr>
      <w:r>
        <w:rPr>
          <w:b/>
          <w:color w:val="0F6E6E"/>
          <w:sz w:val="26"/>
        </w:rPr>
        <w:t>7. Evidence supporting this ask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96"/>
            <w:shd w:fill="0F6E6E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5040"/>
            <w:shd w:fill="0F6E6E"/>
          </w:tcPr>
          <w:p>
            <w:r>
              <w:rPr>
                <w:b/>
                <w:color w:val="FFFFFF"/>
                <w:sz w:val="20"/>
              </w:rPr>
              <w:t>Result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Providers audited this quarter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13</w:t>
            </w:r>
          </w:p>
        </w:tc>
      </w:tr>
      <w:tr>
        <w:tc>
          <w:tcPr>
            <w:tcW w:type="dxa" w:w="4896"/>
            <w:shd w:fill="F1F8F7"/>
          </w:tcPr>
          <w:p>
            <w:r>
              <w:rPr>
                <w:sz w:val="19"/>
              </w:rPr>
              <w:t>Charts audited this quarter</w:t>
            </w:r>
          </w:p>
        </w:tc>
        <w:tc>
          <w:tcPr>
            <w:tcW w:type="dxa" w:w="5040"/>
            <w:shd w:fill="F1F8F7"/>
          </w:tcPr>
          <w:p>
            <w:r>
              <w:rPr>
                <w:sz w:val="19"/>
              </w:rPr>
              <w:t>130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Program-wide average compliance %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76.4%</w:t>
            </w:r>
          </w:p>
        </w:tc>
      </w:tr>
      <w:tr>
        <w:tc>
          <w:tcPr>
            <w:tcW w:type="dxa" w:w="4896"/>
            <w:shd w:fill="F1F8F7"/>
          </w:tcPr>
          <w:p>
            <w:r>
              <w:rPr>
                <w:sz w:val="19"/>
              </w:rPr>
              <w:t>Providers reaching Meets Expectations</w:t>
            </w:r>
          </w:p>
        </w:tc>
        <w:tc>
          <w:tcPr>
            <w:tcW w:type="dxa" w:w="5040"/>
            <w:shd w:fill="F1F8F7"/>
          </w:tcPr>
          <w:p>
            <w:r>
              <w:rPr>
                <w:sz w:val="19"/>
              </w:rPr>
              <w:t>0 of 13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Providers needing Corrective Education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10 of 13</w:t>
            </w:r>
          </w:p>
        </w:tc>
      </w:tr>
      <w:tr>
        <w:tc>
          <w:tcPr>
            <w:tcW w:type="dxa" w:w="4896"/>
            <w:shd w:fill="F1F8F7"/>
          </w:tcPr>
          <w:p>
            <w:r>
              <w:rPr>
                <w:sz w:val="19"/>
              </w:rPr>
              <w:t>Tools built (at zero software cost)</w:t>
            </w:r>
          </w:p>
        </w:tc>
        <w:tc>
          <w:tcPr>
            <w:tcW w:type="dxa" w:w="5040"/>
            <w:shd w:fill="F1F8F7"/>
          </w:tcPr>
          <w:p>
            <w:r>
              <w:rPr>
                <w:sz w:val="19"/>
              </w:rPr>
              <w:t>Audit workbook · KPI Tracker · HCC Recapture Tracker · Standard Report Template</w:t>
            </w:r>
          </w:p>
        </w:tc>
      </w:tr>
      <w:tr>
        <w:tc>
          <w:tcPr>
            <w:tcW w:type="dxa" w:w="4896"/>
          </w:tcPr>
          <w:p>
            <w:r>
              <w:rPr>
                <w:sz w:val="19"/>
              </w:rPr>
              <w:t>Documentation produced</w:t>
            </w:r>
          </w:p>
        </w:tc>
        <w:tc>
          <w:tcPr>
            <w:tcW w:type="dxa" w:w="5040"/>
          </w:tcPr>
          <w:p>
            <w:r>
              <w:rPr>
                <w:sz w:val="19"/>
              </w:rPr>
              <w:t>Program Overview · Auditor Guide · Coder Guide · Criteria Brief · Timing Calendar · Work Plan</w:t>
            </w:r>
          </w:p>
        </w:tc>
      </w:tr>
    </w:tbl>
    <w:p>
      <w:pPr>
        <w:spacing w:before="200" w:after="60"/>
      </w:pPr>
      <w:r>
        <w:rPr>
          <w:b/>
          <w:color w:val="0F6E6E"/>
          <w:sz w:val="26"/>
        </w:rPr>
        <w:t>8. Risks and mitigation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3744"/>
            <w:shd w:fill="0F6E6E"/>
          </w:tcPr>
          <w:p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192"/>
            <w:shd w:fill="0F6E6E"/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Billing supervisor feels displaced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Frame as function expansion · continue CPT II support to Billing · make Billing look good in the report</w:t>
            </w:r>
          </w:p>
        </w:tc>
      </w:tr>
      <w:tr>
        <w:tc>
          <w:tcPr>
            <w:tcW w:type="dxa" w:w="3744"/>
            <w:shd w:fill="F1F8F7"/>
          </w:tcPr>
          <w:p>
            <w:r>
              <w:rPr>
                <w:sz w:val="19"/>
              </w:rPr>
              <w:t>Leadership sees this as empire-building</w:t>
            </w:r>
          </w:p>
        </w:tc>
        <w:tc>
          <w:tcPr>
            <w:tcW w:type="dxa" w:w="6192"/>
            <w:shd w:fill="F1F8F7"/>
          </w:tcPr>
          <w:p>
            <w:r>
              <w:rPr>
                <w:sz w:val="19"/>
              </w:rPr>
              <w:t>No headcount ask · no new budget · role is already being performed - this is formal recognition</w:t>
            </w:r>
          </w:p>
        </w:tc>
      </w:tr>
      <w:tr>
        <w:tc>
          <w:tcPr>
            <w:tcW w:type="dxa" w:w="3744"/>
          </w:tcPr>
          <w:p>
            <w:r>
              <w:rPr>
                <w:sz w:val="19"/>
              </w:rPr>
              <w:t>Providers push back on audits</w:t>
            </w:r>
          </w:p>
        </w:tc>
        <w:tc>
          <w:tcPr>
            <w:tcW w:type="dxa" w:w="6192"/>
          </w:tcPr>
          <w:p>
            <w:r>
              <w:rPr>
                <w:sz w:val="19"/>
              </w:rPr>
              <w:t>Q3 findings already establish need · pitch audits as denial prevention and RADV protection</w:t>
            </w:r>
          </w:p>
        </w:tc>
      </w:tr>
      <w:tr>
        <w:tc>
          <w:tcPr>
            <w:tcW w:type="dxa" w:w="3744"/>
            <w:shd w:fill="F1F8F7"/>
          </w:tcPr>
          <w:p>
            <w:r>
              <w:rPr>
                <w:sz w:val="19"/>
              </w:rPr>
              <w:t>Single-point-of-failure risk</w:t>
            </w:r>
          </w:p>
        </w:tc>
        <w:tc>
          <w:tcPr>
            <w:tcW w:type="dxa" w:w="6192"/>
            <w:shd w:fill="F1F8F7"/>
          </w:tcPr>
          <w:p>
            <w:r>
              <w:rPr>
                <w:sz w:val="19"/>
              </w:rPr>
              <w:t>Every process documented · 6-month hire case addresses continuity directly</w:t>
            </w:r>
          </w:p>
        </w:tc>
      </w:tr>
    </w:tbl>
    <w:p>
      <w:pPr>
        <w:spacing w:before="280" w:after="80"/>
      </w:pPr>
      <w:r>
        <w:rPr>
          <w:b/>
          <w:color w:val="0F172A"/>
          <w:sz w:val="23"/>
        </w:rPr>
        <w:t xml:space="preserve">Bottom line: </w:t>
      </w:r>
      <w:r>
        <w:rPr>
          <w:color w:val="0F172A"/>
          <w:sz w:val="23"/>
        </w:rPr>
        <w:t>The CDI function already exists at HealthProMed - it just does not have an org chart. This proposal formalizes what is already being delivered, protects the organization from compliance exposure, and costs nothing at signature.</w:t>
      </w:r>
    </w:p>
    <w:p>
      <w:pPr>
        <w:spacing w:before="320"/>
      </w:pPr>
      <w:r>
        <w:rPr>
          <w:i/>
          <w:color w:val="555555"/>
          <w:sz w:val="18"/>
        </w:rPr>
        <w:t>Prepared by Eric Galan, CPC · CRC · Coding &amp; CDI Lead  ·  Present alongside Q3 2026 Provider Audit Report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