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4"/>
        </w:rPr>
        <w:t>Anatomy &amp; Physiology — Baseline Assessment</w:t>
      </w:r>
    </w:p>
    <w:p>
      <w:pPr>
        <w:spacing w:after="240"/>
      </w:pPr>
      <w:r>
        <w:rPr>
          <w:i/>
          <w:color w:val="555555"/>
          <w:sz w:val="22"/>
        </w:rPr>
        <w:t>Billing Team · HealthProMed · Coding &amp; CDI Department</w:t>
      </w:r>
    </w:p>
    <w:tbl>
      <w:tblPr>
        <w:tblW w:type="auto" w:w="0"/>
        <w:tblLayout w:type="fixed"/>
        <w:tblLook w:firstColumn="1" w:firstRow="1" w:lastColumn="0" w:lastRow="0" w:noHBand="0" w:noVBand="1" w:val="04A0"/>
      </w:tblPr>
      <w:tblGrid>
        <w:gridCol w:w="4986"/>
        <w:gridCol w:w="4986"/>
      </w:tblGrid>
      <w:tr>
        <w:tc>
          <w:tcPr>
            <w:tcW w:type="dxa" w:w="2160"/>
            <w:shd w:fill="E6F4F1"/>
          </w:tcPr>
          <w:p>
            <w:r>
              <w:rPr>
                <w:b/>
                <w:sz w:val="22"/>
              </w:rPr>
              <w:t>Name</w:t>
            </w:r>
          </w:p>
        </w:tc>
        <w:tc>
          <w:tcPr>
            <w:tcW w:type="dxa" w:w="7056"/>
            <w:shd w:fill="FFF9C4"/>
          </w:tcPr>
          <w:p/>
        </w:tc>
      </w:tr>
      <w:tr>
        <w:tc>
          <w:tcPr>
            <w:tcW w:type="dxa" w:w="2160"/>
            <w:shd w:fill="E6F4F1"/>
          </w:tcPr>
          <w:p>
            <w:r>
              <w:rPr>
                <w:b/>
                <w:sz w:val="22"/>
              </w:rPr>
              <w:t>Date</w:t>
            </w:r>
          </w:p>
        </w:tc>
        <w:tc>
          <w:tcPr>
            <w:tcW w:type="dxa" w:w="7056"/>
            <w:shd w:fill="FFF9C4"/>
          </w:tcPr>
          <w:p/>
        </w:tc>
      </w:tr>
      <w:tr>
        <w:tc>
          <w:tcPr>
            <w:tcW w:type="dxa" w:w="2160"/>
            <w:shd w:fill="E6F4F1"/>
          </w:tcPr>
          <w:p>
            <w:r>
              <w:rPr>
                <w:b/>
                <w:sz w:val="22"/>
              </w:rPr>
              <w:t>Auditor / Grader</w:t>
            </w:r>
          </w:p>
        </w:tc>
        <w:tc>
          <w:tcPr>
            <w:tcW w:type="dxa" w:w="7056"/>
            <w:shd w:fill="FFF9C4"/>
          </w:tcPr>
          <w:p/>
        </w:tc>
      </w:tr>
      <w:tr>
        <w:tc>
          <w:tcPr>
            <w:tcW w:type="dxa" w:w="2160"/>
            <w:shd w:fill="E6F4F1"/>
          </w:tcPr>
          <w:p>
            <w:r>
              <w:rPr>
                <w:b/>
                <w:sz w:val="22"/>
              </w:rPr>
              <w:t>Score</w:t>
            </w:r>
          </w:p>
        </w:tc>
        <w:tc>
          <w:tcPr>
            <w:tcW w:type="dxa" w:w="7056"/>
            <w:shd w:fill="FFF9C4"/>
          </w:tcPr>
          <w:p/>
        </w:tc>
      </w:tr>
    </w:tbl>
    <w:p>
      <w:pPr>
        <w:spacing w:before="280" w:after="120"/>
      </w:pPr>
      <w:r>
        <w:rPr>
          <w:b/>
          <w:color w:val="0F6E6E"/>
          <w:sz w:val="28"/>
        </w:rPr>
        <w:t>Instructions</w:t>
      </w:r>
    </w:p>
    <w:p>
      <w:r>
        <w:rPr>
          <w:sz w:val="22"/>
        </w:rPr>
        <w:t>• Answer each of the 10 questions by checking (☑) the box next to the best answer.</w:t>
      </w:r>
    </w:p>
    <w:p>
      <w:r>
        <w:rPr>
          <w:sz w:val="22"/>
        </w:rPr>
        <w:t>• Do NOT use references or the Billing Team Training Manual — this is a baseline check.</w:t>
      </w:r>
    </w:p>
    <w:p>
      <w:r>
        <w:rPr>
          <w:sz w:val="22"/>
        </w:rPr>
        <w:t>• Estimated time: 10-15 minutes.</w:t>
      </w:r>
    </w:p>
    <w:p>
      <w:r>
        <w:rPr>
          <w:sz w:val="22"/>
        </w:rPr>
        <w:t>• This is a knowledge check, not a punishment. Answer honestly.</w:t>
      </w:r>
    </w:p>
    <w:p>
      <w:r>
        <w:rPr>
          <w:sz w:val="22"/>
        </w:rPr>
        <w:t>• Return this quiz to your grader when complete.</w:t>
      </w:r>
    </w:p>
    <w:p>
      <w:pPr>
        <w:spacing w:before="280" w:after="120"/>
      </w:pPr>
      <w:r>
        <w:rPr>
          <w:b/>
          <w:color w:val="0F6E6E"/>
          <w:sz w:val="28"/>
        </w:rPr>
        <w:t>Questions</w:t>
      </w:r>
    </w:p>
    <w:p>
      <w:pPr>
        <w:spacing w:before="240" w:after="120"/>
      </w:pPr>
      <w:r>
        <w:rPr>
          <w:b/>
          <w:color w:val="0F6E6E"/>
          <w:sz w:val="24"/>
        </w:rPr>
        <w:t xml:space="preserve">1.  </w:t>
      </w:r>
      <w:r>
        <w:rPr>
          <w:b/>
          <w:color w:val="0F172A"/>
          <w:sz w:val="22"/>
        </w:rPr>
        <w:t>A patient's chart shows Type 2 Diabetes Mellitus (E11.9). Which organ is primarily responsible for producing insulin?</w:t>
      </w:r>
    </w:p>
    <w:p>
      <w:pPr>
        <w:spacing w:after="60"/>
        <w:ind w:left="576"/>
      </w:pPr>
      <w:r>
        <w:rPr>
          <w:color w:val="0F172A"/>
          <w:sz w:val="24"/>
        </w:rPr>
        <w:t xml:space="preserve">☐  </w:t>
      </w:r>
      <w:r>
        <w:rPr>
          <w:b/>
          <w:color w:val="0F6E6E"/>
          <w:sz w:val="22"/>
        </w:rPr>
        <w:t xml:space="preserve">A.  </w:t>
      </w:r>
      <w:r>
        <w:rPr>
          <w:color w:val="0F172A"/>
          <w:sz w:val="22"/>
        </w:rPr>
        <w:t>Liver</w:t>
      </w:r>
    </w:p>
    <w:p>
      <w:pPr>
        <w:spacing w:after="60"/>
        <w:ind w:left="576"/>
      </w:pPr>
      <w:r>
        <w:rPr>
          <w:color w:val="0F172A"/>
          <w:sz w:val="24"/>
        </w:rPr>
        <w:t xml:space="preserve">☐  </w:t>
      </w:r>
      <w:r>
        <w:rPr>
          <w:b/>
          <w:color w:val="0F6E6E"/>
          <w:sz w:val="22"/>
        </w:rPr>
        <w:t xml:space="preserve">B.  </w:t>
      </w:r>
      <w:r>
        <w:rPr>
          <w:color w:val="0F172A"/>
          <w:sz w:val="22"/>
        </w:rPr>
        <w:t>Kidney</w:t>
      </w:r>
    </w:p>
    <w:p>
      <w:pPr>
        <w:spacing w:after="60"/>
        <w:ind w:left="576"/>
      </w:pPr>
      <w:r>
        <w:rPr>
          <w:color w:val="0F172A"/>
          <w:sz w:val="24"/>
        </w:rPr>
        <w:t xml:space="preserve">☐  </w:t>
      </w:r>
      <w:r>
        <w:rPr>
          <w:b/>
          <w:color w:val="0F6E6E"/>
          <w:sz w:val="22"/>
        </w:rPr>
        <w:t xml:space="preserve">C.  </w:t>
      </w:r>
      <w:r>
        <w:rPr>
          <w:color w:val="0F172A"/>
          <w:sz w:val="22"/>
        </w:rPr>
        <w:t>Pancreas</w:t>
      </w:r>
    </w:p>
    <w:p>
      <w:pPr>
        <w:spacing w:after="60"/>
        <w:ind w:left="576"/>
      </w:pPr>
      <w:r>
        <w:rPr>
          <w:color w:val="0F172A"/>
          <w:sz w:val="24"/>
        </w:rPr>
        <w:t xml:space="preserve">☐  </w:t>
      </w:r>
      <w:r>
        <w:rPr>
          <w:b/>
          <w:color w:val="0F6E6E"/>
          <w:sz w:val="22"/>
        </w:rPr>
        <w:t xml:space="preserve">D.  </w:t>
      </w:r>
      <w:r>
        <w:rPr>
          <w:color w:val="0F172A"/>
          <w:sz w:val="22"/>
        </w:rPr>
        <w:t>Thyroid gland</w:t>
      </w:r>
    </w:p>
    <w:p>
      <w:pPr>
        <w:spacing w:before="240" w:after="120"/>
      </w:pPr>
      <w:r>
        <w:rPr>
          <w:b/>
          <w:color w:val="0F6E6E"/>
          <w:sz w:val="24"/>
        </w:rPr>
        <w:t xml:space="preserve">2.  </w:t>
      </w:r>
      <w:r>
        <w:rPr>
          <w:b/>
          <w:color w:val="0F172A"/>
          <w:sz w:val="22"/>
        </w:rPr>
        <w:t>Hypertension (I10) is a condition of which body system?</w:t>
      </w:r>
    </w:p>
    <w:p>
      <w:pPr>
        <w:spacing w:after="60"/>
        <w:ind w:left="576"/>
      </w:pPr>
      <w:r>
        <w:rPr>
          <w:color w:val="0F172A"/>
          <w:sz w:val="24"/>
        </w:rPr>
        <w:t xml:space="preserve">☐  </w:t>
      </w:r>
      <w:r>
        <w:rPr>
          <w:b/>
          <w:color w:val="0F6E6E"/>
          <w:sz w:val="22"/>
        </w:rPr>
        <w:t xml:space="preserve">A.  </w:t>
      </w:r>
      <w:r>
        <w:rPr>
          <w:color w:val="0F172A"/>
          <w:sz w:val="22"/>
        </w:rPr>
        <w:t>Respiratory system</w:t>
      </w:r>
    </w:p>
    <w:p>
      <w:pPr>
        <w:spacing w:after="60"/>
        <w:ind w:left="576"/>
      </w:pPr>
      <w:r>
        <w:rPr>
          <w:color w:val="0F172A"/>
          <w:sz w:val="24"/>
        </w:rPr>
        <w:t xml:space="preserve">☐  </w:t>
      </w:r>
      <w:r>
        <w:rPr>
          <w:b/>
          <w:color w:val="0F6E6E"/>
          <w:sz w:val="22"/>
        </w:rPr>
        <w:t xml:space="preserve">B.  </w:t>
      </w:r>
      <w:r>
        <w:rPr>
          <w:color w:val="0F172A"/>
          <w:sz w:val="22"/>
        </w:rPr>
        <w:t>Cardiovascular system</w:t>
      </w:r>
    </w:p>
    <w:p>
      <w:pPr>
        <w:spacing w:after="60"/>
        <w:ind w:left="576"/>
      </w:pPr>
      <w:r>
        <w:rPr>
          <w:color w:val="0F172A"/>
          <w:sz w:val="24"/>
        </w:rPr>
        <w:t xml:space="preserve">☐  </w:t>
      </w:r>
      <w:r>
        <w:rPr>
          <w:b/>
          <w:color w:val="0F6E6E"/>
          <w:sz w:val="22"/>
        </w:rPr>
        <w:t xml:space="preserve">C.  </w:t>
      </w:r>
      <w:r>
        <w:rPr>
          <w:color w:val="0F172A"/>
          <w:sz w:val="22"/>
        </w:rPr>
        <w:t>Digestive system</w:t>
      </w:r>
    </w:p>
    <w:p>
      <w:pPr>
        <w:spacing w:after="60"/>
        <w:ind w:left="576"/>
      </w:pPr>
      <w:r>
        <w:rPr>
          <w:color w:val="0F172A"/>
          <w:sz w:val="24"/>
        </w:rPr>
        <w:t xml:space="preserve">☐  </w:t>
      </w:r>
      <w:r>
        <w:rPr>
          <w:b/>
          <w:color w:val="0F6E6E"/>
          <w:sz w:val="22"/>
        </w:rPr>
        <w:t xml:space="preserve">D.  </w:t>
      </w:r>
      <w:r>
        <w:rPr>
          <w:color w:val="0F172A"/>
          <w:sz w:val="22"/>
        </w:rPr>
        <w:t>Nervous system</w:t>
      </w:r>
    </w:p>
    <w:p>
      <w:pPr>
        <w:spacing w:before="240" w:after="120"/>
      </w:pPr>
      <w:r>
        <w:rPr>
          <w:b/>
          <w:color w:val="0F6E6E"/>
          <w:sz w:val="24"/>
        </w:rPr>
        <w:t xml:space="preserve">3.  </w:t>
      </w:r>
      <w:r>
        <w:rPr>
          <w:b/>
          <w:color w:val="0F172A"/>
          <w:sz w:val="22"/>
        </w:rPr>
        <w:t>Chronic Kidney Disease (CKD) is staged from 1 through 5 based on which lab value?</w:t>
      </w:r>
    </w:p>
    <w:p>
      <w:pPr>
        <w:spacing w:after="60"/>
        <w:ind w:left="576"/>
      </w:pPr>
      <w:r>
        <w:rPr>
          <w:color w:val="0F172A"/>
          <w:sz w:val="24"/>
        </w:rPr>
        <w:t xml:space="preserve">☐  </w:t>
      </w:r>
      <w:r>
        <w:rPr>
          <w:b/>
          <w:color w:val="0F6E6E"/>
          <w:sz w:val="22"/>
        </w:rPr>
        <w:t xml:space="preserve">A.  </w:t>
      </w:r>
      <w:r>
        <w:rPr>
          <w:color w:val="0F172A"/>
          <w:sz w:val="22"/>
        </w:rPr>
        <w:t>HbA1c</w:t>
      </w:r>
    </w:p>
    <w:p>
      <w:pPr>
        <w:spacing w:after="60"/>
        <w:ind w:left="576"/>
      </w:pPr>
      <w:r>
        <w:rPr>
          <w:color w:val="0F172A"/>
          <w:sz w:val="24"/>
        </w:rPr>
        <w:t xml:space="preserve">☐  </w:t>
      </w:r>
      <w:r>
        <w:rPr>
          <w:b/>
          <w:color w:val="0F6E6E"/>
          <w:sz w:val="22"/>
        </w:rPr>
        <w:t xml:space="preserve">B.  </w:t>
      </w:r>
      <w:r>
        <w:rPr>
          <w:color w:val="0F172A"/>
          <w:sz w:val="22"/>
        </w:rPr>
        <w:t>Serum creatinine only</w:t>
      </w:r>
    </w:p>
    <w:p>
      <w:pPr>
        <w:spacing w:after="60"/>
        <w:ind w:left="576"/>
      </w:pPr>
      <w:r>
        <w:rPr>
          <w:color w:val="0F172A"/>
          <w:sz w:val="24"/>
        </w:rPr>
        <w:t xml:space="preserve">☐  </w:t>
      </w:r>
      <w:r>
        <w:rPr>
          <w:b/>
          <w:color w:val="0F6E6E"/>
          <w:sz w:val="22"/>
        </w:rPr>
        <w:t xml:space="preserve">C.  </w:t>
      </w:r>
      <w:r>
        <w:rPr>
          <w:color w:val="0F172A"/>
          <w:sz w:val="22"/>
        </w:rPr>
        <w:t>eGFR (estimated Glomerular Filtration Rate)</w:t>
      </w:r>
    </w:p>
    <w:p>
      <w:pPr>
        <w:spacing w:after="60"/>
        <w:ind w:left="576"/>
      </w:pPr>
      <w:r>
        <w:rPr>
          <w:color w:val="0F172A"/>
          <w:sz w:val="24"/>
        </w:rPr>
        <w:t xml:space="preserve">☐  </w:t>
      </w:r>
      <w:r>
        <w:rPr>
          <w:b/>
          <w:color w:val="0F6E6E"/>
          <w:sz w:val="22"/>
        </w:rPr>
        <w:t xml:space="preserve">D.  </w:t>
      </w:r>
      <w:r>
        <w:rPr>
          <w:color w:val="0F172A"/>
          <w:sz w:val="22"/>
        </w:rPr>
        <w:t>Urine specific gravity</w:t>
      </w:r>
    </w:p>
    <w:p>
      <w:pPr>
        <w:spacing w:before="240" w:after="120"/>
      </w:pPr>
      <w:r>
        <w:rPr>
          <w:b/>
          <w:color w:val="0F6E6E"/>
          <w:sz w:val="24"/>
        </w:rPr>
        <w:t xml:space="preserve">4.  </w:t>
      </w:r>
      <w:r>
        <w:rPr>
          <w:b/>
          <w:color w:val="0F172A"/>
          <w:sz w:val="22"/>
        </w:rPr>
        <w:t>A patient's chart shows Hypothyroidism (E03.9). Which gland is not producing enough hormone?</w:t>
      </w:r>
    </w:p>
    <w:p>
      <w:pPr>
        <w:spacing w:after="60"/>
        <w:ind w:left="576"/>
      </w:pPr>
      <w:r>
        <w:rPr>
          <w:color w:val="0F172A"/>
          <w:sz w:val="24"/>
        </w:rPr>
        <w:t xml:space="preserve">☐  </w:t>
      </w:r>
      <w:r>
        <w:rPr>
          <w:b/>
          <w:color w:val="0F6E6E"/>
          <w:sz w:val="22"/>
        </w:rPr>
        <w:t xml:space="preserve">A.  </w:t>
      </w:r>
      <w:r>
        <w:rPr>
          <w:color w:val="0F172A"/>
          <w:sz w:val="22"/>
        </w:rPr>
        <w:t>Pituitary gland</w:t>
      </w:r>
    </w:p>
    <w:p>
      <w:pPr>
        <w:spacing w:after="60"/>
        <w:ind w:left="576"/>
      </w:pPr>
      <w:r>
        <w:rPr>
          <w:color w:val="0F172A"/>
          <w:sz w:val="24"/>
        </w:rPr>
        <w:t xml:space="preserve">☐  </w:t>
      </w:r>
      <w:r>
        <w:rPr>
          <w:b/>
          <w:color w:val="0F6E6E"/>
          <w:sz w:val="22"/>
        </w:rPr>
        <w:t xml:space="preserve">B.  </w:t>
      </w:r>
      <w:r>
        <w:rPr>
          <w:color w:val="0F172A"/>
          <w:sz w:val="22"/>
        </w:rPr>
        <w:t>Adrenal gland</w:t>
      </w:r>
    </w:p>
    <w:p>
      <w:pPr>
        <w:spacing w:after="60"/>
        <w:ind w:left="576"/>
      </w:pPr>
      <w:r>
        <w:rPr>
          <w:color w:val="0F172A"/>
          <w:sz w:val="24"/>
        </w:rPr>
        <w:t xml:space="preserve">☐  </w:t>
      </w:r>
      <w:r>
        <w:rPr>
          <w:b/>
          <w:color w:val="0F6E6E"/>
          <w:sz w:val="22"/>
        </w:rPr>
        <w:t xml:space="preserve">C.  </w:t>
      </w:r>
      <w:r>
        <w:rPr>
          <w:color w:val="0F172A"/>
          <w:sz w:val="22"/>
        </w:rPr>
        <w:t>Thyroid gland</w:t>
      </w:r>
    </w:p>
    <w:p>
      <w:pPr>
        <w:spacing w:after="60"/>
        <w:ind w:left="576"/>
      </w:pPr>
      <w:r>
        <w:rPr>
          <w:color w:val="0F172A"/>
          <w:sz w:val="24"/>
        </w:rPr>
        <w:t xml:space="preserve">☐  </w:t>
      </w:r>
      <w:r>
        <w:rPr>
          <w:b/>
          <w:color w:val="0F6E6E"/>
          <w:sz w:val="22"/>
        </w:rPr>
        <w:t xml:space="preserve">D.  </w:t>
      </w:r>
      <w:r>
        <w:rPr>
          <w:color w:val="0F172A"/>
          <w:sz w:val="22"/>
        </w:rPr>
        <w:t>Parathyroid gland</w:t>
      </w:r>
    </w:p>
    <w:p>
      <w:pPr>
        <w:spacing w:before="240" w:after="120"/>
      </w:pPr>
      <w:r>
        <w:rPr>
          <w:b/>
          <w:color w:val="0F6E6E"/>
          <w:sz w:val="24"/>
        </w:rPr>
        <w:t xml:space="preserve">5.  </w:t>
      </w:r>
      <w:r>
        <w:rPr>
          <w:b/>
          <w:color w:val="0F172A"/>
          <w:sz w:val="22"/>
        </w:rPr>
        <w:t>When coding a diabetic patient, which lab value best reflects the patient's blood sugar control over the past 2–3 months?</w:t>
      </w:r>
    </w:p>
    <w:p>
      <w:pPr>
        <w:spacing w:after="60"/>
        <w:ind w:left="576"/>
      </w:pPr>
      <w:r>
        <w:rPr>
          <w:color w:val="0F172A"/>
          <w:sz w:val="24"/>
        </w:rPr>
        <w:t xml:space="preserve">☐  </w:t>
      </w:r>
      <w:r>
        <w:rPr>
          <w:b/>
          <w:color w:val="0F6E6E"/>
          <w:sz w:val="22"/>
        </w:rPr>
        <w:t xml:space="preserve">A.  </w:t>
      </w:r>
      <w:r>
        <w:rPr>
          <w:color w:val="0F172A"/>
          <w:sz w:val="22"/>
        </w:rPr>
        <w:t>Fasting glucose</w:t>
      </w:r>
    </w:p>
    <w:p>
      <w:pPr>
        <w:spacing w:after="60"/>
        <w:ind w:left="576"/>
      </w:pPr>
      <w:r>
        <w:rPr>
          <w:color w:val="0F172A"/>
          <w:sz w:val="24"/>
        </w:rPr>
        <w:t xml:space="preserve">☐  </w:t>
      </w:r>
      <w:r>
        <w:rPr>
          <w:b/>
          <w:color w:val="0F6E6E"/>
          <w:sz w:val="22"/>
        </w:rPr>
        <w:t xml:space="preserve">B.  </w:t>
      </w:r>
      <w:r>
        <w:rPr>
          <w:color w:val="0F172A"/>
          <w:sz w:val="22"/>
        </w:rPr>
        <w:t>Random glucose</w:t>
      </w:r>
    </w:p>
    <w:p>
      <w:pPr>
        <w:spacing w:after="60"/>
        <w:ind w:left="576"/>
      </w:pPr>
      <w:r>
        <w:rPr>
          <w:color w:val="0F172A"/>
          <w:sz w:val="24"/>
        </w:rPr>
        <w:t xml:space="preserve">☐  </w:t>
      </w:r>
      <w:r>
        <w:rPr>
          <w:b/>
          <w:color w:val="0F6E6E"/>
          <w:sz w:val="22"/>
        </w:rPr>
        <w:t xml:space="preserve">C.  </w:t>
      </w:r>
      <w:r>
        <w:rPr>
          <w:color w:val="0F172A"/>
          <w:sz w:val="22"/>
        </w:rPr>
        <w:t>HbA1c (Hemoglobin A1c)</w:t>
      </w:r>
    </w:p>
    <w:p>
      <w:pPr>
        <w:spacing w:after="60"/>
        <w:ind w:left="576"/>
      </w:pPr>
      <w:r>
        <w:rPr>
          <w:color w:val="0F172A"/>
          <w:sz w:val="24"/>
        </w:rPr>
        <w:t xml:space="preserve">☐  </w:t>
      </w:r>
      <w:r>
        <w:rPr>
          <w:b/>
          <w:color w:val="0F6E6E"/>
          <w:sz w:val="22"/>
        </w:rPr>
        <w:t xml:space="preserve">D.  </w:t>
      </w:r>
      <w:r>
        <w:rPr>
          <w:color w:val="0F172A"/>
          <w:sz w:val="22"/>
        </w:rPr>
        <w:t>Postprandial glucose</w:t>
      </w:r>
    </w:p>
    <w:p>
      <w:pPr>
        <w:spacing w:before="240" w:after="120"/>
      </w:pPr>
      <w:r>
        <w:rPr>
          <w:b/>
          <w:color w:val="0F6E6E"/>
          <w:sz w:val="24"/>
        </w:rPr>
        <w:t xml:space="preserve">6.  </w:t>
      </w:r>
      <w:r>
        <w:rPr>
          <w:b/>
          <w:color w:val="0F172A"/>
          <w:sz w:val="22"/>
        </w:rPr>
        <w:t>When coding obesity (E66.-), which additional code is ALWAYS required to specify the BMI category?</w:t>
      </w:r>
    </w:p>
    <w:p>
      <w:pPr>
        <w:spacing w:after="60"/>
        <w:ind w:left="576"/>
      </w:pPr>
      <w:r>
        <w:rPr>
          <w:color w:val="0F172A"/>
          <w:sz w:val="24"/>
        </w:rPr>
        <w:t xml:space="preserve">☐  </w:t>
      </w:r>
      <w:r>
        <w:rPr>
          <w:b/>
          <w:color w:val="0F6E6E"/>
          <w:sz w:val="22"/>
        </w:rPr>
        <w:t xml:space="preserve">A.  </w:t>
      </w:r>
      <w:r>
        <w:rPr>
          <w:color w:val="0F172A"/>
          <w:sz w:val="22"/>
        </w:rPr>
        <w:t>R92.x</w:t>
      </w:r>
    </w:p>
    <w:p>
      <w:pPr>
        <w:spacing w:after="60"/>
        <w:ind w:left="576"/>
      </w:pPr>
      <w:r>
        <w:rPr>
          <w:color w:val="0F172A"/>
          <w:sz w:val="24"/>
        </w:rPr>
        <w:t xml:space="preserve">☐  </w:t>
      </w:r>
      <w:r>
        <w:rPr>
          <w:b/>
          <w:color w:val="0F6E6E"/>
          <w:sz w:val="22"/>
        </w:rPr>
        <w:t xml:space="preserve">B.  </w:t>
      </w:r>
      <w:r>
        <w:rPr>
          <w:color w:val="0F172A"/>
          <w:sz w:val="22"/>
        </w:rPr>
        <w:t>Z68.x</w:t>
      </w:r>
    </w:p>
    <w:p>
      <w:pPr>
        <w:spacing w:after="60"/>
        <w:ind w:left="576"/>
      </w:pPr>
      <w:r>
        <w:rPr>
          <w:color w:val="0F172A"/>
          <w:sz w:val="24"/>
        </w:rPr>
        <w:t xml:space="preserve">☐  </w:t>
      </w:r>
      <w:r>
        <w:rPr>
          <w:b/>
          <w:color w:val="0F6E6E"/>
          <w:sz w:val="22"/>
        </w:rPr>
        <w:t xml:space="preserve">C.  </w:t>
      </w:r>
      <w:r>
        <w:rPr>
          <w:color w:val="0F172A"/>
          <w:sz w:val="22"/>
        </w:rPr>
        <w:t>Z79.x</w:t>
      </w:r>
    </w:p>
    <w:p>
      <w:pPr>
        <w:spacing w:after="60"/>
        <w:ind w:left="576"/>
      </w:pPr>
      <w:r>
        <w:rPr>
          <w:color w:val="0F172A"/>
          <w:sz w:val="24"/>
        </w:rPr>
        <w:t xml:space="preserve">☐  </w:t>
      </w:r>
      <w:r>
        <w:rPr>
          <w:b/>
          <w:color w:val="0F6E6E"/>
          <w:sz w:val="22"/>
        </w:rPr>
        <w:t xml:space="preserve">D.  </w:t>
      </w:r>
      <w:r>
        <w:rPr>
          <w:color w:val="0F172A"/>
          <w:sz w:val="22"/>
        </w:rPr>
        <w:t>No additional code is required</w:t>
      </w:r>
    </w:p>
    <w:p>
      <w:pPr>
        <w:spacing w:before="240" w:after="120"/>
      </w:pPr>
      <w:r>
        <w:rPr>
          <w:b/>
          <w:color w:val="0F6E6E"/>
          <w:sz w:val="24"/>
        </w:rPr>
        <w:t xml:space="preserve">7.  </w:t>
      </w:r>
      <w:r>
        <w:rPr>
          <w:b/>
          <w:color w:val="0F172A"/>
          <w:sz w:val="22"/>
        </w:rPr>
        <w:t>When coding Asthma (J45), which piece of information from the note is REQUIRED to select the most specific code?</w:t>
      </w:r>
    </w:p>
    <w:p>
      <w:pPr>
        <w:spacing w:after="60"/>
        <w:ind w:left="576"/>
      </w:pPr>
      <w:r>
        <w:rPr>
          <w:color w:val="0F172A"/>
          <w:sz w:val="24"/>
        </w:rPr>
        <w:t xml:space="preserve">☐  </w:t>
      </w:r>
      <w:r>
        <w:rPr>
          <w:b/>
          <w:color w:val="0F6E6E"/>
          <w:sz w:val="22"/>
        </w:rPr>
        <w:t xml:space="preserve">A.  </w:t>
      </w:r>
      <w:r>
        <w:rPr>
          <w:color w:val="0F172A"/>
          <w:sz w:val="22"/>
        </w:rPr>
        <w:t>The patient's height and weight</w:t>
      </w:r>
    </w:p>
    <w:p>
      <w:pPr>
        <w:spacing w:after="60"/>
        <w:ind w:left="576"/>
      </w:pPr>
      <w:r>
        <w:rPr>
          <w:color w:val="0F172A"/>
          <w:sz w:val="24"/>
        </w:rPr>
        <w:t xml:space="preserve">☐  </w:t>
      </w:r>
      <w:r>
        <w:rPr>
          <w:b/>
          <w:color w:val="0F6E6E"/>
          <w:sz w:val="22"/>
        </w:rPr>
        <w:t xml:space="preserve">B.  </w:t>
      </w:r>
      <w:r>
        <w:rPr>
          <w:color w:val="0F172A"/>
          <w:sz w:val="22"/>
        </w:rPr>
        <w:t>Severity level (intermittent, mild, moderate, or severe persistent) AND status (with or without exacerbation)</w:t>
      </w:r>
    </w:p>
    <w:p>
      <w:pPr>
        <w:spacing w:after="60"/>
        <w:ind w:left="576"/>
      </w:pPr>
      <w:r>
        <w:rPr>
          <w:color w:val="0F172A"/>
          <w:sz w:val="24"/>
        </w:rPr>
        <w:t xml:space="preserve">☐  </w:t>
      </w:r>
      <w:r>
        <w:rPr>
          <w:b/>
          <w:color w:val="0F6E6E"/>
          <w:sz w:val="22"/>
        </w:rPr>
        <w:t xml:space="preserve">C.  </w:t>
      </w:r>
      <w:r>
        <w:rPr>
          <w:color w:val="0F172A"/>
          <w:sz w:val="22"/>
        </w:rPr>
        <w:t>The patient's blood pressure reading</w:t>
      </w:r>
    </w:p>
    <w:p>
      <w:pPr>
        <w:spacing w:after="60"/>
        <w:ind w:left="576"/>
      </w:pPr>
      <w:r>
        <w:rPr>
          <w:color w:val="0F172A"/>
          <w:sz w:val="24"/>
        </w:rPr>
        <w:t xml:space="preserve">☐  </w:t>
      </w:r>
      <w:r>
        <w:rPr>
          <w:b/>
          <w:color w:val="0F6E6E"/>
          <w:sz w:val="22"/>
        </w:rPr>
        <w:t xml:space="preserve">D.  </w:t>
      </w:r>
      <w:r>
        <w:rPr>
          <w:color w:val="0F172A"/>
          <w:sz w:val="22"/>
        </w:rPr>
        <w:t>Family history of asthma</w:t>
      </w:r>
    </w:p>
    <w:p>
      <w:pPr>
        <w:spacing w:before="240" w:after="120"/>
      </w:pPr>
      <w:r>
        <w:rPr>
          <w:b/>
          <w:color w:val="0F6E6E"/>
          <w:sz w:val="24"/>
        </w:rPr>
        <w:t xml:space="preserve">8.  </w:t>
      </w:r>
      <w:r>
        <w:rPr>
          <w:b/>
          <w:color w:val="0F172A"/>
          <w:sz w:val="22"/>
        </w:rPr>
        <w:t>Which screening tool is most commonly used to measure the severity of Major Depressive Disorder (F32/F33)?</w:t>
      </w:r>
    </w:p>
    <w:p>
      <w:pPr>
        <w:spacing w:after="60"/>
        <w:ind w:left="576"/>
      </w:pPr>
      <w:r>
        <w:rPr>
          <w:color w:val="0F172A"/>
          <w:sz w:val="24"/>
        </w:rPr>
        <w:t xml:space="preserve">☐  </w:t>
      </w:r>
      <w:r>
        <w:rPr>
          <w:b/>
          <w:color w:val="0F6E6E"/>
          <w:sz w:val="22"/>
        </w:rPr>
        <w:t xml:space="preserve">A.  </w:t>
      </w:r>
      <w:r>
        <w:rPr>
          <w:color w:val="0F172A"/>
          <w:sz w:val="22"/>
        </w:rPr>
        <w:t>GAD-7</w:t>
      </w:r>
    </w:p>
    <w:p>
      <w:pPr>
        <w:spacing w:after="60"/>
        <w:ind w:left="576"/>
      </w:pPr>
      <w:r>
        <w:rPr>
          <w:color w:val="0F172A"/>
          <w:sz w:val="24"/>
        </w:rPr>
        <w:t xml:space="preserve">☐  </w:t>
      </w:r>
      <w:r>
        <w:rPr>
          <w:b/>
          <w:color w:val="0F6E6E"/>
          <w:sz w:val="22"/>
        </w:rPr>
        <w:t xml:space="preserve">B.  </w:t>
      </w:r>
      <w:r>
        <w:rPr>
          <w:color w:val="0F172A"/>
          <w:sz w:val="22"/>
        </w:rPr>
        <w:t>PHQ-9</w:t>
      </w:r>
    </w:p>
    <w:p>
      <w:pPr>
        <w:spacing w:after="60"/>
        <w:ind w:left="576"/>
      </w:pPr>
      <w:r>
        <w:rPr>
          <w:color w:val="0F172A"/>
          <w:sz w:val="24"/>
        </w:rPr>
        <w:t xml:space="preserve">☐  </w:t>
      </w:r>
      <w:r>
        <w:rPr>
          <w:b/>
          <w:color w:val="0F6E6E"/>
          <w:sz w:val="22"/>
        </w:rPr>
        <w:t xml:space="preserve">C.  </w:t>
      </w:r>
      <w:r>
        <w:rPr>
          <w:color w:val="0F172A"/>
          <w:sz w:val="22"/>
        </w:rPr>
        <w:t>BMI</w:t>
      </w:r>
    </w:p>
    <w:p>
      <w:pPr>
        <w:spacing w:after="60"/>
        <w:ind w:left="576"/>
      </w:pPr>
      <w:r>
        <w:rPr>
          <w:color w:val="0F172A"/>
          <w:sz w:val="24"/>
        </w:rPr>
        <w:t xml:space="preserve">☐  </w:t>
      </w:r>
      <w:r>
        <w:rPr>
          <w:b/>
          <w:color w:val="0F6E6E"/>
          <w:sz w:val="22"/>
        </w:rPr>
        <w:t xml:space="preserve">D.  </w:t>
      </w:r>
      <w:r>
        <w:rPr>
          <w:color w:val="0F172A"/>
          <w:sz w:val="22"/>
        </w:rPr>
        <w:t>HbA1c</w:t>
      </w:r>
    </w:p>
    <w:p>
      <w:pPr>
        <w:spacing w:before="240" w:after="120"/>
      </w:pPr>
      <w:r>
        <w:rPr>
          <w:b/>
          <w:color w:val="0F6E6E"/>
          <w:sz w:val="24"/>
        </w:rPr>
        <w:t xml:space="preserve">9.  </w:t>
      </w:r>
      <w:r>
        <w:rPr>
          <w:b/>
          <w:color w:val="0F172A"/>
          <w:sz w:val="22"/>
        </w:rPr>
        <w:t>Which imaging test measures bone mineral density to diagnose Osteoporosis (M81.0)?</w:t>
      </w:r>
    </w:p>
    <w:p>
      <w:pPr>
        <w:spacing w:after="60"/>
        <w:ind w:left="576"/>
      </w:pPr>
      <w:r>
        <w:rPr>
          <w:color w:val="0F172A"/>
          <w:sz w:val="24"/>
        </w:rPr>
        <w:t xml:space="preserve">☐  </w:t>
      </w:r>
      <w:r>
        <w:rPr>
          <w:b/>
          <w:color w:val="0F6E6E"/>
          <w:sz w:val="22"/>
        </w:rPr>
        <w:t xml:space="preserve">A.  </w:t>
      </w:r>
      <w:r>
        <w:rPr>
          <w:color w:val="0F172A"/>
          <w:sz w:val="22"/>
        </w:rPr>
        <w:t>MRI</w:t>
      </w:r>
    </w:p>
    <w:p>
      <w:pPr>
        <w:spacing w:after="60"/>
        <w:ind w:left="576"/>
      </w:pPr>
      <w:r>
        <w:rPr>
          <w:color w:val="0F172A"/>
          <w:sz w:val="24"/>
        </w:rPr>
        <w:t xml:space="preserve">☐  </w:t>
      </w:r>
      <w:r>
        <w:rPr>
          <w:b/>
          <w:color w:val="0F6E6E"/>
          <w:sz w:val="22"/>
        </w:rPr>
        <w:t xml:space="preserve">B.  </w:t>
      </w:r>
      <w:r>
        <w:rPr>
          <w:color w:val="0F172A"/>
          <w:sz w:val="22"/>
        </w:rPr>
        <w:t>CT scan</w:t>
      </w:r>
    </w:p>
    <w:p>
      <w:pPr>
        <w:spacing w:after="60"/>
        <w:ind w:left="576"/>
      </w:pPr>
      <w:r>
        <w:rPr>
          <w:color w:val="0F172A"/>
          <w:sz w:val="24"/>
        </w:rPr>
        <w:t xml:space="preserve">☐  </w:t>
      </w:r>
      <w:r>
        <w:rPr>
          <w:b/>
          <w:color w:val="0F6E6E"/>
          <w:sz w:val="22"/>
        </w:rPr>
        <w:t xml:space="preserve">C.  </w:t>
      </w:r>
      <w:r>
        <w:rPr>
          <w:color w:val="0F172A"/>
          <w:sz w:val="22"/>
        </w:rPr>
        <w:t>DEXA (DXA) scan</w:t>
      </w:r>
    </w:p>
    <w:p>
      <w:pPr>
        <w:spacing w:after="60"/>
        <w:ind w:left="576"/>
      </w:pPr>
      <w:r>
        <w:rPr>
          <w:color w:val="0F172A"/>
          <w:sz w:val="24"/>
        </w:rPr>
        <w:t xml:space="preserve">☐  </w:t>
      </w:r>
      <w:r>
        <w:rPr>
          <w:b/>
          <w:color w:val="0F6E6E"/>
          <w:sz w:val="22"/>
        </w:rPr>
        <w:t xml:space="preserve">D.  </w:t>
      </w:r>
      <w:r>
        <w:rPr>
          <w:color w:val="0F172A"/>
          <w:sz w:val="22"/>
        </w:rPr>
        <w:t>Ultrasound</w:t>
      </w:r>
    </w:p>
    <w:p>
      <w:pPr>
        <w:spacing w:before="240" w:after="120"/>
      </w:pPr>
      <w:r>
        <w:rPr>
          <w:b/>
          <w:color w:val="0F6E6E"/>
          <w:sz w:val="24"/>
        </w:rPr>
        <w:t xml:space="preserve">10.  </w:t>
      </w:r>
      <w:r>
        <w:rPr>
          <w:b/>
          <w:color w:val="0F172A"/>
          <w:sz w:val="22"/>
        </w:rPr>
        <w:t>Which of the following medications, if documented in the chart, most commonly suggests the patient has Heart Failure (I50)?</w:t>
      </w:r>
    </w:p>
    <w:p>
      <w:pPr>
        <w:spacing w:after="60"/>
        <w:ind w:left="576"/>
      </w:pPr>
      <w:r>
        <w:rPr>
          <w:color w:val="0F172A"/>
          <w:sz w:val="24"/>
        </w:rPr>
        <w:t xml:space="preserve">☐  </w:t>
      </w:r>
      <w:r>
        <w:rPr>
          <w:b/>
          <w:color w:val="0F6E6E"/>
          <w:sz w:val="22"/>
        </w:rPr>
        <w:t xml:space="preserve">A.  </w:t>
      </w:r>
      <w:r>
        <w:rPr>
          <w:color w:val="0F172A"/>
          <w:sz w:val="22"/>
        </w:rPr>
        <w:t>Metformin</w:t>
      </w:r>
    </w:p>
    <w:p>
      <w:pPr>
        <w:spacing w:after="60"/>
        <w:ind w:left="576"/>
      </w:pPr>
      <w:r>
        <w:rPr>
          <w:color w:val="0F172A"/>
          <w:sz w:val="24"/>
        </w:rPr>
        <w:t xml:space="preserve">☐  </w:t>
      </w:r>
      <w:r>
        <w:rPr>
          <w:b/>
          <w:color w:val="0F6E6E"/>
          <w:sz w:val="22"/>
        </w:rPr>
        <w:t xml:space="preserve">B.  </w:t>
      </w:r>
      <w:r>
        <w:rPr>
          <w:color w:val="0F172A"/>
          <w:sz w:val="22"/>
        </w:rPr>
        <w:t>Furosemide (Lasix)</w:t>
      </w:r>
    </w:p>
    <w:p>
      <w:pPr>
        <w:spacing w:after="60"/>
        <w:ind w:left="576"/>
      </w:pPr>
      <w:r>
        <w:rPr>
          <w:color w:val="0F172A"/>
          <w:sz w:val="24"/>
        </w:rPr>
        <w:t xml:space="preserve">☐  </w:t>
      </w:r>
      <w:r>
        <w:rPr>
          <w:b/>
          <w:color w:val="0F6E6E"/>
          <w:sz w:val="22"/>
        </w:rPr>
        <w:t xml:space="preserve">C.  </w:t>
      </w:r>
      <w:r>
        <w:rPr>
          <w:color w:val="0F172A"/>
          <w:sz w:val="22"/>
        </w:rPr>
        <w:t>Levothyroxine</w:t>
      </w:r>
    </w:p>
    <w:p>
      <w:pPr>
        <w:spacing w:after="60"/>
        <w:ind w:left="576"/>
      </w:pPr>
      <w:r>
        <w:rPr>
          <w:color w:val="0F172A"/>
          <w:sz w:val="24"/>
        </w:rPr>
        <w:t xml:space="preserve">☐  </w:t>
      </w:r>
      <w:r>
        <w:rPr>
          <w:b/>
          <w:color w:val="0F6E6E"/>
          <w:sz w:val="22"/>
        </w:rPr>
        <w:t xml:space="preserve">D.  </w:t>
      </w:r>
      <w:r>
        <w:rPr>
          <w:color w:val="0F172A"/>
          <w:sz w:val="22"/>
        </w:rPr>
        <w:t>Omeprazole</w:t>
      </w:r>
    </w:p>
    <w:p>
      <w:pPr>
        <w:spacing w:before="400"/>
      </w:pPr>
      <w:r>
        <w:rPr>
          <w:i/>
          <w:color w:val="555555"/>
        </w:rPr>
        <w:t>End of quiz · return to your grader · your grader will review the correct answers with you.</w:t>
      </w:r>
    </w:p>
    <w:p>
      <w:r>
        <w:br w:type="page"/>
      </w:r>
    </w:p>
    <w:p>
      <w:pPr>
        <w:spacing w:after="80"/>
      </w:pPr>
      <w:r>
        <w:rPr>
          <w:b/>
          <w:color w:val="0F172A"/>
          <w:sz w:val="44"/>
        </w:rPr>
        <w:t>Answer Key &amp; Scoring — GRADER USE ONLY</w:t>
      </w:r>
    </w:p>
    <w:p>
      <w:pPr>
        <w:spacing w:after="240"/>
      </w:pPr>
      <w:r>
        <w:rPr>
          <w:i/>
          <w:color w:val="555555"/>
          <w:sz w:val="22"/>
        </w:rPr>
        <w:t>Do not distribute this page with the blank quiz</w:t>
      </w:r>
    </w:p>
    <w:p>
      <w:pPr>
        <w:spacing w:before="280" w:after="120"/>
      </w:pPr>
      <w:r>
        <w:rPr>
          <w:b/>
          <w:color w:val="0F6E6E"/>
          <w:sz w:val="28"/>
        </w:rPr>
        <w:t>Answer key</w:t>
      </w:r>
    </w:p>
    <w:tbl>
      <w:tblPr>
        <w:tblW w:type="auto" w:w="0"/>
        <w:tblLayout w:type="fixed"/>
        <w:tblLook w:firstColumn="1" w:firstRow="1" w:lastColumn="0" w:lastRow="0" w:noHBand="0" w:noVBand="1" w:val="04A0"/>
      </w:tblPr>
      <w:tblGrid>
        <w:gridCol w:w="3324"/>
        <w:gridCol w:w="3324"/>
        <w:gridCol w:w="3324"/>
      </w:tblGrid>
      <w:tr>
        <w:tc>
          <w:tcPr>
            <w:tcW w:type="dxa" w:w="576"/>
            <w:shd w:fill="0F6E6E"/>
          </w:tcPr>
          <w:p>
            <w:r>
              <w:rPr>
                <w:b/>
                <w:color w:val="FFFFFF"/>
                <w:sz w:val="21"/>
              </w:rPr>
              <w:t>#</w:t>
            </w:r>
          </w:p>
        </w:tc>
        <w:tc>
          <w:tcPr>
            <w:tcW w:type="dxa" w:w="2592"/>
            <w:shd w:fill="0F6E6E"/>
          </w:tcPr>
          <w:p>
            <w:r>
              <w:rPr>
                <w:b/>
                <w:color w:val="FFFFFF"/>
                <w:sz w:val="21"/>
              </w:rPr>
              <w:t>Correct answer</w:t>
            </w:r>
          </w:p>
        </w:tc>
        <w:tc>
          <w:tcPr>
            <w:tcW w:type="dxa" w:w="6048"/>
            <w:shd w:fill="0F6E6E"/>
          </w:tcPr>
          <w:p>
            <w:r>
              <w:rPr>
                <w:b/>
                <w:color w:val="FFFFFF"/>
                <w:sz w:val="21"/>
              </w:rPr>
              <w:t>Why it matters for the biller</w:t>
            </w:r>
          </w:p>
        </w:tc>
      </w:tr>
      <w:tr>
        <w:tc>
          <w:tcPr>
            <w:tcW w:type="dxa" w:w="576"/>
          </w:tcPr>
          <w:p>
            <w:r>
              <w:rPr>
                <w:sz w:val="21"/>
              </w:rPr>
              <w:t>1</w:t>
            </w:r>
          </w:p>
        </w:tc>
        <w:tc>
          <w:tcPr>
            <w:tcW w:type="dxa" w:w="2592"/>
          </w:tcPr>
          <w:p>
            <w:r>
              <w:rPr>
                <w:sz w:val="21"/>
              </w:rPr>
              <w:t>C — Pancreas</w:t>
            </w:r>
          </w:p>
        </w:tc>
        <w:tc>
          <w:tcPr>
            <w:tcW w:type="dxa" w:w="6048"/>
          </w:tcPr>
          <w:p>
            <w:r>
              <w:rPr>
                <w:sz w:val="21"/>
              </w:rPr>
              <w:t>Diabetes is an endocrine/pancreas disease. Understanding this helps recognize the significance of insulin use (Z79.4) and pump codes (Z96.41).</w:t>
            </w:r>
          </w:p>
        </w:tc>
      </w:tr>
      <w:tr>
        <w:tc>
          <w:tcPr>
            <w:tcW w:type="dxa" w:w="576"/>
            <w:shd w:fill="F1F8F7"/>
          </w:tcPr>
          <w:p>
            <w:r>
              <w:rPr>
                <w:sz w:val="21"/>
              </w:rPr>
              <w:t>2</w:t>
            </w:r>
          </w:p>
        </w:tc>
        <w:tc>
          <w:tcPr>
            <w:tcW w:type="dxa" w:w="2592"/>
            <w:shd w:fill="F1F8F7"/>
          </w:tcPr>
          <w:p>
            <w:r>
              <w:rPr>
                <w:sz w:val="21"/>
              </w:rPr>
              <w:t>B — Cardiovascular</w:t>
            </w:r>
          </w:p>
        </w:tc>
        <w:tc>
          <w:tcPr>
            <w:tcW w:type="dxa" w:w="6048"/>
            <w:shd w:fill="F1F8F7"/>
          </w:tcPr>
          <w:p>
            <w:r>
              <w:rPr>
                <w:sz w:val="21"/>
              </w:rPr>
              <w:t>HTN codes to a cardiovascular condition. This helps understand why HTN combined with heart or kidney disease requires I11.- / I12.- / I13.-, not just I10.</w:t>
            </w:r>
          </w:p>
        </w:tc>
      </w:tr>
      <w:tr>
        <w:tc>
          <w:tcPr>
            <w:tcW w:type="dxa" w:w="576"/>
          </w:tcPr>
          <w:p>
            <w:r>
              <w:rPr>
                <w:sz w:val="21"/>
              </w:rPr>
              <w:t>3</w:t>
            </w:r>
          </w:p>
        </w:tc>
        <w:tc>
          <w:tcPr>
            <w:tcW w:type="dxa" w:w="2592"/>
          </w:tcPr>
          <w:p>
            <w:r>
              <w:rPr>
                <w:sz w:val="21"/>
              </w:rPr>
              <w:t>C — eGFR</w:t>
            </w:r>
          </w:p>
        </w:tc>
        <w:tc>
          <w:tcPr>
            <w:tcW w:type="dxa" w:w="6048"/>
          </w:tcPr>
          <w:p>
            <w:r>
              <w:rPr>
                <w:sz w:val="21"/>
              </w:rPr>
              <w:t>Every CKD chart must have eGFR documented to code the stage correctly (N18.30 / N18.31 / N18.32 / N18.4 / N18.5).</w:t>
            </w:r>
          </w:p>
        </w:tc>
      </w:tr>
      <w:tr>
        <w:tc>
          <w:tcPr>
            <w:tcW w:type="dxa" w:w="576"/>
            <w:shd w:fill="F1F8F7"/>
          </w:tcPr>
          <w:p>
            <w:r>
              <w:rPr>
                <w:sz w:val="21"/>
              </w:rPr>
              <w:t>4</w:t>
            </w:r>
          </w:p>
        </w:tc>
        <w:tc>
          <w:tcPr>
            <w:tcW w:type="dxa" w:w="2592"/>
            <w:shd w:fill="F1F8F7"/>
          </w:tcPr>
          <w:p>
            <w:r>
              <w:rPr>
                <w:sz w:val="21"/>
              </w:rPr>
              <w:t>C — Thyroid gland</w:t>
            </w:r>
          </w:p>
        </w:tc>
        <w:tc>
          <w:tcPr>
            <w:tcW w:type="dxa" w:w="6048"/>
            <w:shd w:fill="F1F8F7"/>
          </w:tcPr>
          <w:p>
            <w:r>
              <w:rPr>
                <w:sz w:val="21"/>
              </w:rPr>
              <w:t>Hypothyroidism means the thyroid is underactive. Knowing this helps recognize the significance of TSH labs and levothyroxine (Synthroid) as a marker of the diagnosis.</w:t>
            </w:r>
          </w:p>
        </w:tc>
      </w:tr>
      <w:tr>
        <w:tc>
          <w:tcPr>
            <w:tcW w:type="dxa" w:w="576"/>
          </w:tcPr>
          <w:p>
            <w:r>
              <w:rPr>
                <w:sz w:val="21"/>
              </w:rPr>
              <w:t>5</w:t>
            </w:r>
          </w:p>
        </w:tc>
        <w:tc>
          <w:tcPr>
            <w:tcW w:type="dxa" w:w="2592"/>
          </w:tcPr>
          <w:p>
            <w:r>
              <w:rPr>
                <w:sz w:val="21"/>
              </w:rPr>
              <w:t>C — HbA1c</w:t>
            </w:r>
          </w:p>
        </w:tc>
        <w:tc>
          <w:tcPr>
            <w:tcW w:type="dxa" w:w="6048"/>
          </w:tcPr>
          <w:p>
            <w:r>
              <w:rPr>
                <w:sz w:val="21"/>
              </w:rPr>
              <w:t>HbA1c reflects average glucose over ~3 months and is the standard clinical marker of diabetes control. It drives CPT II codes 3044F / 3046F / 3051F / 3052F for quality reporting.</w:t>
            </w:r>
          </w:p>
        </w:tc>
      </w:tr>
      <w:tr>
        <w:tc>
          <w:tcPr>
            <w:tcW w:type="dxa" w:w="576"/>
            <w:shd w:fill="F1F8F7"/>
          </w:tcPr>
          <w:p>
            <w:r>
              <w:rPr>
                <w:sz w:val="21"/>
              </w:rPr>
              <w:t>6</w:t>
            </w:r>
          </w:p>
        </w:tc>
        <w:tc>
          <w:tcPr>
            <w:tcW w:type="dxa" w:w="2592"/>
            <w:shd w:fill="F1F8F7"/>
          </w:tcPr>
          <w:p>
            <w:r>
              <w:rPr>
                <w:sz w:val="21"/>
              </w:rPr>
              <w:t>B — Z68.x</w:t>
            </w:r>
          </w:p>
        </w:tc>
        <w:tc>
          <w:tcPr>
            <w:tcW w:type="dxa" w:w="6048"/>
            <w:shd w:fill="F1F8F7"/>
          </w:tcPr>
          <w:p>
            <w:r>
              <w:rPr>
                <w:sz w:val="21"/>
              </w:rPr>
              <w:t>The most commonly missed CDI finding at preventive care centers. Every E66.- code MUST be paired with a Z68.x BMI category code.</w:t>
            </w:r>
          </w:p>
        </w:tc>
      </w:tr>
      <w:tr>
        <w:tc>
          <w:tcPr>
            <w:tcW w:type="dxa" w:w="576"/>
          </w:tcPr>
          <w:p>
            <w:r>
              <w:rPr>
                <w:sz w:val="21"/>
              </w:rPr>
              <w:t>7</w:t>
            </w:r>
          </w:p>
        </w:tc>
        <w:tc>
          <w:tcPr>
            <w:tcW w:type="dxa" w:w="2592"/>
          </w:tcPr>
          <w:p>
            <w:r>
              <w:rPr>
                <w:sz w:val="21"/>
              </w:rPr>
              <w:t>B — Severity level + status</w:t>
            </w:r>
          </w:p>
        </w:tc>
        <w:tc>
          <w:tcPr>
            <w:tcW w:type="dxa" w:w="6048"/>
          </w:tcPr>
          <w:p>
            <w:r>
              <w:rPr>
                <w:sz w:val="21"/>
              </w:rPr>
              <w:t>Asthma codes (J45.20-J45.998) are stratified by BOTH severity (intermittent, mild persistent, moderate persistent, severe persistent) AND status (uncomplicated, with acute exacerbation, with status asthmaticus). Without both in the note, the biller has to query the provider or default to a less specific code — which loses revenue and quality reporting.</w:t>
            </w:r>
          </w:p>
        </w:tc>
      </w:tr>
      <w:tr>
        <w:tc>
          <w:tcPr>
            <w:tcW w:type="dxa" w:w="576"/>
            <w:shd w:fill="F1F8F7"/>
          </w:tcPr>
          <w:p>
            <w:r>
              <w:rPr>
                <w:sz w:val="21"/>
              </w:rPr>
              <w:t>8</w:t>
            </w:r>
          </w:p>
        </w:tc>
        <w:tc>
          <w:tcPr>
            <w:tcW w:type="dxa" w:w="2592"/>
            <w:shd w:fill="F1F8F7"/>
          </w:tcPr>
          <w:p>
            <w:r>
              <w:rPr>
                <w:sz w:val="21"/>
              </w:rPr>
              <w:t>B — PHQ-9</w:t>
            </w:r>
          </w:p>
        </w:tc>
        <w:tc>
          <w:tcPr>
            <w:tcW w:type="dxa" w:w="6048"/>
            <w:shd w:fill="F1F8F7"/>
          </w:tcPr>
          <w:p>
            <w:r>
              <w:rPr>
                <w:sz w:val="21"/>
              </w:rPr>
              <w:t>PHQ-9 is the standard depression severity screen and drives CPT II 3725F / G8431. GAD-7 (choice A) is for anxiety. Knowing the difference prevents miscoding the screening measure.</w:t>
            </w:r>
          </w:p>
        </w:tc>
      </w:tr>
      <w:tr>
        <w:tc>
          <w:tcPr>
            <w:tcW w:type="dxa" w:w="576"/>
          </w:tcPr>
          <w:p>
            <w:r>
              <w:rPr>
                <w:sz w:val="21"/>
              </w:rPr>
              <w:t>9</w:t>
            </w:r>
          </w:p>
        </w:tc>
        <w:tc>
          <w:tcPr>
            <w:tcW w:type="dxa" w:w="2592"/>
          </w:tcPr>
          <w:p>
            <w:r>
              <w:rPr>
                <w:sz w:val="21"/>
              </w:rPr>
              <w:t>C — DEXA (DXA) scan</w:t>
            </w:r>
          </w:p>
        </w:tc>
        <w:tc>
          <w:tcPr>
            <w:tcW w:type="dxa" w:w="6048"/>
          </w:tcPr>
          <w:p>
            <w:r>
              <w:rPr>
                <w:sz w:val="21"/>
              </w:rPr>
              <w:t>DEXA is the gold-standard bone density test for osteoporosis. Recognizing it in the note lets the biller capture CPT II 3095F (DXA completed) or 3096F (DXA ordered).</w:t>
            </w:r>
          </w:p>
        </w:tc>
      </w:tr>
      <w:tr>
        <w:tc>
          <w:tcPr>
            <w:tcW w:type="dxa" w:w="576"/>
            <w:shd w:fill="F1F8F7"/>
          </w:tcPr>
          <w:p>
            <w:r>
              <w:rPr>
                <w:sz w:val="21"/>
              </w:rPr>
              <w:t>10</w:t>
            </w:r>
          </w:p>
        </w:tc>
        <w:tc>
          <w:tcPr>
            <w:tcW w:type="dxa" w:w="2592"/>
            <w:shd w:fill="F1F8F7"/>
          </w:tcPr>
          <w:p>
            <w:r>
              <w:rPr>
                <w:sz w:val="21"/>
              </w:rPr>
              <w:t>B — Furosemide (Lasix)</w:t>
            </w:r>
          </w:p>
        </w:tc>
        <w:tc>
          <w:tcPr>
            <w:tcW w:type="dxa" w:w="6048"/>
            <w:shd w:fill="F1F8F7"/>
          </w:tcPr>
          <w:p>
            <w:r>
              <w:rPr>
                <w:sz w:val="21"/>
              </w:rPr>
              <w:t>Furosemide is a loop diuretic strongly associated with Heart Failure (also used for other edema causes, but the strongest signal in HPM's population). Recognizing HF medications in the chart is a shortcut to catch a diagnosis that might otherwise be under-coded. Metformin = diabetes, Levothyroxine = hypothyroidism, Omeprazole = GERD.</w:t>
            </w:r>
          </w:p>
        </w:tc>
      </w:tr>
    </w:tbl>
    <w:p>
      <w:pPr>
        <w:spacing w:before="280" w:after="120"/>
      </w:pPr>
      <w:r>
        <w:rPr>
          <w:b/>
          <w:color w:val="0F6E6E"/>
          <w:sz w:val="28"/>
        </w:rPr>
        <w:t>Scoring guide</w:t>
      </w:r>
    </w:p>
    <w:tbl>
      <w:tblPr>
        <w:tblW w:type="auto" w:w="0"/>
        <w:tblLayout w:type="fixed"/>
        <w:tblLook w:firstColumn="1" w:firstRow="1" w:lastColumn="0" w:lastRow="0" w:noHBand="0" w:noVBand="1" w:val="04A0"/>
      </w:tblPr>
      <w:tblGrid>
        <w:gridCol w:w="3324"/>
        <w:gridCol w:w="3324"/>
        <w:gridCol w:w="3324"/>
      </w:tblGrid>
      <w:tr>
        <w:tc>
          <w:tcPr>
            <w:tcW w:type="dxa" w:w="1440"/>
            <w:shd w:fill="0F6E6E"/>
          </w:tcPr>
          <w:p>
            <w:r>
              <w:rPr>
                <w:b/>
                <w:color w:val="FFFFFF"/>
                <w:sz w:val="21"/>
              </w:rPr>
              <w:t>Score</w:t>
            </w:r>
          </w:p>
        </w:tc>
        <w:tc>
          <w:tcPr>
            <w:tcW w:type="dxa" w:w="3600"/>
            <w:shd w:fill="0F6E6E"/>
          </w:tcPr>
          <w:p>
            <w:r>
              <w:rPr>
                <w:b/>
                <w:color w:val="FFFFFF"/>
                <w:sz w:val="21"/>
              </w:rPr>
              <w:t>Interpretation</w:t>
            </w:r>
          </w:p>
        </w:tc>
        <w:tc>
          <w:tcPr>
            <w:tcW w:type="dxa" w:w="4176"/>
            <w:shd w:fill="0F6E6E"/>
          </w:tcPr>
          <w:p>
            <w:r>
              <w:rPr>
                <w:b/>
                <w:color w:val="FFFFFF"/>
                <w:sz w:val="21"/>
              </w:rPr>
              <w:t>Recommended action</w:t>
            </w:r>
          </w:p>
        </w:tc>
      </w:tr>
      <w:tr>
        <w:tc>
          <w:tcPr>
            <w:tcW w:type="dxa" w:w="1440"/>
          </w:tcPr>
          <w:p>
            <w:r>
              <w:rPr>
                <w:sz w:val="21"/>
              </w:rPr>
              <w:t>10 / 10</w:t>
            </w:r>
          </w:p>
        </w:tc>
        <w:tc>
          <w:tcPr>
            <w:tcW w:type="dxa" w:w="3600"/>
          </w:tcPr>
          <w:p>
            <w:r>
              <w:rPr>
                <w:sz w:val="21"/>
              </w:rPr>
              <w:t>Excellent — strong foundational knowledge</w:t>
            </w:r>
          </w:p>
        </w:tc>
        <w:tc>
          <w:tcPr>
            <w:tcW w:type="dxa" w:w="4176"/>
          </w:tcPr>
          <w:p>
            <w:r>
              <w:rPr>
                <w:sz w:val="21"/>
              </w:rPr>
              <w:t>Move to advanced topics (combination codes, complications, MEAT criteria)</w:t>
            </w:r>
          </w:p>
        </w:tc>
      </w:tr>
      <w:tr>
        <w:tc>
          <w:tcPr>
            <w:tcW w:type="dxa" w:w="1440"/>
            <w:shd w:fill="F1F8F7"/>
          </w:tcPr>
          <w:p>
            <w:r>
              <w:rPr>
                <w:sz w:val="21"/>
              </w:rPr>
              <w:t>8 – 9 / 10</w:t>
            </w:r>
          </w:p>
        </w:tc>
        <w:tc>
          <w:tcPr>
            <w:tcW w:type="dxa" w:w="3600"/>
            <w:shd w:fill="F1F8F7"/>
          </w:tcPr>
          <w:p>
            <w:r>
              <w:rPr>
                <w:sz w:val="21"/>
              </w:rPr>
              <w:t>Good — solid grasp, minor gap</w:t>
            </w:r>
          </w:p>
        </w:tc>
        <w:tc>
          <w:tcPr>
            <w:tcW w:type="dxa" w:w="4176"/>
            <w:shd w:fill="F1F8F7"/>
          </w:tcPr>
          <w:p>
            <w:r>
              <w:rPr>
                <w:sz w:val="21"/>
              </w:rPr>
              <w:t>Review the missed topic(s) + related codes</w:t>
            </w:r>
          </w:p>
        </w:tc>
      </w:tr>
      <w:tr>
        <w:tc>
          <w:tcPr>
            <w:tcW w:type="dxa" w:w="1440"/>
          </w:tcPr>
          <w:p>
            <w:r>
              <w:rPr>
                <w:sz w:val="21"/>
              </w:rPr>
              <w:t>6 – 7 / 10</w:t>
            </w:r>
          </w:p>
        </w:tc>
        <w:tc>
          <w:tcPr>
            <w:tcW w:type="dxa" w:w="3600"/>
          </w:tcPr>
          <w:p>
            <w:r>
              <w:rPr>
                <w:sz w:val="21"/>
              </w:rPr>
              <w:t>Needs review — foundational gaps present</w:t>
            </w:r>
          </w:p>
        </w:tc>
        <w:tc>
          <w:tcPr>
            <w:tcW w:type="dxa" w:w="4176"/>
          </w:tcPr>
          <w:p>
            <w:r>
              <w:rPr>
                <w:sz w:val="21"/>
              </w:rPr>
              <w:t>Assign the Billing Team Training Manual sections matching the misses</w:t>
            </w:r>
          </w:p>
        </w:tc>
      </w:tr>
      <w:tr>
        <w:tc>
          <w:tcPr>
            <w:tcW w:type="dxa" w:w="1440"/>
            <w:shd w:fill="F1F8F7"/>
          </w:tcPr>
          <w:p>
            <w:r>
              <w:rPr>
                <w:sz w:val="21"/>
              </w:rPr>
              <w:t>5 / 10 or below</w:t>
            </w:r>
          </w:p>
        </w:tc>
        <w:tc>
          <w:tcPr>
            <w:tcW w:type="dxa" w:w="3600"/>
            <w:shd w:fill="F1F8F7"/>
          </w:tcPr>
          <w:p>
            <w:r>
              <w:rPr>
                <w:sz w:val="21"/>
              </w:rPr>
              <w:t>Requires structured education</w:t>
            </w:r>
          </w:p>
        </w:tc>
        <w:tc>
          <w:tcPr>
            <w:tcW w:type="dxa" w:w="4176"/>
            <w:shd w:fill="F1F8F7"/>
          </w:tcPr>
          <w:p>
            <w:r>
              <w:rPr>
                <w:sz w:val="21"/>
              </w:rPr>
              <w:t>1-hour group review of the full Anatomy &amp; Physiology section of the manual before next audit cycle</w:t>
            </w:r>
          </w:p>
        </w:tc>
      </w:tr>
    </w:tbl>
    <w:p>
      <w:pPr>
        <w:spacing w:before="280" w:after="120"/>
      </w:pPr>
      <w:r>
        <w:rPr>
          <w:b/>
          <w:color w:val="0F6E6E"/>
          <w:sz w:val="28"/>
        </w:rPr>
        <w:t>Grader notes</w:t>
      </w:r>
    </w:p>
    <w:p>
      <w:r>
        <w:rPr>
          <w:sz w:val="22"/>
        </w:rPr>
        <w:t>• Grade privately — do not rank scores publicly.</w:t>
      </w:r>
    </w:p>
    <w:p>
      <w:r>
        <w:rPr>
          <w:sz w:val="22"/>
        </w:rPr>
        <w:t>• Debrief individually after grading using the Billing Team Training Manual.</w:t>
      </w:r>
    </w:p>
    <w:p>
      <w:r>
        <w:rPr>
          <w:sz w:val="22"/>
        </w:rPr>
        <w:t>• Retake an equivalent quiz in 30-60 days after training to measure improvement.</w:t>
      </w:r>
    </w:p>
    <w:p>
      <w:r>
        <w:rPr>
          <w:sz w:val="22"/>
        </w:rPr>
        <w:t>• Track scores in the KPI Tracker under 'Education / Training' metrics.</w:t>
      </w:r>
    </w:p>
    <w:p>
      <w:pPr>
        <w:spacing w:before="400"/>
      </w:pPr>
      <w:r>
        <w:rPr>
          <w:i/>
          <w:color w:val="555555"/>
        </w:rPr>
        <w:t>End of grader section.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