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52"/>
        </w:rPr>
        <w:t>Clinical Documentation Audit</w:t>
      </w:r>
    </w:p>
    <w:p>
      <w:pPr>
        <w:spacing w:after="280"/>
      </w:pPr>
      <w:r>
        <w:rPr>
          <w:i/>
          <w:color w:val="555555"/>
          <w:sz w:val="22"/>
        </w:rPr>
        <w:t>Overview  ·  What the audit is based on and its key points</w:t>
      </w:r>
    </w:p>
    <w:tbl>
      <w:tblPr>
        <w:tblW w:type="auto" w:w="0"/>
        <w:tblLayout w:type="fixed"/>
        <w:tblLook w:firstColumn="1" w:firstRow="1" w:lastColumn="0" w:lastRow="0" w:noHBand="0" w:noVBand="1" w:val="04A0"/>
      </w:tblPr>
      <w:tblGrid>
        <w:gridCol w:w="4873"/>
        <w:gridCol w:w="4873"/>
      </w:tblGrid>
      <w:tr>
        <w:tc>
          <w:tcPr>
            <w:tcW w:type="dxa" w:w="2304"/>
            <w:shd w:fill="E6F4F1"/>
            <w:vAlign w:val="center"/>
          </w:tcPr>
          <w:p>
            <w:r>
              <w:rPr>
                <w:b/>
              </w:rPr>
              <w:t>Prepared for</w:t>
            </w:r>
          </w:p>
        </w:tc>
        <w:tc>
          <w:tcPr>
            <w:tcW w:type="dxa" w:w="6336"/>
            <w:vAlign w:val="center"/>
          </w:tcPr>
          <w:p>
            <w:r>
              <w:t>Leadership · Compliance Committee · Providers · Billing &amp; Coding</w:t>
            </w:r>
          </w:p>
        </w:tc>
      </w:tr>
      <w:tr>
        <w:tc>
          <w:tcPr>
            <w:tcW w:type="dxa" w:w="2304"/>
            <w:shd w:fill="E6F4F1"/>
            <w:vAlign w:val="center"/>
          </w:tcPr>
          <w:p>
            <w:r>
              <w:rPr>
                <w:b/>
              </w:rPr>
              <w:t>Purpose</w:t>
            </w:r>
          </w:p>
        </w:tc>
        <w:tc>
          <w:tcPr>
            <w:tcW w:type="dxa" w:w="6336"/>
            <w:vAlign w:val="center"/>
          </w:tcPr>
          <w:p>
            <w:r>
              <w:t>Explain the foundation of the audit program and what it measures</w:t>
            </w:r>
          </w:p>
        </w:tc>
      </w:tr>
      <w:tr>
        <w:tc>
          <w:tcPr>
            <w:tcW w:type="dxa" w:w="2304"/>
            <w:shd w:fill="E6F4F1"/>
            <w:vAlign w:val="center"/>
          </w:tcPr>
          <w:p>
            <w:r>
              <w:rPr>
                <w:b/>
              </w:rPr>
              <w:t>Scope</w:t>
            </w:r>
          </w:p>
        </w:tc>
        <w:tc>
          <w:tcPr>
            <w:tcW w:type="dxa" w:w="6336"/>
            <w:vAlign w:val="center"/>
          </w:tcPr>
          <w:p>
            <w:r>
              <w:t>Family Medicine · Internal Medicine · General Medicine</w:t>
            </w:r>
          </w:p>
        </w:tc>
      </w:tr>
      <w:tr>
        <w:tc>
          <w:tcPr>
            <w:tcW w:type="dxa" w:w="2304"/>
            <w:shd w:fill="E6F4F1"/>
            <w:vAlign w:val="center"/>
          </w:tcPr>
          <w:p>
            <w:r>
              <w:rPr>
                <w:b/>
              </w:rPr>
              <w:t>Cadence</w:t>
            </w:r>
          </w:p>
        </w:tc>
        <w:tc>
          <w:tcPr>
            <w:tcW w:type="dxa" w:w="6336"/>
            <w:vAlign w:val="center"/>
          </w:tcPr>
          <w:p>
            <w:r>
              <w:t>Monthly chart audits · Quarterly reporting</w:t>
            </w:r>
          </w:p>
        </w:tc>
      </w:tr>
    </w:tbl>
    <w:p/>
    <w:p>
      <w:pPr>
        <w:spacing w:before="280" w:after="120"/>
      </w:pPr>
      <w:r>
        <w:rPr>
          <w:b/>
          <w:color w:val="0F6E6E"/>
          <w:sz w:val="32"/>
        </w:rPr>
        <w:t>1. What the audit is</w:t>
      </w:r>
    </w:p>
    <w:p>
      <w:r>
        <w:t>The Clinical Documentation Audit is a monthly, structured review of provider documentation to verify that what is written in the clinical note accurately supports what is billed, what is reported for quality, and what represents the patient's true clinical picture.</w:t>
      </w:r>
    </w:p>
    <w:p>
      <w:r>
        <w:t>It is a documentation audit — not a coding audit and not a chart audit for medical necessity. The goal is to make sure the note is complete, specific, and defensible, so that the billing team can code accurately, the risk-adjustment score reflects reality, and quality-measure reporting is captured cleanly.</w:t>
      </w:r>
    </w:p>
    <w:p>
      <w:pPr>
        <w:spacing w:before="280" w:after="120"/>
      </w:pPr>
      <w:r>
        <w:rPr>
          <w:b/>
          <w:color w:val="0F6E6E"/>
          <w:sz w:val="32"/>
        </w:rPr>
        <w:t>2. What the audit is based on</w:t>
      </w:r>
    </w:p>
    <w:p>
      <w:r>
        <w:t>The audit program is anchored in the same guidelines that CMS, HRSA, and commercial payers use when they evaluate documentation. Nothing in the audit is invented — every criterion traces back to a published standard.</w:t>
      </w:r>
    </w:p>
    <w:tbl>
      <w:tblPr>
        <w:tblW w:type="auto" w:w="0"/>
        <w:tblLayout w:type="fixed"/>
        <w:tblLook w:firstColumn="1" w:firstRow="1" w:lastColumn="0" w:lastRow="0" w:noHBand="0" w:noVBand="1" w:val="04A0"/>
      </w:tblPr>
      <w:tblGrid>
        <w:gridCol w:w="4873"/>
        <w:gridCol w:w="4873"/>
      </w:tblGrid>
      <w:tr>
        <w:tc>
          <w:tcPr>
            <w:tcW w:type="dxa" w:w="3744"/>
            <w:shd w:fill="0F6E6E"/>
          </w:tcPr>
          <w:p>
            <w:r>
              <w:rPr>
                <w:b/>
                <w:color w:val="FFFFFF"/>
              </w:rPr>
              <w:t>Foundation</w:t>
            </w:r>
          </w:p>
        </w:tc>
        <w:tc>
          <w:tcPr>
            <w:tcW w:type="dxa" w:w="5184"/>
            <w:shd w:fill="0F6E6E"/>
          </w:tcPr>
          <w:p>
            <w:r>
              <w:rPr>
                <w:b/>
                <w:color w:val="FFFFFF"/>
              </w:rPr>
              <w:t>What it governs</w:t>
            </w:r>
          </w:p>
        </w:tc>
      </w:tr>
      <w:tr>
        <w:tc>
          <w:tcPr>
            <w:tcW w:type="dxa" w:w="3744"/>
          </w:tcPr>
          <w:p>
            <w:r>
              <w:t>ICD-10-CM Official Guidelines for Coding and Reporting</w:t>
            </w:r>
          </w:p>
        </w:tc>
        <w:tc>
          <w:tcPr>
            <w:tcW w:type="dxa" w:w="5184"/>
          </w:tcPr>
          <w:p>
            <w:r>
              <w:t>Diagnosis specificity, sequencing, combination codes, unspecified-code use.</w:t>
            </w:r>
          </w:p>
        </w:tc>
      </w:tr>
      <w:tr>
        <w:tc>
          <w:tcPr>
            <w:tcW w:type="dxa" w:w="3744"/>
            <w:shd w:fill="F1F8F7"/>
          </w:tcPr>
          <w:p>
            <w:r>
              <w:t>CMS Evaluation and Management (E/M) Documentation Guidelines</w:t>
            </w:r>
          </w:p>
        </w:tc>
        <w:tc>
          <w:tcPr>
            <w:tcW w:type="dxa" w:w="5184"/>
            <w:shd w:fill="F1F8F7"/>
          </w:tcPr>
          <w:p>
            <w:r>
              <w:t>What a clinical note must contain to support the level of service billed.</w:t>
            </w:r>
          </w:p>
        </w:tc>
      </w:tr>
      <w:tr>
        <w:tc>
          <w:tcPr>
            <w:tcW w:type="dxa" w:w="3744"/>
          </w:tcPr>
          <w:p>
            <w:r>
              <w:t>CMS-HCC Risk Adjustment Model (Medicare Advantage)</w:t>
            </w:r>
          </w:p>
        </w:tc>
        <w:tc>
          <w:tcPr>
            <w:tcW w:type="dxa" w:w="5184"/>
          </w:tcPr>
          <w:p>
            <w:r>
              <w:t>How chronic conditions must be re-documented annually to be captured.</w:t>
            </w:r>
          </w:p>
        </w:tc>
      </w:tr>
      <w:tr>
        <w:tc>
          <w:tcPr>
            <w:tcW w:type="dxa" w:w="3744"/>
            <w:shd w:fill="F1F8F7"/>
          </w:tcPr>
          <w:p>
            <w:r>
              <w:t>MEAT Documentation Criteria (industry standard for HCC)</w:t>
            </w:r>
          </w:p>
        </w:tc>
        <w:tc>
          <w:tcPr>
            <w:tcW w:type="dxa" w:w="5184"/>
            <w:shd w:fill="F1F8F7"/>
          </w:tcPr>
          <w:p>
            <w:r>
              <w:t>Every diagnosis must be Monitored, Evaluated, Assessed, and Treated in the note.</w:t>
            </w:r>
          </w:p>
        </w:tc>
      </w:tr>
      <w:tr>
        <w:tc>
          <w:tcPr>
            <w:tcW w:type="dxa" w:w="3744"/>
          </w:tcPr>
          <w:p>
            <w:r>
              <w:t>HEDIS / Star Ratings Technical Specifications</w:t>
            </w:r>
          </w:p>
        </w:tc>
        <w:tc>
          <w:tcPr>
            <w:tcW w:type="dxa" w:w="5184"/>
          </w:tcPr>
          <w:p>
            <w:r>
              <w:t>Which measures a provider is accountable for and what documentation supports them.</w:t>
            </w:r>
          </w:p>
        </w:tc>
      </w:tr>
      <w:tr>
        <w:tc>
          <w:tcPr>
            <w:tcW w:type="dxa" w:w="3744"/>
            <w:shd w:fill="F1F8F7"/>
          </w:tcPr>
          <w:p>
            <w:r>
              <w:t>HRSA / UDS Reporting Requirements (FQHCs)</w:t>
            </w:r>
          </w:p>
        </w:tc>
        <w:tc>
          <w:tcPr>
            <w:tcW w:type="dxa" w:w="5184"/>
            <w:shd w:fill="F1F8F7"/>
          </w:tcPr>
          <w:p>
            <w:r>
              <w:t>Preventive care documentation feeding the annual UDS report.</w:t>
            </w:r>
          </w:p>
        </w:tc>
      </w:tr>
      <w:tr>
        <w:tc>
          <w:tcPr>
            <w:tcW w:type="dxa" w:w="3744"/>
          </w:tcPr>
          <w:p>
            <w:r>
              <w:t>HIPAA / Privacy Rule</w:t>
            </w:r>
          </w:p>
        </w:tc>
        <w:tc>
          <w:tcPr>
            <w:tcW w:type="dxa" w:w="5184"/>
          </w:tcPr>
          <w:p>
            <w:r>
              <w:t>How PHI is handled during audit and reporting.</w:t>
            </w:r>
          </w:p>
        </w:tc>
      </w:tr>
      <w:tr>
        <w:tc>
          <w:tcPr>
            <w:tcW w:type="dxa" w:w="3744"/>
            <w:shd w:fill="F1F8F7"/>
          </w:tcPr>
          <w:p>
            <w:r>
              <w:t>OIG Compliance Program Guidance</w:t>
            </w:r>
          </w:p>
        </w:tc>
        <w:tc>
          <w:tcPr>
            <w:tcW w:type="dxa" w:w="5184"/>
            <w:shd w:fill="F1F8F7"/>
          </w:tcPr>
          <w:p>
            <w:r>
              <w:t>Requires an ongoing internal audit function as part of a compliance program.</w:t>
            </w:r>
          </w:p>
        </w:tc>
      </w:tr>
    </w:tbl>
    <w:p>
      <w:r>
        <w:t>Because the audit is grounded in these frameworks, findings are defensible in any external review — RADV, OIG, HRSA site visit, or payer chart audit.</w:t>
      </w:r>
    </w:p>
    <w:p>
      <w:pPr>
        <w:spacing w:before="280" w:after="120"/>
      </w:pPr>
      <w:r>
        <w:rPr>
          <w:b/>
          <w:color w:val="0F6E6E"/>
          <w:sz w:val="32"/>
        </w:rPr>
        <w:t>3. Key points — what the audit measures</w:t>
      </w:r>
    </w:p>
    <w:p>
      <w:r>
        <w:t>The audit scores every chart across five weighted categories. Together these cover the full documentation lifecycle: what is coded, how specifically it is coded, how it is structured, whether risk is captured, and whether quality gaps are closed.</w:t>
      </w:r>
    </w:p>
    <w:tbl>
      <w:tblPr>
        <w:tblW w:type="auto" w:w="0"/>
        <w:tblLayout w:type="fixed"/>
        <w:tblLook w:firstColumn="1" w:firstRow="1" w:lastColumn="0" w:lastRow="0" w:noHBand="0" w:noVBand="1" w:val="04A0"/>
      </w:tblPr>
      <w:tblGrid>
        <w:gridCol w:w="3249"/>
        <w:gridCol w:w="3249"/>
        <w:gridCol w:w="3249"/>
      </w:tblGrid>
      <w:tr>
        <w:tc>
          <w:tcPr>
            <w:tcW w:type="dxa" w:w="3888"/>
            <w:shd w:fill="0F6E6E"/>
          </w:tcPr>
          <w:p>
            <w:r>
              <w:rPr>
                <w:b/>
                <w:color w:val="FFFFFF"/>
              </w:rPr>
              <w:t>Category</w:t>
            </w:r>
          </w:p>
        </w:tc>
        <w:tc>
          <w:tcPr>
            <w:tcW w:type="dxa" w:w="1152"/>
            <w:shd w:fill="0F6E6E"/>
          </w:tcPr>
          <w:p>
            <w:r>
              <w:rPr>
                <w:b/>
                <w:color w:val="FFFFFF"/>
              </w:rPr>
              <w:t>Weight</w:t>
            </w:r>
          </w:p>
        </w:tc>
        <w:tc>
          <w:tcPr>
            <w:tcW w:type="dxa" w:w="4176"/>
            <w:shd w:fill="0F6E6E"/>
          </w:tcPr>
          <w:p>
            <w:r>
              <w:rPr>
                <w:b/>
                <w:color w:val="FFFFFF"/>
              </w:rPr>
              <w:t>Key question it answers</w:t>
            </w:r>
          </w:p>
        </w:tc>
      </w:tr>
      <w:tr>
        <w:tc>
          <w:tcPr>
            <w:tcW w:type="dxa" w:w="3888"/>
          </w:tcPr>
          <w:p>
            <w:r>
              <w:t>A. Diagnosis Accuracy</w:t>
            </w:r>
          </w:p>
        </w:tc>
        <w:tc>
          <w:tcPr>
            <w:tcW w:type="dxa" w:w="1152"/>
          </w:tcPr>
          <w:p>
            <w:r>
              <w:t>30%</w:t>
            </w:r>
          </w:p>
        </w:tc>
        <w:tc>
          <w:tcPr>
            <w:tcW w:type="dxa" w:w="4176"/>
          </w:tcPr>
          <w:p>
            <w:r>
              <w:t>Is every diagnosis on the claim clinically supported by the note?</w:t>
            </w:r>
          </w:p>
        </w:tc>
      </w:tr>
      <w:tr>
        <w:tc>
          <w:tcPr>
            <w:tcW w:type="dxa" w:w="3888"/>
            <w:shd w:fill="F1F8F7"/>
          </w:tcPr>
          <w:p>
            <w:r>
              <w:t>B. Documentation Specificity</w:t>
            </w:r>
          </w:p>
        </w:tc>
        <w:tc>
          <w:tcPr>
            <w:tcW w:type="dxa" w:w="1152"/>
            <w:shd w:fill="F1F8F7"/>
          </w:tcPr>
          <w:p>
            <w:r>
              <w:t>25%</w:t>
            </w:r>
          </w:p>
        </w:tc>
        <w:tc>
          <w:tcPr>
            <w:tcW w:type="dxa" w:w="4176"/>
            <w:shd w:fill="F1F8F7"/>
          </w:tcPr>
          <w:p>
            <w:r>
              <w:t>Is the level of detail in the note precise — no unnecessary 'unspecified' codes?</w:t>
            </w:r>
          </w:p>
        </w:tc>
      </w:tr>
      <w:tr>
        <w:tc>
          <w:tcPr>
            <w:tcW w:type="dxa" w:w="3888"/>
          </w:tcPr>
          <w:p>
            <w:r>
              <w:t>C. SOAP Note Structure</w:t>
            </w:r>
          </w:p>
        </w:tc>
        <w:tc>
          <w:tcPr>
            <w:tcW w:type="dxa" w:w="1152"/>
          </w:tcPr>
          <w:p>
            <w:r>
              <w:t>25%</w:t>
            </w:r>
          </w:p>
        </w:tc>
        <w:tc>
          <w:tcPr>
            <w:tcW w:type="dxa" w:w="4176"/>
          </w:tcPr>
          <w:p>
            <w:r>
              <w:t>Does the note follow the SOAP framework with each section carrying the right content?</w:t>
            </w:r>
          </w:p>
        </w:tc>
      </w:tr>
      <w:tr>
        <w:tc>
          <w:tcPr>
            <w:tcW w:type="dxa" w:w="3888"/>
            <w:shd w:fill="F1F8F7"/>
          </w:tcPr>
          <w:p>
            <w:r>
              <w:t>D. HCC Capture</w:t>
            </w:r>
          </w:p>
        </w:tc>
        <w:tc>
          <w:tcPr>
            <w:tcW w:type="dxa" w:w="1152"/>
            <w:shd w:fill="F1F8F7"/>
          </w:tcPr>
          <w:p>
            <w:r>
              <w:t>10%</w:t>
            </w:r>
          </w:p>
        </w:tc>
        <w:tc>
          <w:tcPr>
            <w:tcW w:type="dxa" w:w="4176"/>
            <w:shd w:fill="F1F8F7"/>
          </w:tcPr>
          <w:p>
            <w:r>
              <w:t>Are chronic conditions being recaptured annually, and are suspected conditions surfaced?</w:t>
            </w:r>
          </w:p>
        </w:tc>
      </w:tr>
      <w:tr>
        <w:tc>
          <w:tcPr>
            <w:tcW w:type="dxa" w:w="3888"/>
          </w:tcPr>
          <w:p>
            <w:r>
              <w:t>E. Documentation Supporting Quality Measures</w:t>
            </w:r>
          </w:p>
        </w:tc>
        <w:tc>
          <w:tcPr>
            <w:tcW w:type="dxa" w:w="1152"/>
          </w:tcPr>
          <w:p>
            <w:r>
              <w:t>10%</w:t>
            </w:r>
          </w:p>
        </w:tc>
        <w:tc>
          <w:tcPr>
            <w:tcW w:type="dxa" w:w="4176"/>
          </w:tcPr>
          <w:p>
            <w:r>
              <w:t>Does the note give the billing team what they need to capture CPT II / quality measures?</w:t>
            </w:r>
          </w:p>
        </w:tc>
      </w:tr>
    </w:tbl>
    <w:p>
      <w:pPr>
        <w:spacing w:before="200" w:after="80"/>
      </w:pPr>
      <w:r>
        <w:rPr>
          <w:b/>
          <w:color w:val="0F172A"/>
          <w:sz w:val="26"/>
        </w:rPr>
        <w:t>Why each category matters</w:t>
      </w:r>
    </w:p>
    <w:p>
      <w:pPr>
        <w:spacing w:before="120" w:after="40"/>
      </w:pPr>
      <w:r>
        <w:rPr>
          <w:b/>
          <w:color w:val="0F6E6E"/>
          <w:sz w:val="23"/>
        </w:rPr>
        <w:t>A. Diagnosis Accuracy (30%)</w:t>
      </w:r>
    </w:p>
    <w:p>
      <w:r>
        <w:t>This is the highest-weighted category because everything downstream depends on it. If a diagnosis on the claim is not supported by the note, it is a compliance risk regardless of coding accuracy. Auditing this first protects the organization from billing for unsupported services.</w:t>
      </w:r>
    </w:p>
    <w:p>
      <w:pPr>
        <w:spacing w:before="120" w:after="40"/>
      </w:pPr>
      <w:r>
        <w:rPr>
          <w:b/>
          <w:color w:val="0F6E6E"/>
          <w:sz w:val="23"/>
        </w:rPr>
        <w:t>B. Documentation Specificity (25%)</w:t>
      </w:r>
    </w:p>
    <w:p>
      <w:r>
        <w:t>Unspecified codes lose reimbursement, mask patient acuity, and weaken RAF. A note that says 'diabetes' without type, complications, or control level cannot support the correct code — even if the biller wants to code accurately.</w:t>
      </w:r>
    </w:p>
    <w:p>
      <w:pPr>
        <w:spacing w:before="120" w:after="40"/>
      </w:pPr>
      <w:r>
        <w:rPr>
          <w:b/>
          <w:color w:val="0F6E6E"/>
          <w:sz w:val="23"/>
        </w:rPr>
        <w:t>C. SOAP Note Structure (25%)</w:t>
      </w:r>
    </w:p>
    <w:p>
      <w:r>
        <w:t>SOAP (Subjective, Objective, Assessment, Plan) is the standard medical note format. When the four sections tell one consistent story, the note is easier to defend in audit and easier for another clinician to pick up. Copy-forward notes, contradictions, and missing sections are common failures.</w:t>
      </w:r>
    </w:p>
    <w:p>
      <w:pPr>
        <w:spacing w:before="120" w:after="40"/>
      </w:pPr>
      <w:r>
        <w:rPr>
          <w:b/>
          <w:color w:val="0F6E6E"/>
          <w:sz w:val="23"/>
        </w:rPr>
        <w:t>D. HCC Capture (10%)</w:t>
      </w:r>
    </w:p>
    <w:p>
      <w:r>
        <w:t>HCCs drive risk-adjusted reimbursement in Medicare Advantage. Every chronic HCC condition must be re-documented every calendar year or it drops off the risk score. This category checks two things: prior-year HCCs are recaptured (or explicitly resolved), and suspected conditions from labs / meds / history are surfaced instead of missed.</w:t>
      </w:r>
    </w:p>
    <w:p>
      <w:pPr>
        <w:spacing w:before="120" w:after="40"/>
      </w:pPr>
      <w:r>
        <w:rPr>
          <w:b/>
          <w:color w:val="0F6E6E"/>
          <w:sz w:val="23"/>
        </w:rPr>
        <w:t>E. Documentation Supporting Quality Measures (10%)</w:t>
      </w:r>
    </w:p>
    <w:p>
      <w:r>
        <w:t>The billing team assigns CPT II codes. The auditor verifies the provider's note gives the billing team what they need — specific screening values (PHQ-9 score, BMI, BP reading, HbA1c) rather than 'screened' or 'normal', and a documented follow-up plan when a screening is positive or abnormal.</w:t>
      </w:r>
    </w:p>
    <w:p>
      <w:pPr>
        <w:spacing w:before="280" w:after="120"/>
      </w:pPr>
      <w:r>
        <w:rPr>
          <w:b/>
          <w:color w:val="0F6E6E"/>
          <w:sz w:val="32"/>
        </w:rPr>
        <w:t>4. Scoring and performance bands</w:t>
      </w:r>
    </w:p>
    <w:p>
      <w:r>
        <w:t>Each element is rated Met (1.0 pt), Partial (0.5 pt), Not Met (0), or N/A. Category subtotals are weighted and summed to produce an Overall Compliance %. Providers are then placed in one of four performance bands.</w:t>
      </w:r>
    </w:p>
    <w:tbl>
      <w:tblPr>
        <w:tblW w:type="auto" w:w="0"/>
        <w:tblLayout w:type="fixed"/>
        <w:tblLook w:firstColumn="1" w:firstRow="1" w:lastColumn="0" w:lastRow="0" w:noHBand="0" w:noVBand="1" w:val="04A0"/>
      </w:tblPr>
      <w:tblGrid>
        <w:gridCol w:w="3249"/>
        <w:gridCol w:w="3249"/>
        <w:gridCol w:w="3249"/>
      </w:tblGrid>
      <w:tr>
        <w:tc>
          <w:tcPr>
            <w:tcW w:type="dxa" w:w="2880"/>
            <w:shd w:fill="0F6E6E"/>
          </w:tcPr>
          <w:p>
            <w:r>
              <w:rPr>
                <w:b/>
                <w:color w:val="FFFFFF"/>
              </w:rPr>
              <w:t>Band</w:t>
            </w:r>
          </w:p>
        </w:tc>
        <w:tc>
          <w:tcPr>
            <w:tcW w:type="dxa" w:w="1296"/>
            <w:shd w:fill="0F6E6E"/>
          </w:tcPr>
          <w:p>
            <w:r>
              <w:rPr>
                <w:b/>
                <w:color w:val="FFFFFF"/>
              </w:rPr>
              <w:t>Range</w:t>
            </w:r>
          </w:p>
        </w:tc>
        <w:tc>
          <w:tcPr>
            <w:tcW w:type="dxa" w:w="4608"/>
            <w:shd w:fill="0F6E6E"/>
          </w:tcPr>
          <w:p>
            <w:r>
              <w:rPr>
                <w:b/>
                <w:color w:val="FFFFFF"/>
              </w:rPr>
              <w:t>Action</w:t>
            </w:r>
          </w:p>
        </w:tc>
      </w:tr>
      <w:tr>
        <w:tc>
          <w:tcPr>
            <w:tcW w:type="dxa" w:w="2880"/>
            <w:shd w:fill="D6EAF8"/>
          </w:tcPr>
          <w:p>
            <w:r>
              <w:rPr>
                <w:b/>
              </w:rPr>
              <w:t>Excellent</w:t>
            </w:r>
          </w:p>
        </w:tc>
        <w:tc>
          <w:tcPr>
            <w:tcW w:type="dxa" w:w="1296"/>
          </w:tcPr>
          <w:p>
            <w:r>
              <w:t>≥ 95%</w:t>
            </w:r>
          </w:p>
        </w:tc>
        <w:tc>
          <w:tcPr>
            <w:tcW w:type="dxa" w:w="4608"/>
          </w:tcPr>
          <w:p>
            <w:r>
              <w:t>Recognize provider · use as peer example</w:t>
            </w:r>
          </w:p>
        </w:tc>
      </w:tr>
      <w:tr>
        <w:tc>
          <w:tcPr>
            <w:tcW w:type="dxa" w:w="2880"/>
            <w:shd w:fill="C7F0D2"/>
          </w:tcPr>
          <w:p>
            <w:r>
              <w:rPr>
                <w:b/>
              </w:rPr>
              <w:t>Meets Expectations</w:t>
            </w:r>
          </w:p>
        </w:tc>
        <w:tc>
          <w:tcPr>
            <w:tcW w:type="dxa" w:w="1296"/>
          </w:tcPr>
          <w:p>
            <w:r>
              <w:t>90–94%</w:t>
            </w:r>
          </w:p>
        </w:tc>
        <w:tc>
          <w:tcPr>
            <w:tcW w:type="dxa" w:w="4608"/>
          </w:tcPr>
          <w:p>
            <w:r>
              <w:t>Standard feedback · no action required</w:t>
            </w:r>
          </w:p>
        </w:tc>
      </w:tr>
      <w:tr>
        <w:tc>
          <w:tcPr>
            <w:tcW w:type="dxa" w:w="2880"/>
            <w:shd w:fill="FDE9C0"/>
          </w:tcPr>
          <w:p>
            <w:r>
              <w:rPr>
                <w:b/>
              </w:rPr>
              <w:t>Needs Improvement</w:t>
            </w:r>
          </w:p>
        </w:tc>
        <w:tc>
          <w:tcPr>
            <w:tcW w:type="dxa" w:w="1296"/>
          </w:tcPr>
          <w:p>
            <w:r>
              <w:t>80–89%</w:t>
            </w:r>
          </w:p>
        </w:tc>
        <w:tc>
          <w:tcPr>
            <w:tcW w:type="dxa" w:w="4608"/>
          </w:tcPr>
          <w:p>
            <w:r>
              <w:t>Targeted education · monitor next cycle</w:t>
            </w:r>
          </w:p>
        </w:tc>
      </w:tr>
      <w:tr>
        <w:tc>
          <w:tcPr>
            <w:tcW w:type="dxa" w:w="2880"/>
            <w:shd w:fill="F8C9C9"/>
          </w:tcPr>
          <w:p>
            <w:r>
              <w:rPr>
                <w:b/>
              </w:rPr>
              <w:t>Corrective Education Required</w:t>
            </w:r>
          </w:p>
        </w:tc>
        <w:tc>
          <w:tcPr>
            <w:tcW w:type="dxa" w:w="1296"/>
          </w:tcPr>
          <w:p>
            <w:r>
              <w:t>&lt; 80%</w:t>
            </w:r>
          </w:p>
        </w:tc>
        <w:tc>
          <w:tcPr>
            <w:tcW w:type="dxa" w:w="4608"/>
          </w:tcPr>
          <w:p>
            <w:r>
              <w:t>Structured plan + re-audit within 60–90 days</w:t>
            </w:r>
          </w:p>
        </w:tc>
      </w:tr>
    </w:tbl>
    <w:p>
      <w:pPr>
        <w:spacing w:before="280" w:after="120"/>
      </w:pPr>
      <w:r>
        <w:rPr>
          <w:b/>
          <w:color w:val="0F6E6E"/>
          <w:sz w:val="32"/>
        </w:rPr>
        <w:t>5. Cadence and chart sample</w:t>
      </w:r>
    </w:p>
    <w:p>
      <w:r>
        <w:t>The audit runs monthly. Ten charts per provider are drawn from the previous month's encounters using a structured mix that balances high-risk populations with a randomized bias check.</w:t>
      </w:r>
    </w:p>
    <w:tbl>
      <w:tblPr>
        <w:tblW w:type="auto" w:w="0"/>
        <w:tblLayout w:type="fixed"/>
        <w:tblLook w:firstColumn="1" w:firstRow="1" w:lastColumn="0" w:lastRow="0" w:noHBand="0" w:noVBand="1" w:val="04A0"/>
      </w:tblPr>
      <w:tblGrid>
        <w:gridCol w:w="3249"/>
        <w:gridCol w:w="3249"/>
        <w:gridCol w:w="3249"/>
      </w:tblGrid>
      <w:tr>
        <w:tc>
          <w:tcPr>
            <w:tcW w:type="dxa" w:w="3600"/>
            <w:shd w:fill="0F6E6E"/>
          </w:tcPr>
          <w:p>
            <w:r>
              <w:rPr>
                <w:b/>
                <w:color w:val="FFFFFF"/>
              </w:rPr>
              <w:t>Sample Category</w:t>
            </w:r>
          </w:p>
        </w:tc>
        <w:tc>
          <w:tcPr>
            <w:tcW w:type="dxa" w:w="2304"/>
            <w:shd w:fill="0F6E6E"/>
          </w:tcPr>
          <w:p>
            <w:r>
              <w:rPr>
                <w:b/>
                <w:color w:val="FFFFFF"/>
              </w:rPr>
              <w:t>Charts per provider per month</w:t>
            </w:r>
          </w:p>
        </w:tc>
        <w:tc>
          <w:tcPr>
            <w:tcW w:type="dxa" w:w="3168"/>
            <w:shd w:fill="0F6E6E"/>
          </w:tcPr>
          <w:p>
            <w:r>
              <w:rPr>
                <w:b/>
                <w:color w:val="FFFFFF"/>
              </w:rPr>
              <w:t>Purpose</w:t>
            </w:r>
          </w:p>
        </w:tc>
      </w:tr>
      <w:tr>
        <w:tc>
          <w:tcPr>
            <w:tcW w:type="dxa" w:w="3600"/>
          </w:tcPr>
          <w:p>
            <w:r>
              <w:t>Diabetes</w:t>
            </w:r>
          </w:p>
        </w:tc>
        <w:tc>
          <w:tcPr>
            <w:tcW w:type="dxa" w:w="2304"/>
          </w:tcPr>
          <w:p>
            <w:r>
              <w:t>3</w:t>
            </w:r>
          </w:p>
        </w:tc>
        <w:tc>
          <w:tcPr>
            <w:tcW w:type="dxa" w:w="3168"/>
          </w:tcPr>
          <w:p>
            <w:r>
              <w:t>Highest-yield HCC population; A1c / neuropathy / CKD combinations.</w:t>
            </w:r>
          </w:p>
        </w:tc>
      </w:tr>
      <w:tr>
        <w:tc>
          <w:tcPr>
            <w:tcW w:type="dxa" w:w="3600"/>
            <w:shd w:fill="F1F8F7"/>
          </w:tcPr>
          <w:p>
            <w:r>
              <w:t>Chronic Kidney Disease</w:t>
            </w:r>
          </w:p>
        </w:tc>
        <w:tc>
          <w:tcPr>
            <w:tcW w:type="dxa" w:w="2304"/>
            <w:shd w:fill="F1F8F7"/>
          </w:tcPr>
          <w:p>
            <w:r>
              <w:t>2</w:t>
            </w:r>
          </w:p>
        </w:tc>
        <w:tc>
          <w:tcPr>
            <w:tcW w:type="dxa" w:w="3168"/>
            <w:shd w:fill="F1F8F7"/>
          </w:tcPr>
          <w:p>
            <w:r>
              <w:t>Verify CKD stage specificity.</w:t>
            </w:r>
          </w:p>
        </w:tc>
      </w:tr>
      <w:tr>
        <w:tc>
          <w:tcPr>
            <w:tcW w:type="dxa" w:w="3600"/>
          </w:tcPr>
          <w:p>
            <w:r>
              <w:t>Annual Wellness Visit</w:t>
            </w:r>
          </w:p>
        </w:tc>
        <w:tc>
          <w:tcPr>
            <w:tcW w:type="dxa" w:w="2304"/>
          </w:tcPr>
          <w:p>
            <w:r>
              <w:t>2</w:t>
            </w:r>
          </w:p>
        </w:tc>
        <w:tc>
          <w:tcPr>
            <w:tcW w:type="dxa" w:w="3168"/>
          </w:tcPr>
          <w:p>
            <w:r>
              <w:t>Preventive measures and HCC recapture.</w:t>
            </w:r>
          </w:p>
        </w:tc>
      </w:tr>
      <w:tr>
        <w:tc>
          <w:tcPr>
            <w:tcW w:type="dxa" w:w="3600"/>
            <w:shd w:fill="F1F8F7"/>
          </w:tcPr>
          <w:p>
            <w:r>
              <w:t>High-RAF Patients</w:t>
            </w:r>
          </w:p>
        </w:tc>
        <w:tc>
          <w:tcPr>
            <w:tcW w:type="dxa" w:w="2304"/>
            <w:shd w:fill="F1F8F7"/>
          </w:tcPr>
          <w:p>
            <w:r>
              <w:t>2</w:t>
            </w:r>
          </w:p>
        </w:tc>
        <w:tc>
          <w:tcPr>
            <w:tcW w:type="dxa" w:w="3168"/>
            <w:shd w:fill="F1F8F7"/>
          </w:tcPr>
          <w:p>
            <w:r>
              <w:t>Recapture validation on the highest-acuity patients.</w:t>
            </w:r>
          </w:p>
        </w:tc>
      </w:tr>
      <w:tr>
        <w:tc>
          <w:tcPr>
            <w:tcW w:type="dxa" w:w="3600"/>
          </w:tcPr>
          <w:p>
            <w:r>
              <w:t>Random Selection</w:t>
            </w:r>
          </w:p>
        </w:tc>
        <w:tc>
          <w:tcPr>
            <w:tcW w:type="dxa" w:w="2304"/>
          </w:tcPr>
          <w:p>
            <w:r>
              <w:t>1</w:t>
            </w:r>
          </w:p>
        </w:tc>
        <w:tc>
          <w:tcPr>
            <w:tcW w:type="dxa" w:w="3168"/>
          </w:tcPr>
          <w:p>
            <w:r>
              <w:t>Bias check against the targeted sample.</w:t>
            </w:r>
          </w:p>
        </w:tc>
      </w:tr>
      <w:tr>
        <w:tc>
          <w:tcPr>
            <w:tcW w:type="dxa" w:w="3600"/>
            <w:shd w:fill="F1F8F7"/>
          </w:tcPr>
          <w:p>
            <w:r>
              <w:t>Total</w:t>
            </w:r>
          </w:p>
        </w:tc>
        <w:tc>
          <w:tcPr>
            <w:tcW w:type="dxa" w:w="2304"/>
            <w:shd w:fill="F1F8F7"/>
          </w:tcPr>
          <w:p>
            <w:r>
              <w:t>10</w:t>
            </w:r>
          </w:p>
        </w:tc>
        <w:tc>
          <w:tcPr>
            <w:tcW w:type="dxa" w:w="3168"/>
            <w:shd w:fill="F1F8F7"/>
          </w:tcPr>
          <w:p>
            <w:r>
              <w:t>—</w:t>
            </w:r>
          </w:p>
        </w:tc>
      </w:tr>
    </w:tbl>
    <w:p>
      <w:pPr>
        <w:spacing w:before="280" w:after="120"/>
      </w:pPr>
      <w:r>
        <w:rPr>
          <w:b/>
          <w:color w:val="0F6E6E"/>
          <w:sz w:val="32"/>
        </w:rPr>
        <w:t>6. What the audit delivers</w:t>
      </w:r>
    </w:p>
    <w:p>
      <w:pPr>
        <w:pStyle w:val="ListBullet"/>
        <w:spacing w:after="60"/>
        <w:ind w:left="360"/>
      </w:pPr>
      <w:r>
        <w:t>A per-chart compliance score with a clear rating (Excellent / Meets / Needs / Corrective).</w:t>
      </w:r>
    </w:p>
    <w:p>
      <w:pPr>
        <w:pStyle w:val="ListBullet"/>
        <w:spacing w:after="60"/>
        <w:ind w:left="360"/>
      </w:pPr>
      <w:r>
        <w:t>A rolling audit log — the working history of every chart reviewed.</w:t>
      </w:r>
    </w:p>
    <w:p>
      <w:pPr>
        <w:pStyle w:val="ListBullet"/>
        <w:spacing w:after="60"/>
        <w:ind w:left="360"/>
      </w:pPr>
      <w:r>
        <w:t>Individual provider scorecards with specific documentation-improvement guidance.</w:t>
      </w:r>
    </w:p>
    <w:p>
      <w:pPr>
        <w:pStyle w:val="ListBullet"/>
        <w:spacing w:after="60"/>
        <w:ind w:left="360"/>
      </w:pPr>
      <w:r>
        <w:t>A quarterly report with KPIs and a provider progression chart showing improvement or decline over time.</w:t>
      </w:r>
    </w:p>
    <w:p>
      <w:pPr>
        <w:pStyle w:val="ListBullet"/>
        <w:spacing w:after="60"/>
        <w:ind w:left="360"/>
      </w:pPr>
      <w:r>
        <w:t>Data that feeds compliance reporting, revenue integrity, and provider education.</w:t>
      </w:r>
    </w:p>
    <w:p>
      <w:pPr>
        <w:spacing w:before="280" w:after="120"/>
      </w:pPr>
      <w:r>
        <w:rPr>
          <w:b/>
          <w:color w:val="0F6E6E"/>
          <w:sz w:val="32"/>
        </w:rPr>
        <w:t>7. Why the audit matters</w:t>
      </w:r>
    </w:p>
    <w:p>
      <w:pPr>
        <w:spacing w:before="200" w:after="80"/>
      </w:pPr>
      <w:r>
        <w:rPr>
          <w:b/>
          <w:color w:val="0F172A"/>
          <w:sz w:val="26"/>
        </w:rPr>
        <w:t>Compliance</w:t>
      </w:r>
    </w:p>
    <w:p>
      <w:r>
        <w:t>OIG guidance identifies internal auditing as a required element of an effective compliance program. This audit provides the documented, defensible internal review process that meets that requirement.</w:t>
      </w:r>
    </w:p>
    <w:p>
      <w:pPr>
        <w:spacing w:before="200" w:after="80"/>
      </w:pPr>
      <w:r>
        <w:rPr>
          <w:b/>
          <w:color w:val="0F172A"/>
          <w:sz w:val="26"/>
        </w:rPr>
        <w:t>Revenue integrity</w:t>
      </w:r>
    </w:p>
    <w:p>
      <w:r>
        <w:t>Under-documented HCCs lower RAF and reimbursement. Unsupported diagnoses invite recoupment. Poor specificity forces claims into lower-value codes. This audit surfaces those issues before they cost the organization money.</w:t>
      </w:r>
    </w:p>
    <w:p>
      <w:pPr>
        <w:spacing w:before="200" w:after="80"/>
      </w:pPr>
      <w:r>
        <w:rPr>
          <w:b/>
          <w:color w:val="0F172A"/>
          <w:sz w:val="26"/>
        </w:rPr>
        <w:t>Quality reporting</w:t>
      </w:r>
    </w:p>
    <w:p>
      <w:r>
        <w:t>HEDIS, Stars, and UDS measures only capture when the documentation supports them. This audit closes the gap between what the provider actually did at the visit and what shows up in quality metrics.</w:t>
      </w:r>
    </w:p>
    <w:p>
      <w:pPr>
        <w:spacing w:before="200" w:after="80"/>
      </w:pPr>
      <w:r>
        <w:rPr>
          <w:b/>
          <w:color w:val="0F172A"/>
          <w:sz w:val="26"/>
        </w:rPr>
        <w:t>Provider development</w:t>
      </w:r>
    </w:p>
    <w:p>
      <w:r>
        <w:t>The audit is not punitive — its purpose is targeted, evidence-based feedback. Every provider gets a specific area to improve each month, and progression is tracked quarterly. Providers who consistently meet or exceed expectations are recognized as peer examples.</w:t>
      </w:r>
    </w:p>
    <w:p>
      <w:pPr>
        <w:spacing w:before="280" w:after="120"/>
      </w:pPr>
      <w:r>
        <w:rPr>
          <w:b/>
          <w:color w:val="0F6E6E"/>
          <w:sz w:val="32"/>
        </w:rPr>
        <w:t>8. Key takeaways</w:t>
      </w:r>
    </w:p>
    <w:p>
      <w:pPr>
        <w:pStyle w:val="ListBullet"/>
        <w:spacing w:after="60"/>
        <w:ind w:left="360"/>
      </w:pPr>
      <w:r>
        <w:t>The audit is anchored in ICD-10 official guidelines, CMS documentation standards, HCC risk adjustment rules, HEDIS/Stars specifications, and OIG compliance guidance — findings are defensible.</w:t>
      </w:r>
    </w:p>
    <w:p>
      <w:pPr>
        <w:pStyle w:val="ListBullet"/>
        <w:spacing w:after="60"/>
        <w:ind w:left="360"/>
      </w:pPr>
      <w:r>
        <w:t>Five weighted categories cover diagnosis accuracy, specificity, SOAP structure, HCC capture, and documentation supporting quality measures.</w:t>
      </w:r>
    </w:p>
    <w:p>
      <w:pPr>
        <w:pStyle w:val="ListBullet"/>
        <w:spacing w:after="60"/>
        <w:ind w:left="360"/>
      </w:pPr>
      <w:r>
        <w:t>Scoring produces a single compliance % and a performance band, so results are comparable across providers, months, and quarters.</w:t>
      </w:r>
    </w:p>
    <w:p>
      <w:pPr>
        <w:pStyle w:val="ListBullet"/>
        <w:spacing w:after="60"/>
        <w:ind w:left="360"/>
      </w:pPr>
      <w:r>
        <w:t>Ten charts per provider per month with a structured mix balances high-yield populations with a randomized bias check.</w:t>
      </w:r>
    </w:p>
    <w:p>
      <w:pPr>
        <w:pStyle w:val="ListBullet"/>
        <w:spacing w:after="60"/>
        <w:ind w:left="360"/>
      </w:pPr>
      <w:r>
        <w:t>The output — scorecards, log, quarterly report — supports compliance, revenue integrity, quality reporting, and provider development in one program.</w:t>
      </w:r>
    </w:p>
    <w:p>
      <w:pPr>
        <w:spacing w:before="480"/>
      </w:pPr>
      <w:r>
        <w:rPr>
          <w:i/>
          <w:color w:val="555555"/>
        </w:rPr>
        <w:t>End of overview.</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