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8"/>
        </w:rPr>
        <w:t>Quarterly Provider Audit Report</w:t>
      </w:r>
    </w:p>
    <w:p>
      <w:pPr>
        <w:spacing w:after="240"/>
      </w:pPr>
      <w:r>
        <w:rPr>
          <w:i/>
          <w:color w:val="555555"/>
          <w:sz w:val="22"/>
        </w:rPr>
        <w:t>HealthProMed  ·  Coding &amp; CDI Department  ·  Q3 2026 audit cycle  ·  12 providers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E6F4F1"/>
          </w:tcPr>
          <w:p>
            <w:r>
              <w:rPr>
                <w:b/>
              </w:rPr>
              <w:t>Report period</w:t>
            </w:r>
          </w:p>
        </w:tc>
        <w:tc>
          <w:tcPr>
            <w:tcW w:type="dxa" w:w="6480"/>
          </w:tcPr>
          <w:p>
            <w:r>
              <w:t>Encounters DOS 05/06/2026 – 07/28/2026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Audit period</w:t>
            </w:r>
          </w:p>
        </w:tc>
        <w:tc>
          <w:tcPr>
            <w:tcW w:type="dxa" w:w="6480"/>
          </w:tcPr>
          <w:p>
            <w:r>
              <w:t>07/13/2026 – 09/02/2026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Providers audited</w:t>
            </w:r>
          </w:p>
        </w:tc>
        <w:tc>
          <w:tcPr>
            <w:tcW w:type="dxa" w:w="6480"/>
          </w:tcPr>
          <w:p>
            <w:r>
              <w:t>12 (Excel) + 1 pending PDF review (Alejandra Velez Alicea, MD)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Total charts</w:t>
            </w:r>
          </w:p>
        </w:tc>
        <w:tc>
          <w:tcPr>
            <w:tcW w:type="dxa" w:w="6480"/>
          </w:tcPr>
          <w:p>
            <w:r>
              <w:t>120 audited claims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6480"/>
          </w:tcPr>
          <w:p>
            <w:r>
              <w:t>Eric Galan, Coding &amp; CDI Lead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6480"/>
          </w:tcPr>
          <w:p>
            <w:r>
              <w:t>Auto-consolidated from the individual provider audit workbooks</w:t>
            </w:r>
          </w:p>
        </w:tc>
      </w:tr>
    </w:tbl>
    <w:p/>
    <w:p>
      <w:pPr>
        <w:spacing w:before="320" w:after="120"/>
      </w:pPr>
      <w:r>
        <w:rPr>
          <w:b/>
          <w:color w:val="0F6E6E"/>
          <w:sz w:val="32"/>
        </w:rPr>
        <w:t>Executive summary</w:t>
      </w:r>
    </w:p>
    <w:p>
      <w:r>
        <w:rPr>
          <w:sz w:val="22"/>
        </w:rPr>
        <w:t>Twelve providers were audited across the July–September 2026 cycle (120 total charts). No provider scored in the Excellent (≥95%) or Meets Expectations (90–94%) bands. Three providers scored in the Needs Improvement band (80–89%). Nine providers scored below 80% and require formal Corrective Education plus a 60–90-day re-audit.</w:t>
      </w:r>
    </w:p>
    <w:p>
      <w:r>
        <w:rPr>
          <w:sz w:val="22"/>
        </w:rPr>
        <w:t>The distribution indicates a documentation-quality issue that is systemic across multiple providers and payers — this is NOT limited to one clinic or one physician group. Immediate targeted education is recommended, focused on the top deficiency patterns emerging from the individual audits (see recommendations below).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032"/>
            <w:shd w:fill="0F6E6E"/>
          </w:tcPr>
          <w:p>
            <w:r>
              <w:rPr>
                <w:b/>
                <w:color w:val="FFFFFF"/>
                <w:sz w:val="21"/>
              </w:rPr>
              <w:t>Band</w:t>
            </w:r>
          </w:p>
        </w:tc>
        <w:tc>
          <w:tcPr>
            <w:tcW w:type="dxa" w:w="1440"/>
            <w:shd w:fill="0F6E6E"/>
          </w:tcPr>
          <w:p>
            <w:r>
              <w:rPr>
                <w:b/>
                <w:color w:val="FFFFFF"/>
                <w:sz w:val="21"/>
              </w:rPr>
              <w:t>Range</w:t>
            </w:r>
          </w:p>
        </w:tc>
        <w:tc>
          <w:tcPr>
            <w:tcW w:type="dxa" w:w="1872"/>
            <w:shd w:fill="0F6E6E"/>
          </w:tcPr>
          <w:p>
            <w:r>
              <w:rPr>
                <w:b/>
                <w:color w:val="FFFFFF"/>
                <w:sz w:val="21"/>
              </w:rPr>
              <w:t># Providers</w:t>
            </w:r>
          </w:p>
        </w:tc>
        <w:tc>
          <w:tcPr>
            <w:tcW w:type="dxa" w:w="1872"/>
            <w:shd w:fill="0F6E6E"/>
          </w:tcPr>
          <w:p>
            <w:r>
              <w:rPr>
                <w:b/>
                <w:color w:val="FFFFFF"/>
                <w:sz w:val="21"/>
              </w:rPr>
              <w:t>% of Cycle</w:t>
            </w:r>
          </w:p>
        </w:tc>
      </w:tr>
      <w:tr>
        <w:tc>
          <w:tcPr>
            <w:tcW w:type="dxa" w:w="4032"/>
          </w:tcPr>
          <w:p>
            <w:r>
              <w:rPr>
                <w:sz w:val="21"/>
              </w:rPr>
              <w:t>Excellent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≥ 95%</w:t>
            </w:r>
          </w:p>
        </w:tc>
        <w:tc>
          <w:tcPr>
            <w:tcW w:type="dxa" w:w="1872"/>
          </w:tcPr>
          <w:p>
            <w:r>
              <w:rPr>
                <w:sz w:val="21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1"/>
              </w:rPr>
              <w:t>0%</w:t>
            </w:r>
          </w:p>
        </w:tc>
      </w:tr>
      <w:tr>
        <w:tc>
          <w:tcPr>
            <w:tcW w:type="dxa" w:w="4032"/>
            <w:shd w:fill="F1F8F7"/>
          </w:tcPr>
          <w:p>
            <w:r>
              <w:rPr>
                <w:sz w:val="21"/>
              </w:rPr>
              <w:t>Meets Expectations</w:t>
            </w:r>
          </w:p>
        </w:tc>
        <w:tc>
          <w:tcPr>
            <w:tcW w:type="dxa" w:w="1440"/>
            <w:shd w:fill="F1F8F7"/>
          </w:tcPr>
          <w:p>
            <w:r>
              <w:rPr>
                <w:sz w:val="21"/>
              </w:rPr>
              <w:t>90–94%</w:t>
            </w:r>
          </w:p>
        </w:tc>
        <w:tc>
          <w:tcPr>
            <w:tcW w:type="dxa" w:w="1872"/>
            <w:shd w:fill="F1F8F7"/>
          </w:tcPr>
          <w:p>
            <w:r>
              <w:rPr>
                <w:sz w:val="21"/>
              </w:rPr>
              <w:t>0</w:t>
            </w:r>
          </w:p>
        </w:tc>
        <w:tc>
          <w:tcPr>
            <w:tcW w:type="dxa" w:w="1872"/>
            <w:shd w:fill="F1F8F7"/>
          </w:tcPr>
          <w:p>
            <w:r>
              <w:rPr>
                <w:sz w:val="21"/>
              </w:rPr>
              <w:t>0%</w:t>
            </w:r>
          </w:p>
        </w:tc>
      </w:tr>
      <w:tr>
        <w:tc>
          <w:tcPr>
            <w:tcW w:type="dxa" w:w="4032"/>
          </w:tcPr>
          <w:p>
            <w:r>
              <w:rPr>
                <w:sz w:val="21"/>
              </w:rPr>
              <w:t>Needs Improvement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80–89%</w:t>
            </w:r>
          </w:p>
        </w:tc>
        <w:tc>
          <w:tcPr>
            <w:tcW w:type="dxa" w:w="1872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1"/>
              </w:rPr>
              <w:t>25%</w:t>
            </w:r>
          </w:p>
        </w:tc>
      </w:tr>
      <w:tr>
        <w:tc>
          <w:tcPr>
            <w:tcW w:type="dxa" w:w="4032"/>
            <w:shd w:fill="F1F8F7"/>
          </w:tcPr>
          <w:p>
            <w:r>
              <w:rPr>
                <w:sz w:val="21"/>
              </w:rPr>
              <w:t>Corrective Education Required</w:t>
            </w:r>
          </w:p>
        </w:tc>
        <w:tc>
          <w:tcPr>
            <w:tcW w:type="dxa" w:w="1440"/>
            <w:shd w:fill="F1F8F7"/>
          </w:tcPr>
          <w:p>
            <w:r>
              <w:rPr>
                <w:sz w:val="21"/>
              </w:rPr>
              <w:t>&lt; 80%</w:t>
            </w:r>
          </w:p>
        </w:tc>
        <w:tc>
          <w:tcPr>
            <w:tcW w:type="dxa" w:w="1872"/>
            <w:shd w:fill="F1F8F7"/>
          </w:tcPr>
          <w:p>
            <w:r>
              <w:rPr>
                <w:sz w:val="21"/>
              </w:rPr>
              <w:t>9</w:t>
            </w:r>
          </w:p>
        </w:tc>
        <w:tc>
          <w:tcPr>
            <w:tcW w:type="dxa" w:w="1872"/>
            <w:shd w:fill="F1F8F7"/>
          </w:tcPr>
          <w:p>
            <w:r>
              <w:rPr>
                <w:sz w:val="21"/>
              </w:rPr>
              <w:t>75%</w:t>
            </w:r>
          </w:p>
        </w:tc>
      </w:tr>
      <w:tr>
        <w:tc>
          <w:tcPr>
            <w:tcW w:type="dxa" w:w="4032"/>
          </w:tcPr>
          <w:p>
            <w:r>
              <w:rPr>
                <w:sz w:val="21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1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21"/>
              </w:rPr>
              <w:t>100%</w:t>
            </w:r>
          </w:p>
        </w:tc>
      </w:tr>
    </w:tbl>
    <w:p>
      <w:pPr>
        <w:spacing w:before="200" w:after="80"/>
      </w:pPr>
      <w:r>
        <w:rPr>
          <w:b/>
          <w:color w:val="B45309"/>
          <w:sz w:val="26"/>
        </w:rPr>
        <w:t>Program-wide average compliance: 76.7%</w:t>
      </w:r>
    </w:p>
    <w:p>
      <w:pPr>
        <w:spacing w:before="320" w:after="120"/>
      </w:pPr>
      <w:r>
        <w:rPr>
          <w:b/>
          <w:color w:val="0F6E6E"/>
          <w:sz w:val="32"/>
        </w:rPr>
        <w:t>1. All providers — ranked highest to lowest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64"/>
            <w:shd w:fill="0F6E6E"/>
          </w:tcPr>
          <w:p>
            <w:r>
              <w:rPr>
                <w:b/>
                <w:color w:val="FFFFFF"/>
                <w:sz w:val="21"/>
              </w:rPr>
              <w:t>Rank</w:t>
            </w:r>
          </w:p>
        </w:tc>
        <w:tc>
          <w:tcPr>
            <w:tcW w:type="dxa" w:w="3456"/>
            <w:shd w:fill="0F6E6E"/>
          </w:tcPr>
          <w:p>
            <w:r>
              <w:rPr>
                <w:b/>
                <w:color w:val="FFFFFF"/>
                <w:sz w:val="21"/>
              </w:rPr>
              <w:t>Provider</w:t>
            </w:r>
          </w:p>
        </w:tc>
        <w:tc>
          <w:tcPr>
            <w:tcW w:type="dxa" w:w="2592"/>
            <w:shd w:fill="0F6E6E"/>
          </w:tcPr>
          <w:p>
            <w:r>
              <w:rPr>
                <w:b/>
                <w:color w:val="FFFFFF"/>
                <w:sz w:val="21"/>
              </w:rPr>
              <w:t>Payer</w:t>
            </w:r>
          </w:p>
        </w:tc>
        <w:tc>
          <w:tcPr>
            <w:tcW w:type="dxa" w:w="1872"/>
            <w:shd w:fill="0F6E6E"/>
          </w:tcPr>
          <w:p>
            <w:r>
              <w:rPr>
                <w:b/>
                <w:color w:val="FFFFFF"/>
                <w:sz w:val="21"/>
              </w:rPr>
              <w:t>Avg Compliance %</w:t>
            </w:r>
          </w:p>
        </w:tc>
        <w:tc>
          <w:tcPr>
            <w:tcW w:type="dxa" w:w="3312"/>
            <w:shd w:fill="0F6E6E"/>
          </w:tcPr>
          <w:p>
            <w:r>
              <w:rPr>
                <w:b/>
                <w:color w:val="FFFFFF"/>
                <w:sz w:val="21"/>
              </w:rPr>
              <w:t>Performance Band</w:t>
            </w:r>
          </w:p>
        </w:tc>
      </w:tr>
      <w:tr>
        <w:tc>
          <w:tcPr>
            <w:tcW w:type="dxa" w:w="864"/>
            <w:shd w:fill="FDE9C0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3456"/>
            <w:shd w:fill="FDE9C0"/>
          </w:tcPr>
          <w:p>
            <w:r>
              <w:rPr>
                <w:sz w:val="21"/>
              </w:rPr>
              <w:t>Rolando Varga Santiago, MD</w:t>
            </w:r>
          </w:p>
        </w:tc>
        <w:tc>
          <w:tcPr>
            <w:tcW w:type="dxa" w:w="2592"/>
            <w:shd w:fill="FDE9C0"/>
          </w:tcPr>
          <w:p>
            <w:r>
              <w:rPr>
                <w:sz w:val="21"/>
              </w:rPr>
              <w:t>MMM Vital</w:t>
            </w:r>
          </w:p>
        </w:tc>
        <w:tc>
          <w:tcPr>
            <w:tcW w:type="dxa" w:w="1872"/>
            <w:shd w:fill="FDE9C0"/>
          </w:tcPr>
          <w:p>
            <w:r>
              <w:rPr>
                <w:sz w:val="21"/>
              </w:rPr>
              <w:t>83.0%</w:t>
            </w:r>
          </w:p>
        </w:tc>
        <w:tc>
          <w:tcPr>
            <w:tcW w:type="dxa" w:w="3312"/>
            <w:shd w:fill="FDE9C0"/>
          </w:tcPr>
          <w:p>
            <w:r>
              <w:rPr>
                <w:sz w:val="21"/>
              </w:rPr>
              <w:t>Needs Improvement</w:t>
            </w:r>
          </w:p>
        </w:tc>
      </w:tr>
      <w:tr>
        <w:tc>
          <w:tcPr>
            <w:tcW w:type="dxa" w:w="864"/>
            <w:shd w:fill="FDE9C0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3456"/>
            <w:shd w:fill="FDE9C0"/>
          </w:tcPr>
          <w:p>
            <w:r>
              <w:rPr>
                <w:sz w:val="21"/>
              </w:rPr>
              <w:t>Jose Beltran Schuck, MD</w:t>
            </w:r>
          </w:p>
        </w:tc>
        <w:tc>
          <w:tcPr>
            <w:tcW w:type="dxa" w:w="2592"/>
            <w:shd w:fill="FDE9C0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872"/>
            <w:shd w:fill="FDE9C0"/>
          </w:tcPr>
          <w:p>
            <w:r>
              <w:rPr>
                <w:sz w:val="21"/>
              </w:rPr>
              <w:t>81.1%</w:t>
            </w:r>
          </w:p>
        </w:tc>
        <w:tc>
          <w:tcPr>
            <w:tcW w:type="dxa" w:w="3312"/>
            <w:shd w:fill="FDE9C0"/>
          </w:tcPr>
          <w:p>
            <w:r>
              <w:rPr>
                <w:sz w:val="21"/>
              </w:rPr>
              <w:t>Needs Improvement</w:t>
            </w:r>
          </w:p>
        </w:tc>
      </w:tr>
      <w:tr>
        <w:tc>
          <w:tcPr>
            <w:tcW w:type="dxa" w:w="864"/>
            <w:shd w:fill="FDE9C0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3456"/>
            <w:shd w:fill="FDE9C0"/>
          </w:tcPr>
          <w:p>
            <w:r>
              <w:rPr>
                <w:sz w:val="21"/>
              </w:rPr>
              <w:t>Jose Velez Palmer, MD</w:t>
            </w:r>
          </w:p>
        </w:tc>
        <w:tc>
          <w:tcPr>
            <w:tcW w:type="dxa" w:w="2592"/>
            <w:shd w:fill="FDE9C0"/>
          </w:tcPr>
          <w:p>
            <w:r>
              <w:rPr>
                <w:sz w:val="21"/>
              </w:rPr>
              <w:t>IMC Vital Capitado</w:t>
            </w:r>
          </w:p>
        </w:tc>
        <w:tc>
          <w:tcPr>
            <w:tcW w:type="dxa" w:w="1872"/>
            <w:shd w:fill="FDE9C0"/>
          </w:tcPr>
          <w:p>
            <w:r>
              <w:rPr>
                <w:sz w:val="21"/>
              </w:rPr>
              <w:t>80.4%</w:t>
            </w:r>
          </w:p>
        </w:tc>
        <w:tc>
          <w:tcPr>
            <w:tcW w:type="dxa" w:w="3312"/>
            <w:shd w:fill="FDE9C0"/>
          </w:tcPr>
          <w:p>
            <w:r>
              <w:rPr>
                <w:sz w:val="21"/>
              </w:rPr>
              <w:t>Needs Improvement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Marcos Velez Cacho,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80.0%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Miguel Rivera Viera,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Triple S Advantage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77.5%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Limary Cordero Rivera,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MMM Advantage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77.3%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Alwin Torres Ortiz,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MMM Advantage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75.3%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Victor Baez De Jesus,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75.2%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9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Deborah Mendez Gines,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MMM Vital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75.0%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10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Miriam Castro Chandri,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Triple S Vital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74.3%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11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Yolis Guerrero del Rio,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72.0%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  <w:tr>
        <w:tc>
          <w:tcPr>
            <w:tcW w:type="dxa" w:w="864"/>
            <w:shd w:fill="F8C9C9"/>
          </w:tcPr>
          <w:p>
            <w:r>
              <w:rPr>
                <w:sz w:val="21"/>
              </w:rPr>
              <w:t>12</w:t>
            </w:r>
          </w:p>
        </w:tc>
        <w:tc>
          <w:tcPr>
            <w:tcW w:type="dxa" w:w="3456"/>
            <w:shd w:fill="F8C9C9"/>
          </w:tcPr>
          <w:p>
            <w:r>
              <w:rPr>
                <w:sz w:val="21"/>
              </w:rPr>
              <w:t>Ivette Perez Pagan, MD</w:t>
            </w:r>
          </w:p>
        </w:tc>
        <w:tc>
          <w:tcPr>
            <w:tcW w:type="dxa" w:w="2592"/>
            <w:shd w:fill="F8C9C9"/>
          </w:tcPr>
          <w:p>
            <w:r>
              <w:rPr>
                <w:sz w:val="21"/>
              </w:rPr>
              <w:t>MMM Vital Capitado</w:t>
            </w:r>
          </w:p>
        </w:tc>
        <w:tc>
          <w:tcPr>
            <w:tcW w:type="dxa" w:w="1872"/>
            <w:shd w:fill="F8C9C9"/>
          </w:tcPr>
          <w:p>
            <w:r>
              <w:rPr>
                <w:sz w:val="21"/>
              </w:rPr>
              <w:t>68.9%</w:t>
            </w:r>
          </w:p>
        </w:tc>
        <w:tc>
          <w:tcPr>
            <w:tcW w:type="dxa" w:w="3312"/>
            <w:shd w:fill="F8C9C9"/>
          </w:tcPr>
          <w:p>
            <w:r>
              <w:rPr>
                <w:sz w:val="21"/>
              </w:rPr>
              <w:t>Corrective Education Required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2. Needs Improvement band (80–89%)</w:t>
      </w:r>
    </w:p>
    <w:p>
      <w:r>
        <w:rPr>
          <w:sz w:val="22"/>
        </w:rPr>
        <w:t>Three providers scored between 80% and 89%. They do not require a formal Corrective Education plan, but they should receive targeted feedback with a one-page provider tip focused on their top deficiency patterns. Monitor their next audit cycle closely — the goal is to move them into Meets Expectations (90%+) within one cycle.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68"/>
            <w:shd w:fill="0F6E6E"/>
          </w:tcPr>
          <w:p>
            <w:r>
              <w:rPr>
                <w:b/>
                <w:color w:val="FFFFFF"/>
                <w:sz w:val="21"/>
              </w:rPr>
              <w:t>Provider</w:t>
            </w:r>
          </w:p>
        </w:tc>
        <w:tc>
          <w:tcPr>
            <w:tcW w:type="dxa" w:w="2304"/>
            <w:shd w:fill="0F6E6E"/>
          </w:tcPr>
          <w:p>
            <w:r>
              <w:rPr>
                <w:b/>
                <w:color w:val="FFFFFF"/>
                <w:sz w:val="21"/>
              </w:rPr>
              <w:t>Payer</w:t>
            </w:r>
          </w:p>
        </w:tc>
        <w:tc>
          <w:tcPr>
            <w:tcW w:type="dxa" w:w="1296"/>
            <w:shd w:fill="0F6E6E"/>
          </w:tcPr>
          <w:p>
            <w:r>
              <w:rPr>
                <w:b/>
                <w:color w:val="FFFFFF"/>
                <w:sz w:val="21"/>
              </w:rPr>
              <w:t>Avg %</w:t>
            </w:r>
          </w:p>
        </w:tc>
        <w:tc>
          <w:tcPr>
            <w:tcW w:type="dxa" w:w="3888"/>
            <w:shd w:fill="0F6E6E"/>
          </w:tcPr>
          <w:p>
            <w:r>
              <w:rPr>
                <w:b/>
                <w:color w:val="FFFFFF"/>
                <w:sz w:val="21"/>
              </w:rPr>
              <w:t>Recommended action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Rolando Varga Santiago, MD</w:t>
            </w:r>
          </w:p>
        </w:tc>
        <w:tc>
          <w:tcPr>
            <w:tcW w:type="dxa" w:w="2304"/>
          </w:tcPr>
          <w:p>
            <w:r>
              <w:rPr>
                <w:sz w:val="21"/>
              </w:rPr>
              <w:t>MMM Vital</w:t>
            </w:r>
          </w:p>
        </w:tc>
        <w:tc>
          <w:tcPr>
            <w:tcW w:type="dxa" w:w="1296"/>
          </w:tcPr>
          <w:p>
            <w:r>
              <w:rPr>
                <w:sz w:val="21"/>
              </w:rPr>
              <w:t>83.0%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Send provider tip · monitor next audit cycle · target: 90%+</w:t>
            </w:r>
          </w:p>
        </w:tc>
      </w:tr>
      <w:tr>
        <w:tc>
          <w:tcPr>
            <w:tcW w:type="dxa" w:w="3168"/>
            <w:shd w:fill="F1F8F7"/>
          </w:tcPr>
          <w:p>
            <w:r>
              <w:rPr>
                <w:sz w:val="21"/>
              </w:rPr>
              <w:t>Jose Beltran Schuck, MD</w:t>
            </w:r>
          </w:p>
        </w:tc>
        <w:tc>
          <w:tcPr>
            <w:tcW w:type="dxa" w:w="2304"/>
            <w:shd w:fill="F1F8F7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296"/>
            <w:shd w:fill="F1F8F7"/>
          </w:tcPr>
          <w:p>
            <w:r>
              <w:rPr>
                <w:sz w:val="21"/>
              </w:rPr>
              <w:t>81.1%</w:t>
            </w:r>
          </w:p>
        </w:tc>
        <w:tc>
          <w:tcPr>
            <w:tcW w:type="dxa" w:w="3888"/>
            <w:shd w:fill="F1F8F7"/>
          </w:tcPr>
          <w:p>
            <w:r>
              <w:rPr>
                <w:sz w:val="21"/>
              </w:rPr>
              <w:t>Send provider tip · monitor next audit cycle · target: 90%+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Jose Velez Palmer, MD</w:t>
            </w:r>
          </w:p>
        </w:tc>
        <w:tc>
          <w:tcPr>
            <w:tcW w:type="dxa" w:w="2304"/>
          </w:tcPr>
          <w:p>
            <w:r>
              <w:rPr>
                <w:sz w:val="21"/>
              </w:rPr>
              <w:t>IMC Vital Capitado</w:t>
            </w:r>
          </w:p>
        </w:tc>
        <w:tc>
          <w:tcPr>
            <w:tcW w:type="dxa" w:w="1296"/>
          </w:tcPr>
          <w:p>
            <w:r>
              <w:rPr>
                <w:sz w:val="21"/>
              </w:rPr>
              <w:t>80.4%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Send provider tip · monitor next audit cycle · target: 90%+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3. Corrective Education Required (&lt; 80%)</w:t>
      </w:r>
    </w:p>
    <w:p>
      <w:r>
        <w:rPr>
          <w:sz w:val="22"/>
        </w:rPr>
        <w:t>Nine providers scored below 80%. Each requires a formal Corrective Education plan, live 1-on-1 education session, and re-audit within 60–90 days of the education date. Missing the re-audit or failing to score above 80% on re-audit triggers escalation to the Compliance Committee.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68"/>
            <w:shd w:fill="0F6E6E"/>
          </w:tcPr>
          <w:p>
            <w:r>
              <w:rPr>
                <w:b/>
                <w:color w:val="FFFFFF"/>
                <w:sz w:val="21"/>
              </w:rPr>
              <w:t>Provider</w:t>
            </w:r>
          </w:p>
        </w:tc>
        <w:tc>
          <w:tcPr>
            <w:tcW w:type="dxa" w:w="2304"/>
            <w:shd w:fill="0F6E6E"/>
          </w:tcPr>
          <w:p>
            <w:r>
              <w:rPr>
                <w:b/>
                <w:color w:val="FFFFFF"/>
                <w:sz w:val="21"/>
              </w:rPr>
              <w:t>Payer</w:t>
            </w:r>
          </w:p>
        </w:tc>
        <w:tc>
          <w:tcPr>
            <w:tcW w:type="dxa" w:w="1296"/>
            <w:shd w:fill="0F6E6E"/>
          </w:tcPr>
          <w:p>
            <w:r>
              <w:rPr>
                <w:b/>
                <w:color w:val="FFFFFF"/>
                <w:sz w:val="21"/>
              </w:rPr>
              <w:t>Avg %</w:t>
            </w:r>
          </w:p>
        </w:tc>
        <w:tc>
          <w:tcPr>
            <w:tcW w:type="dxa" w:w="3888"/>
            <w:shd w:fill="0F6E6E"/>
          </w:tcPr>
          <w:p>
            <w:r>
              <w:rPr>
                <w:b/>
                <w:color w:val="FFFFFF"/>
                <w:sz w:val="21"/>
              </w:rPr>
              <w:t>Required action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Marcos Velez Cacho, MD</w:t>
            </w:r>
          </w:p>
        </w:tc>
        <w:tc>
          <w:tcPr>
            <w:tcW w:type="dxa" w:w="2304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296"/>
          </w:tcPr>
          <w:p>
            <w:r>
              <w:rPr>
                <w:sz w:val="21"/>
              </w:rPr>
              <w:t>80.0%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  <w:shd w:fill="F1F8F7"/>
          </w:tcPr>
          <w:p>
            <w:r>
              <w:rPr>
                <w:sz w:val="21"/>
              </w:rPr>
              <w:t>Miguel Rivera Viera, MD</w:t>
            </w:r>
          </w:p>
        </w:tc>
        <w:tc>
          <w:tcPr>
            <w:tcW w:type="dxa" w:w="2304"/>
            <w:shd w:fill="F1F8F7"/>
          </w:tcPr>
          <w:p>
            <w:r>
              <w:rPr>
                <w:sz w:val="21"/>
              </w:rPr>
              <w:t>Triple S Advantage</w:t>
            </w:r>
          </w:p>
        </w:tc>
        <w:tc>
          <w:tcPr>
            <w:tcW w:type="dxa" w:w="1296"/>
            <w:shd w:fill="F1F8F7"/>
          </w:tcPr>
          <w:p>
            <w:r>
              <w:rPr>
                <w:sz w:val="21"/>
              </w:rPr>
              <w:t>77.5%</w:t>
            </w:r>
          </w:p>
        </w:tc>
        <w:tc>
          <w:tcPr>
            <w:tcW w:type="dxa" w:w="3888"/>
            <w:shd w:fill="F1F8F7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Limary Cordero Rivera, MD</w:t>
            </w:r>
          </w:p>
        </w:tc>
        <w:tc>
          <w:tcPr>
            <w:tcW w:type="dxa" w:w="2304"/>
          </w:tcPr>
          <w:p>
            <w:r>
              <w:rPr>
                <w:sz w:val="21"/>
              </w:rPr>
              <w:t>MMM Advantage</w:t>
            </w:r>
          </w:p>
        </w:tc>
        <w:tc>
          <w:tcPr>
            <w:tcW w:type="dxa" w:w="1296"/>
          </w:tcPr>
          <w:p>
            <w:r>
              <w:rPr>
                <w:sz w:val="21"/>
              </w:rPr>
              <w:t>77.3%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  <w:shd w:fill="F1F8F7"/>
          </w:tcPr>
          <w:p>
            <w:r>
              <w:rPr>
                <w:sz w:val="21"/>
              </w:rPr>
              <w:t>Alwin Torres Ortiz, MD</w:t>
            </w:r>
          </w:p>
        </w:tc>
        <w:tc>
          <w:tcPr>
            <w:tcW w:type="dxa" w:w="2304"/>
            <w:shd w:fill="F1F8F7"/>
          </w:tcPr>
          <w:p>
            <w:r>
              <w:rPr>
                <w:sz w:val="21"/>
              </w:rPr>
              <w:t>MMM Advantage</w:t>
            </w:r>
          </w:p>
        </w:tc>
        <w:tc>
          <w:tcPr>
            <w:tcW w:type="dxa" w:w="1296"/>
            <w:shd w:fill="F1F8F7"/>
          </w:tcPr>
          <w:p>
            <w:r>
              <w:rPr>
                <w:sz w:val="21"/>
              </w:rPr>
              <w:t>75.3%</w:t>
            </w:r>
          </w:p>
        </w:tc>
        <w:tc>
          <w:tcPr>
            <w:tcW w:type="dxa" w:w="3888"/>
            <w:shd w:fill="F1F8F7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Victor Baez De Jesus, MD</w:t>
            </w:r>
          </w:p>
        </w:tc>
        <w:tc>
          <w:tcPr>
            <w:tcW w:type="dxa" w:w="2304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296"/>
          </w:tcPr>
          <w:p>
            <w:r>
              <w:rPr>
                <w:sz w:val="21"/>
              </w:rPr>
              <w:t>75.2%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  <w:shd w:fill="F1F8F7"/>
          </w:tcPr>
          <w:p>
            <w:r>
              <w:rPr>
                <w:sz w:val="21"/>
              </w:rPr>
              <w:t>Deborah Mendez Gines, MD</w:t>
            </w:r>
          </w:p>
        </w:tc>
        <w:tc>
          <w:tcPr>
            <w:tcW w:type="dxa" w:w="2304"/>
            <w:shd w:fill="F1F8F7"/>
          </w:tcPr>
          <w:p>
            <w:r>
              <w:rPr>
                <w:sz w:val="21"/>
              </w:rPr>
              <w:t>MMM Vital</w:t>
            </w:r>
          </w:p>
        </w:tc>
        <w:tc>
          <w:tcPr>
            <w:tcW w:type="dxa" w:w="1296"/>
            <w:shd w:fill="F1F8F7"/>
          </w:tcPr>
          <w:p>
            <w:r>
              <w:rPr>
                <w:sz w:val="21"/>
              </w:rPr>
              <w:t>75.0%</w:t>
            </w:r>
          </w:p>
        </w:tc>
        <w:tc>
          <w:tcPr>
            <w:tcW w:type="dxa" w:w="3888"/>
            <w:shd w:fill="F1F8F7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Miriam Castro Chandri, MD</w:t>
            </w:r>
          </w:p>
        </w:tc>
        <w:tc>
          <w:tcPr>
            <w:tcW w:type="dxa" w:w="2304"/>
          </w:tcPr>
          <w:p>
            <w:r>
              <w:rPr>
                <w:sz w:val="21"/>
              </w:rPr>
              <w:t>Triple S Vital</w:t>
            </w:r>
          </w:p>
        </w:tc>
        <w:tc>
          <w:tcPr>
            <w:tcW w:type="dxa" w:w="1296"/>
          </w:tcPr>
          <w:p>
            <w:r>
              <w:rPr>
                <w:sz w:val="21"/>
              </w:rPr>
              <w:t>74.3%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  <w:shd w:fill="F1F8F7"/>
          </w:tcPr>
          <w:p>
            <w:r>
              <w:rPr>
                <w:sz w:val="21"/>
              </w:rPr>
              <w:t>Yolis Guerrero del Rio, MD</w:t>
            </w:r>
          </w:p>
        </w:tc>
        <w:tc>
          <w:tcPr>
            <w:tcW w:type="dxa" w:w="2304"/>
            <w:shd w:fill="F1F8F7"/>
          </w:tcPr>
          <w:p>
            <w:r>
              <w:rPr>
                <w:sz w:val="21"/>
              </w:rPr>
              <w:t>MCS Classicare</w:t>
            </w:r>
          </w:p>
        </w:tc>
        <w:tc>
          <w:tcPr>
            <w:tcW w:type="dxa" w:w="1296"/>
            <w:shd w:fill="F1F8F7"/>
          </w:tcPr>
          <w:p>
            <w:r>
              <w:rPr>
                <w:sz w:val="21"/>
              </w:rPr>
              <w:t>72.0%</w:t>
            </w:r>
          </w:p>
        </w:tc>
        <w:tc>
          <w:tcPr>
            <w:tcW w:type="dxa" w:w="3888"/>
            <w:shd w:fill="F1F8F7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Ivette Perez Pagan, MD</w:t>
            </w:r>
          </w:p>
        </w:tc>
        <w:tc>
          <w:tcPr>
            <w:tcW w:type="dxa" w:w="2304"/>
          </w:tcPr>
          <w:p>
            <w:r>
              <w:rPr>
                <w:sz w:val="21"/>
              </w:rPr>
              <w:t>MMM Vital Capitado</w:t>
            </w:r>
          </w:p>
        </w:tc>
        <w:tc>
          <w:tcPr>
            <w:tcW w:type="dxa" w:w="1296"/>
          </w:tcPr>
          <w:p>
            <w:r>
              <w:rPr>
                <w:sz w:val="21"/>
              </w:rPr>
              <w:t>68.9%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Open corrective plan · schedule 1-on-1 education · re-audit in 60–90 days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4. Pending review — PDF format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E6F4F1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6480"/>
          </w:tcPr>
          <w:p>
            <w:r>
              <w:t>Alejandra Velez Alicea, MD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6480"/>
          </w:tcPr>
          <w:p>
            <w:r>
              <w:t>PDF (not Excel workbook)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480"/>
          </w:tcPr>
          <w:p>
            <w:r>
              <w:t>Excluded from automated ranking — requires manual entry into a workbook to be included in the rollup</w:t>
            </w:r>
          </w:p>
        </w:tc>
      </w:tr>
      <w:tr>
        <w:tc>
          <w:tcPr>
            <w:tcW w:type="dxa" w:w="2880"/>
            <w:shd w:fill="E6F4F1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6480"/>
          </w:tcPr>
          <w:p>
            <w:r>
              <w:t>Convert the PDF findings to the standard audit workbook so this provider's compliance % joins the ranked list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5. Program-level recommendations</w:t>
      </w:r>
    </w:p>
    <w:p>
      <w:pPr>
        <w:spacing w:before="200" w:after="80"/>
      </w:pPr>
      <w:r>
        <w:rPr>
          <w:b/>
          <w:color w:val="0F172A"/>
          <w:sz w:val="26"/>
        </w:rPr>
        <w:t>Immediate (this week)</w:t>
      </w:r>
    </w:p>
    <w:p>
      <w:pPr>
        <w:pStyle w:val="ListBullet"/>
        <w:spacing w:after="60"/>
        <w:ind w:left="360"/>
      </w:pPr>
      <w:r>
        <w:t>Open a Corrective Education plan for all 9 providers in the &lt; 80% band and schedule 1-on-1 education sessions.</w:t>
      </w:r>
    </w:p>
    <w:p>
      <w:pPr>
        <w:pStyle w:val="ListBullet"/>
        <w:spacing w:after="60"/>
        <w:ind w:left="360"/>
      </w:pPr>
      <w:r>
        <w:t>Send monthly scorecard emails to all 12 providers including their band, top deficiencies, and next audit date.</w:t>
      </w:r>
    </w:p>
    <w:p>
      <w:pPr>
        <w:pStyle w:val="ListBullet"/>
        <w:spacing w:after="60"/>
        <w:ind w:left="360"/>
      </w:pPr>
      <w:r>
        <w:t>Notify the Medical Director of the 9 corrective-plan providers so they're aware and can support the education.</w:t>
      </w:r>
    </w:p>
    <w:p>
      <w:pPr>
        <w:spacing w:before="200" w:after="80"/>
      </w:pPr>
      <w:r>
        <w:rPr>
          <w:b/>
          <w:color w:val="0F172A"/>
          <w:sz w:val="26"/>
        </w:rPr>
        <w:t>Short-term (next 30 days)</w:t>
      </w:r>
    </w:p>
    <w:p>
      <w:pPr>
        <w:pStyle w:val="ListBullet"/>
        <w:spacing w:after="60"/>
        <w:ind w:left="360"/>
      </w:pPr>
      <w:r>
        <w:t>Deliver a 1-hour group education session to all Family Medicine providers focused on the top 3 recurring deficiencies across the cycle.</w:t>
      </w:r>
    </w:p>
    <w:p>
      <w:pPr>
        <w:pStyle w:val="ListBullet"/>
        <w:spacing w:after="60"/>
        <w:ind w:left="360"/>
      </w:pPr>
      <w:r>
        <w:t>Re-audit each corrective-plan provider on a rolling schedule (target 60–90 days from education).</w:t>
      </w:r>
    </w:p>
    <w:p>
      <w:pPr>
        <w:pStyle w:val="ListBullet"/>
        <w:spacing w:after="60"/>
        <w:ind w:left="360"/>
      </w:pPr>
      <w:r>
        <w:t>Update the KPI Tracker with this cycle's data so leadership sees the baseline trend.</w:t>
      </w:r>
    </w:p>
    <w:p>
      <w:pPr>
        <w:spacing w:before="200" w:after="80"/>
      </w:pPr>
      <w:r>
        <w:rPr>
          <w:b/>
          <w:color w:val="0F172A"/>
          <w:sz w:val="26"/>
        </w:rPr>
        <w:t>Structural / systemic</w:t>
      </w:r>
    </w:p>
    <w:p>
      <w:pPr>
        <w:pStyle w:val="ListBullet"/>
        <w:spacing w:after="60"/>
        <w:ind w:left="360"/>
      </w:pPr>
      <w:r>
        <w:t>The fact that no provider reached Meets Expectations suggests the deficiency is a documentation-system issue, not an individual-provider issue. Investigate: (a) EHR template gaps, (b) provider training gaps, (c) copy-forward workflow issues.</w:t>
      </w:r>
    </w:p>
    <w:p>
      <w:pPr>
        <w:pStyle w:val="ListBullet"/>
        <w:spacing w:after="60"/>
        <w:ind w:left="360"/>
      </w:pPr>
      <w:r>
        <w:t>Consider a documentation-improvement pilot with one clinic (2 providers) to test whether a structured intervention moves scores to 90%+.</w:t>
      </w:r>
    </w:p>
    <w:p>
      <w:pPr>
        <w:pStyle w:val="ListBullet"/>
        <w:spacing w:after="60"/>
        <w:ind w:left="360"/>
      </w:pPr>
      <w:r>
        <w:t>Escalate the systemic finding to the Compliance Committee and Revenue Integrity leadership.</w:t>
      </w:r>
    </w:p>
    <w:p>
      <w:pPr>
        <w:spacing w:before="320" w:after="120"/>
      </w:pPr>
      <w:r>
        <w:rPr>
          <w:b/>
          <w:color w:val="0F6E6E"/>
          <w:sz w:val="32"/>
        </w:rPr>
        <w:t>6. Compliance note</w:t>
      </w:r>
    </w:p>
    <w:p>
      <w:r>
        <w:rPr>
          <w:sz w:val="22"/>
        </w:rPr>
        <w:t>This report is generated from formal internal audits performed under the OIG Compliance Program Guidance element #4 (Internal Monitoring &amp; Auditing). Findings are documentation-based observations; individual clinical decisions remain within provider scope. Distribute only to Compliance, Revenue Integrity, the audited providers, and the Medical Director.</w:t>
      </w:r>
    </w:p>
    <w:p>
      <w:r>
        <w:rPr>
          <w:sz w:val="22"/>
        </w:rPr>
        <w:t>All 12 audit workbooks are archived in the shared drive and available for provider-level review upon request.</w:t>
      </w:r>
    </w:p>
    <w:p>
      <w:pPr>
        <w:spacing w:before="480"/>
      </w:pPr>
      <w:r>
        <w:rPr>
          <w:i/>
          <w:color w:val="555555"/>
        </w:rPr>
        <w:t>End of report · prepared by Eric Galan, Coding &amp; CDI Lead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