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color w:val="0F172A"/>
          <w:sz w:val="52"/>
        </w:rPr>
        <w:t>Clinical Documentation Audit</w:t>
      </w:r>
    </w:p>
    <w:p>
      <w:pPr>
        <w:spacing w:after="280"/>
      </w:pPr>
      <w:r>
        <w:rPr>
          <w:i/>
          <w:color w:val="555555"/>
          <w:sz w:val="22"/>
        </w:rPr>
        <w:t>Auditor Instruction Guide  ·  How to use the workbook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16"/>
            <w:shd w:fill="E6F4F1"/>
            <w:vAlign w:val="center"/>
          </w:tcPr>
          <w:p>
            <w:r>
              <w:rPr>
                <w:b/>
              </w:rPr>
              <w:t>Tool</w:t>
            </w:r>
          </w:p>
        </w:tc>
        <w:tc>
          <w:tcPr>
            <w:tcW w:type="dxa" w:w="6624"/>
            <w:vAlign w:val="center"/>
          </w:tcPr>
          <w:p>
            <w:r>
              <w:t>Clinical_Documentation_Audit_Simple.xlsx</w:t>
            </w:r>
          </w:p>
        </w:tc>
      </w:tr>
      <w:tr>
        <w:tc>
          <w:tcPr>
            <w:tcW w:type="dxa" w:w="2016"/>
            <w:shd w:fill="E6F4F1"/>
            <w:vAlign w:val="center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6624"/>
            <w:vAlign w:val="center"/>
          </w:tcPr>
          <w:p>
            <w:r>
              <w:t>Monthly weighted audit of clinical documentation quality</w:t>
            </w:r>
          </w:p>
        </w:tc>
      </w:tr>
      <w:tr>
        <w:tc>
          <w:tcPr>
            <w:tcW w:type="dxa" w:w="2016"/>
            <w:shd w:fill="E6F4F1"/>
            <w:vAlign w:val="center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24"/>
            <w:vAlign w:val="center"/>
          </w:tcPr>
          <w:p>
            <w:r>
              <w:t>Internal auditor — Coding, Compliance, and Revenue Integrity</w:t>
            </w:r>
          </w:p>
        </w:tc>
      </w:tr>
      <w:tr>
        <w:tc>
          <w:tcPr>
            <w:tcW w:type="dxa" w:w="2016"/>
            <w:shd w:fill="E6F4F1"/>
            <w:vAlign w:val="center"/>
          </w:tcPr>
          <w:p>
            <w:r>
              <w:rPr>
                <w:b/>
              </w:rPr>
              <w:t>Providers</w:t>
            </w:r>
          </w:p>
        </w:tc>
        <w:tc>
          <w:tcPr>
            <w:tcW w:type="dxa" w:w="6624"/>
            <w:vAlign w:val="center"/>
          </w:tcPr>
          <w:p>
            <w:r>
              <w:t>Family Medicine · Internal Medicine · General Medicine</w:t>
            </w:r>
          </w:p>
        </w:tc>
      </w:tr>
      <w:tr>
        <w:tc>
          <w:tcPr>
            <w:tcW w:type="dxa" w:w="2016"/>
            <w:shd w:fill="E6F4F1"/>
            <w:vAlign w:val="center"/>
          </w:tcPr>
          <w:p>
            <w:r>
              <w:rPr>
                <w:b/>
              </w:rPr>
              <w:t>Cycle</w:t>
            </w:r>
          </w:p>
        </w:tc>
        <w:tc>
          <w:tcPr>
            <w:tcW w:type="dxa" w:w="6624"/>
            <w:vAlign w:val="center"/>
          </w:tcPr>
          <w:p>
            <w:r>
              <w:t>Monthly — 10 charts per provider per month</w:t>
            </w:r>
          </w:p>
        </w:tc>
      </w:tr>
      <w:tr>
        <w:tc>
          <w:tcPr>
            <w:tcW w:type="dxa" w:w="2016"/>
            <w:shd w:fill="E6F4F1"/>
            <w:vAlign w:val="center"/>
          </w:tcPr>
          <w:p>
            <w:r>
              <w:rPr>
                <w:b/>
              </w:rPr>
              <w:t>Chart mix</w:t>
            </w:r>
          </w:p>
        </w:tc>
        <w:tc>
          <w:tcPr>
            <w:tcW w:type="dxa" w:w="6624"/>
            <w:vAlign w:val="center"/>
          </w:tcPr>
          <w:p>
            <w:r>
              <w:t>3 Diabetes · 2 CKD · 2 AWV · 2 High-RAF · 1 Random</w:t>
            </w:r>
          </w:p>
        </w:tc>
      </w:tr>
      <w:tr>
        <w:tc>
          <w:tcPr>
            <w:tcW w:type="dxa" w:w="2016"/>
            <w:shd w:fill="E6F4F1"/>
            <w:vAlign w:val="center"/>
          </w:tcPr>
          <w:p>
            <w:r>
              <w:rPr>
                <w:b/>
              </w:rPr>
              <w:t>Scoring</w:t>
            </w:r>
          </w:p>
        </w:tc>
        <w:tc>
          <w:tcPr>
            <w:tcW w:type="dxa" w:w="6624"/>
            <w:vAlign w:val="center"/>
          </w:tcPr>
          <w:p>
            <w:r>
              <w:t>Weighted: Dx 30% · Doc 25% · SOAP 25% · HCC 10% · CPT II support 10%</w:t>
            </w:r>
          </w:p>
        </w:tc>
      </w:tr>
      <w:tr>
        <w:tc>
          <w:tcPr>
            <w:tcW w:type="dxa" w:w="2016"/>
            <w:shd w:fill="E6F4F1"/>
            <w:vAlign w:val="center"/>
          </w:tcPr>
          <w:p>
            <w:r>
              <w:rPr>
                <w:b/>
              </w:rPr>
              <w:t>Bands</w:t>
            </w:r>
          </w:p>
        </w:tc>
        <w:tc>
          <w:tcPr>
            <w:tcW w:type="dxa" w:w="6624"/>
            <w:vAlign w:val="center"/>
          </w:tcPr>
          <w:p>
            <w:r>
              <w:t>Excellent ≥95 · Meets 90–94 · Needs Improvement 80–89 · Corrective &lt;80</w:t>
            </w:r>
          </w:p>
        </w:tc>
      </w:tr>
    </w:tbl>
    <w:p/>
    <w:p>
      <w:pPr>
        <w:spacing w:before="280" w:after="120"/>
      </w:pPr>
      <w:r>
        <w:rPr>
          <w:b/>
          <w:color w:val="0F6E6E"/>
          <w:sz w:val="32"/>
        </w:rPr>
        <w:t>1. What this tool is for</w:t>
      </w:r>
    </w:p>
    <w:p>
      <w:r>
        <w:t>This workbook is a focused, single-auditor version of an internal Clinical Documentation Audit program. It walks you through a chart-by-chart review of provider documentation and calculates a weighted compliance score in real time. The tool is designed for a workflow where the billing team is responsible for assigning CPT and CPT II codes; your job as the auditor is to verify the documentation gives them what they need.</w:t>
      </w:r>
    </w:p>
    <w:p>
      <w:r>
        <w:t>Your outputs from this tool are:</w:t>
      </w:r>
    </w:p>
    <w:p>
      <w:pPr>
        <w:pStyle w:val="ListBullet"/>
        <w:spacing w:after="60"/>
        <w:ind w:left="360"/>
      </w:pPr>
      <w:r>
        <w:t>A per-chart score and rating (Excellent / Meets / Needs Improvement / Corrective).</w:t>
      </w:r>
    </w:p>
    <w:p>
      <w:pPr>
        <w:pStyle w:val="ListBullet"/>
        <w:spacing w:after="60"/>
        <w:ind w:left="360"/>
      </w:pPr>
      <w:r>
        <w:t>A rolling audit log of every chart you review.</w:t>
      </w:r>
    </w:p>
    <w:p>
      <w:pPr>
        <w:pStyle w:val="ListBullet"/>
        <w:spacing w:after="60"/>
        <w:ind w:left="360"/>
      </w:pPr>
      <w:r>
        <w:t>A quarterly report with KPIs and a provider progression chart showing improvement or decline over time.</w:t>
      </w:r>
    </w:p>
    <w:p>
      <w:pPr>
        <w:spacing w:before="280" w:after="120"/>
      </w:pPr>
      <w:r>
        <w:rPr>
          <w:b/>
          <w:color w:val="0F6E6E"/>
          <w:sz w:val="32"/>
        </w:rPr>
        <w:t>2. The four tabs, at a glance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16"/>
            <w:shd w:fill="0F6E6E"/>
          </w:tcPr>
          <w:p>
            <w:r>
              <w:rPr>
                <w:b/>
                <w:color w:val="FFFFFF"/>
              </w:rPr>
              <w:t>Tab</w:t>
            </w:r>
          </w:p>
        </w:tc>
        <w:tc>
          <w:tcPr>
            <w:tcW w:type="dxa" w:w="4752"/>
            <w:shd w:fill="0F6E6E"/>
          </w:tcPr>
          <w:p>
            <w:r>
              <w:rPr>
                <w:b/>
                <w:color w:val="FFFFFF"/>
              </w:rPr>
              <w:t>What it's for</w:t>
            </w:r>
          </w:p>
        </w:tc>
        <w:tc>
          <w:tcPr>
            <w:tcW w:type="dxa" w:w="2448"/>
            <w:shd w:fill="0F6E6E"/>
          </w:tcPr>
          <w:p>
            <w:r>
              <w:rPr>
                <w:b/>
                <w:color w:val="FFFFFF"/>
              </w:rPr>
              <w:t>When you use it</w:t>
            </w:r>
          </w:p>
        </w:tc>
      </w:tr>
      <w:tr>
        <w:tc>
          <w:tcPr>
            <w:tcW w:type="dxa" w:w="2016"/>
          </w:tcPr>
          <w:p>
            <w:r>
              <w:t>Audit Checklist</w:t>
            </w:r>
          </w:p>
        </w:tc>
        <w:tc>
          <w:tcPr>
            <w:tcW w:type="dxa" w:w="4752"/>
          </w:tcPr>
          <w:p>
            <w:r>
              <w:t>The working form — one chart per fill-out.</w:t>
            </w:r>
          </w:p>
        </w:tc>
        <w:tc>
          <w:tcPr>
            <w:tcW w:type="dxa" w:w="2448"/>
          </w:tcPr>
          <w:p>
            <w:r>
              <w:t>Every chart audit.</w:t>
            </w:r>
          </w:p>
        </w:tc>
      </w:tr>
      <w:tr>
        <w:tc>
          <w:tcPr>
            <w:tcW w:type="dxa" w:w="2016"/>
            <w:shd w:fill="F1F8F7"/>
          </w:tcPr>
          <w:p>
            <w:r>
              <w:t>Audit Log</w:t>
            </w:r>
          </w:p>
        </w:tc>
        <w:tc>
          <w:tcPr>
            <w:tcW w:type="dxa" w:w="4752"/>
            <w:shd w:fill="F1F8F7"/>
          </w:tcPr>
          <w:p>
            <w:r>
              <w:t>Rolling record of finished audits.</w:t>
            </w:r>
          </w:p>
        </w:tc>
        <w:tc>
          <w:tcPr>
            <w:tcW w:type="dxa" w:w="2448"/>
            <w:shd w:fill="F1F8F7"/>
          </w:tcPr>
          <w:p>
            <w:r>
              <w:t>After you complete a chart.</w:t>
            </w:r>
          </w:p>
        </w:tc>
      </w:tr>
      <w:tr>
        <w:tc>
          <w:tcPr>
            <w:tcW w:type="dxa" w:w="2016"/>
          </w:tcPr>
          <w:p>
            <w:r>
              <w:t>Quick Reference</w:t>
            </w:r>
          </w:p>
        </w:tc>
        <w:tc>
          <w:tcPr>
            <w:tcW w:type="dxa" w:w="4752"/>
          </w:tcPr>
          <w:p>
            <w:r>
              <w:t>SOAP · bands · high-risk ICD-10 · CPT II.</w:t>
            </w:r>
          </w:p>
        </w:tc>
        <w:tc>
          <w:tcPr>
            <w:tcW w:type="dxa" w:w="2448"/>
          </w:tcPr>
          <w:p>
            <w:r>
              <w:t>Anytime you need a lookup.</w:t>
            </w:r>
          </w:p>
        </w:tc>
      </w:tr>
      <w:tr>
        <w:tc>
          <w:tcPr>
            <w:tcW w:type="dxa" w:w="2016"/>
            <w:shd w:fill="F1F8F7"/>
          </w:tcPr>
          <w:p>
            <w:r>
              <w:t>Quarterly Report</w:t>
            </w:r>
          </w:p>
        </w:tc>
        <w:tc>
          <w:tcPr>
            <w:tcW w:type="dxa" w:w="4752"/>
            <w:shd w:fill="F1F8F7"/>
          </w:tcPr>
          <w:p>
            <w:r>
              <w:t>KPIs + provider progression line chart.</w:t>
            </w:r>
          </w:p>
        </w:tc>
        <w:tc>
          <w:tcPr>
            <w:tcW w:type="dxa" w:w="2448"/>
            <w:shd w:fill="F1F8F7"/>
          </w:tcPr>
          <w:p>
            <w:r>
              <w:t>Quarterly reporting.</w:t>
            </w:r>
          </w:p>
        </w:tc>
      </w:tr>
    </w:tbl>
    <w:p>
      <w:pPr>
        <w:spacing w:before="280" w:after="120"/>
      </w:pPr>
      <w:r>
        <w:rPr>
          <w:b/>
          <w:color w:val="0F6E6E"/>
          <w:sz w:val="32"/>
        </w:rPr>
        <w:t>3. How to audit a chart (step by step)</w:t>
      </w:r>
    </w:p>
    <w:p>
      <w:pPr>
        <w:pStyle w:val="ListNumber"/>
        <w:spacing w:after="60"/>
        <w:ind w:left="360"/>
      </w:pPr>
      <w:r>
        <w:t>Open the workbook and go to the Audit Checklist tab.</w:t>
      </w:r>
    </w:p>
    <w:p>
      <w:pPr>
        <w:pStyle w:val="ListNumber"/>
        <w:spacing w:after="60"/>
        <w:ind w:left="360"/>
      </w:pPr>
      <w:r>
        <w:t>Right-click the tab, choose Move or Copy, and check Create a copy. Rename the new tab something like PatientID_YYYY-MM (e.g. CLM-2026-005_2026-07). This keeps a permanent record of every chart audited.</w:t>
      </w:r>
    </w:p>
    <w:p>
      <w:pPr>
        <w:pStyle w:val="ListNumber"/>
        <w:spacing w:after="60"/>
        <w:ind w:left="360"/>
      </w:pPr>
      <w:r>
        <w:t>Fill in the yellow header cells: Provider, Date of Service, Claim Number, Auditor, Category, and Payer. Category and Payer are dropdowns.</w:t>
      </w:r>
    </w:p>
    <w:p>
      <w:pPr>
        <w:pStyle w:val="ListNumber"/>
        <w:spacing w:after="60"/>
        <w:ind w:left="360"/>
      </w:pPr>
      <w:r>
        <w:t>Rate each of the 18 checklist items in column C using the dropdown: ✓ Met, △ Partial, ✗ Not Met, or N/A. Add a short note in column E when the finding needs explanation.</w:t>
      </w:r>
    </w:p>
    <w:p>
      <w:pPr>
        <w:pStyle w:val="ListNumber"/>
        <w:spacing w:after="60"/>
        <w:ind w:left="360"/>
      </w:pPr>
      <w:r>
        <w:t>The Points column, category subtotals, Overall Compliance %, and Performance Band all calculate automatically. Don't type into those cells.</w:t>
      </w:r>
    </w:p>
    <w:p>
      <w:pPr>
        <w:pStyle w:val="ListNumber"/>
        <w:spacing w:after="60"/>
        <w:ind w:left="360"/>
      </w:pPr>
      <w:r>
        <w:t>When finished, go to the Audit Log tab and add a row with the date, provider, claim number, compliance %, rating, top deficiencies, and any follow-up notes.</w:t>
      </w:r>
    </w:p>
    <w:p>
      <w:pPr>
        <w:spacing w:before="200" w:after="80"/>
      </w:pPr>
      <w:r>
        <w:rPr>
          <w:b/>
          <w:color w:val="0F172A"/>
          <w:sz w:val="26"/>
        </w:rPr>
        <w:t>Rating scale — what each option means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28"/>
            <w:shd w:fill="0F6E6E"/>
          </w:tcPr>
          <w:p>
            <w:r>
              <w:rPr>
                <w:b/>
                <w:color w:val="FFFFFF"/>
              </w:rPr>
              <w:t>Rating</w:t>
            </w:r>
          </w:p>
        </w:tc>
        <w:tc>
          <w:tcPr>
            <w:tcW w:type="dxa" w:w="1296"/>
            <w:shd w:fill="0F6E6E"/>
          </w:tcPr>
          <w:p>
            <w:r>
              <w:rPr>
                <w:b/>
                <w:color w:val="FFFFFF"/>
              </w:rPr>
              <w:t>Points</w:t>
            </w:r>
          </w:p>
        </w:tc>
        <w:tc>
          <w:tcPr>
            <w:tcW w:type="dxa" w:w="6192"/>
            <w:shd w:fill="0F6E6E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1728"/>
          </w:tcPr>
          <w:p>
            <w:r>
              <w:t>✓ Met</w:t>
            </w:r>
          </w:p>
        </w:tc>
        <w:tc>
          <w:tcPr>
            <w:tcW w:type="dxa" w:w="1296"/>
          </w:tcPr>
          <w:p>
            <w:r>
              <w:t>1.0</w:t>
            </w:r>
          </w:p>
        </w:tc>
        <w:tc>
          <w:tcPr>
            <w:tcW w:type="dxa" w:w="6192"/>
          </w:tcPr>
          <w:p>
            <w:r>
              <w:t>Element is clearly and fully documented in the note.</w:t>
            </w:r>
          </w:p>
        </w:tc>
      </w:tr>
      <w:tr>
        <w:tc>
          <w:tcPr>
            <w:tcW w:type="dxa" w:w="1728"/>
            <w:shd w:fill="F1F8F7"/>
          </w:tcPr>
          <w:p>
            <w:r>
              <w:t>△ Partial</w:t>
            </w:r>
          </w:p>
        </w:tc>
        <w:tc>
          <w:tcPr>
            <w:tcW w:type="dxa" w:w="1296"/>
            <w:shd w:fill="F1F8F7"/>
          </w:tcPr>
          <w:p>
            <w:r>
              <w:t>0.5</w:t>
            </w:r>
          </w:p>
        </w:tc>
        <w:tc>
          <w:tcPr>
            <w:tcW w:type="dxa" w:w="6192"/>
            <w:shd w:fill="F1F8F7"/>
          </w:tcPr>
          <w:p>
            <w:r>
              <w:t>Element is present but incomplete, imprecise, or partially supported.</w:t>
            </w:r>
          </w:p>
        </w:tc>
      </w:tr>
      <w:tr>
        <w:tc>
          <w:tcPr>
            <w:tcW w:type="dxa" w:w="1728"/>
          </w:tcPr>
          <w:p>
            <w:r>
              <w:t>✗ Not Met</w:t>
            </w:r>
          </w:p>
        </w:tc>
        <w:tc>
          <w:tcPr>
            <w:tcW w:type="dxa" w:w="1296"/>
          </w:tcPr>
          <w:p>
            <w:r>
              <w:t>0.0</w:t>
            </w:r>
          </w:p>
        </w:tc>
        <w:tc>
          <w:tcPr>
            <w:tcW w:type="dxa" w:w="6192"/>
          </w:tcPr>
          <w:p>
            <w:r>
              <w:t>Element is missing, absent, or contradicted.</w:t>
            </w:r>
          </w:p>
        </w:tc>
      </w:tr>
      <w:tr>
        <w:tc>
          <w:tcPr>
            <w:tcW w:type="dxa" w:w="1728"/>
            <w:shd w:fill="F1F8F7"/>
          </w:tcPr>
          <w:p>
            <w:r>
              <w:t>N/A</w:t>
            </w:r>
          </w:p>
        </w:tc>
        <w:tc>
          <w:tcPr>
            <w:tcW w:type="dxa" w:w="1296"/>
            <w:shd w:fill="F1F8F7"/>
          </w:tcPr>
          <w:p>
            <w:r>
              <w:t>—</w:t>
            </w:r>
          </w:p>
        </w:tc>
        <w:tc>
          <w:tcPr>
            <w:tcW w:type="dxa" w:w="6192"/>
            <w:shd w:fill="F1F8F7"/>
          </w:tcPr>
          <w:p>
            <w:r>
              <w:t>Element does not apply to this encounter or population.</w:t>
            </w:r>
          </w:p>
        </w:tc>
      </w:tr>
    </w:tbl>
    <w:p>
      <w:r>
        <w:t>N/A items are excluded from the denominator, so they don't hurt the provider's score. Use N/A when a criterion genuinely doesn't apply — for example, section D (HCC Capture) for a commercial-only patient with no risk-adjusted plan.</w:t>
      </w:r>
    </w:p>
    <w:p>
      <w:pPr>
        <w:spacing w:before="280" w:after="120"/>
      </w:pPr>
      <w:r>
        <w:rPr>
          <w:b/>
          <w:color w:val="0F6E6E"/>
          <w:sz w:val="32"/>
        </w:rPr>
        <w:t>4. The five audit sections explained</w:t>
      </w:r>
    </w:p>
    <w:p>
      <w:pPr>
        <w:spacing w:before="200" w:after="80"/>
      </w:pPr>
      <w:r>
        <w:rPr>
          <w:b/>
          <w:color w:val="0F172A"/>
          <w:sz w:val="26"/>
        </w:rPr>
        <w:t>A. Diagnosis Accuracy  (30% weight)</w:t>
      </w:r>
    </w:p>
    <w:p>
      <w:r>
        <w:t>What you're checking: every diagnosis on the encounter is clinically supported by what's actually in the note.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76"/>
            <w:shd w:fill="0F6E6E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168"/>
            <w:shd w:fill="0F6E6E"/>
          </w:tcPr>
          <w:p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5472"/>
            <w:shd w:fill="0F6E6E"/>
          </w:tcPr>
          <w:p>
            <w:r>
              <w:rPr>
                <w:b/>
                <w:color w:val="FFFFFF"/>
              </w:rPr>
              <w:t>Look for</w:t>
            </w:r>
          </w:p>
        </w:tc>
      </w:tr>
      <w:tr>
        <w:tc>
          <w:tcPr>
            <w:tcW w:type="dxa" w:w="576"/>
          </w:tcPr>
          <w:p>
            <w:r>
              <w:t>A1</w:t>
            </w:r>
          </w:p>
        </w:tc>
        <w:tc>
          <w:tcPr>
            <w:tcW w:type="dxa" w:w="3168"/>
          </w:tcPr>
          <w:p>
            <w:r>
              <w:t>All reported diagnoses are clinically supported</w:t>
            </w:r>
          </w:p>
        </w:tc>
        <w:tc>
          <w:tcPr>
            <w:tcW w:type="dxa" w:w="5472"/>
          </w:tcPr>
          <w:p>
            <w:r>
              <w:t>Every ICD-10 on the claim traces to a documented finding, assessment, or plan.</w:t>
            </w:r>
          </w:p>
        </w:tc>
      </w:tr>
      <w:tr>
        <w:tc>
          <w:tcPr>
            <w:tcW w:type="dxa" w:w="576"/>
            <w:shd w:fill="F1F8F7"/>
          </w:tcPr>
          <w:p>
            <w:r>
              <w:t>A2</w:t>
            </w:r>
          </w:p>
        </w:tc>
        <w:tc>
          <w:tcPr>
            <w:tcW w:type="dxa" w:w="3168"/>
            <w:shd w:fill="F1F8F7"/>
          </w:tcPr>
          <w:p>
            <w:r>
              <w:t>Chronic conditions actively addressed at this visit</w:t>
            </w:r>
          </w:p>
        </w:tc>
        <w:tc>
          <w:tcPr>
            <w:tcW w:type="dxa" w:w="5472"/>
            <w:shd w:fill="F1F8F7"/>
          </w:tcPr>
          <w:p>
            <w:r>
              <w:t>Chronic dx reviewed, monitored, or treated — not just carried forward from the problem list.</w:t>
            </w:r>
          </w:p>
        </w:tc>
      </w:tr>
      <w:tr>
        <w:tc>
          <w:tcPr>
            <w:tcW w:type="dxa" w:w="576"/>
          </w:tcPr>
          <w:p>
            <w:r>
              <w:t>A3</w:t>
            </w:r>
          </w:p>
        </w:tc>
        <w:tc>
          <w:tcPr>
            <w:tcW w:type="dxa" w:w="3168"/>
          </w:tcPr>
          <w:p>
            <w:r>
              <w:t>No unsupported or resolved conditions billed as active</w:t>
            </w:r>
          </w:p>
        </w:tc>
        <w:tc>
          <w:tcPr>
            <w:tcW w:type="dxa" w:w="5472"/>
          </w:tcPr>
          <w:p>
            <w:r>
              <w:t>Historic or resolved conditions are not billed as active.</w:t>
            </w:r>
          </w:p>
        </w:tc>
      </w:tr>
      <w:tr>
        <w:tc>
          <w:tcPr>
            <w:tcW w:type="dxa" w:w="576"/>
            <w:shd w:fill="F1F8F7"/>
          </w:tcPr>
          <w:p>
            <w:r>
              <w:t>A4</w:t>
            </w:r>
          </w:p>
        </w:tc>
        <w:tc>
          <w:tcPr>
            <w:tcW w:type="dxa" w:w="3168"/>
            <w:shd w:fill="F1F8F7"/>
          </w:tcPr>
          <w:p>
            <w:r>
              <w:t>Problem list matches today's A&amp;P</w:t>
            </w:r>
          </w:p>
        </w:tc>
        <w:tc>
          <w:tcPr>
            <w:tcW w:type="dxa" w:w="5472"/>
            <w:shd w:fill="F1F8F7"/>
          </w:tcPr>
          <w:p>
            <w:r>
              <w:t>Active problem list reconciled with today's assessment and plan.</w:t>
            </w:r>
          </w:p>
        </w:tc>
      </w:tr>
    </w:tbl>
    <w:p>
      <w:pPr>
        <w:spacing w:before="200" w:after="80"/>
      </w:pPr>
      <w:r>
        <w:rPr>
          <w:b/>
          <w:color w:val="0F172A"/>
          <w:sz w:val="26"/>
        </w:rPr>
        <w:t>B. Documentation Specificity  (25% weight)</w:t>
      </w:r>
    </w:p>
    <w:p>
      <w:r>
        <w:t>What you're checking: the level of detail. Unspecified codes lose reimbursement and mask patient acuity.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76"/>
            <w:shd w:fill="0F6E6E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168"/>
            <w:shd w:fill="0F6E6E"/>
          </w:tcPr>
          <w:p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5472"/>
            <w:shd w:fill="0F6E6E"/>
          </w:tcPr>
          <w:p>
            <w:r>
              <w:rPr>
                <w:b/>
                <w:color w:val="FFFFFF"/>
              </w:rPr>
              <w:t>Look for</w:t>
            </w:r>
          </w:p>
        </w:tc>
      </w:tr>
      <w:tr>
        <w:tc>
          <w:tcPr>
            <w:tcW w:type="dxa" w:w="576"/>
          </w:tcPr>
          <w:p>
            <w:r>
              <w:t>B1</w:t>
            </w:r>
          </w:p>
        </w:tc>
        <w:tc>
          <w:tcPr>
            <w:tcW w:type="dxa" w:w="3168"/>
          </w:tcPr>
          <w:p>
            <w:r>
              <w:t>ICD-10 at highest available specificity</w:t>
            </w:r>
          </w:p>
        </w:tc>
        <w:tc>
          <w:tcPr>
            <w:tcW w:type="dxa" w:w="5472"/>
          </w:tcPr>
          <w:p>
            <w:r>
              <w:t>Avoid 'unspecified' when documentation supports specificity (e.g., N18.30 vs N18.3).</w:t>
            </w:r>
          </w:p>
        </w:tc>
      </w:tr>
      <w:tr>
        <w:tc>
          <w:tcPr>
            <w:tcW w:type="dxa" w:w="576"/>
            <w:shd w:fill="F1F8F7"/>
          </w:tcPr>
          <w:p>
            <w:r>
              <w:t>B2</w:t>
            </w:r>
          </w:p>
        </w:tc>
        <w:tc>
          <w:tcPr>
            <w:tcW w:type="dxa" w:w="3168"/>
            <w:shd w:fill="F1F8F7"/>
          </w:tcPr>
          <w:p>
            <w:r>
              <w:t>Diabetes: type + complications + control specified</w:t>
            </w:r>
          </w:p>
        </w:tc>
        <w:tc>
          <w:tcPr>
            <w:tcW w:type="dxa" w:w="5472"/>
            <w:shd w:fill="F1F8F7"/>
          </w:tcPr>
          <w:p>
            <w:r>
              <w:t>E11 with combination code (neuropathy, CKD, retinopathy) when applicable.</w:t>
            </w:r>
          </w:p>
        </w:tc>
      </w:tr>
      <w:tr>
        <w:tc>
          <w:tcPr>
            <w:tcW w:type="dxa" w:w="576"/>
          </w:tcPr>
          <w:p>
            <w:r>
              <w:t>B3</w:t>
            </w:r>
          </w:p>
        </w:tc>
        <w:tc>
          <w:tcPr>
            <w:tcW w:type="dxa" w:w="3168"/>
          </w:tcPr>
          <w:p>
            <w:r>
              <w:t>S / O / A / P sections tell one consistent story</w:t>
            </w:r>
          </w:p>
        </w:tc>
        <w:tc>
          <w:tcPr>
            <w:tcW w:type="dxa" w:w="5472"/>
          </w:tcPr>
          <w:p>
            <w:r>
              <w:t>No contradictions between subjective, objective, assessment, and plan.</w:t>
            </w:r>
          </w:p>
        </w:tc>
      </w:tr>
      <w:tr>
        <w:tc>
          <w:tcPr>
            <w:tcW w:type="dxa" w:w="576"/>
            <w:shd w:fill="F1F8F7"/>
          </w:tcPr>
          <w:p>
            <w:r>
              <w:t>B4</w:t>
            </w:r>
          </w:p>
        </w:tc>
        <w:tc>
          <w:tcPr>
            <w:tcW w:type="dxa" w:w="3168"/>
            <w:shd w:fill="F1F8F7"/>
          </w:tcPr>
          <w:p>
            <w:r>
              <w:t>Note signed, dated, and closed</w:t>
            </w:r>
          </w:p>
        </w:tc>
        <w:tc>
          <w:tcPr>
            <w:tcW w:type="dxa" w:w="5472"/>
            <w:shd w:fill="F1F8F7"/>
          </w:tcPr>
          <w:p>
            <w:r>
              <w:t>Signed, dated, credentialed, and closed per timely-completion policy.</w:t>
            </w:r>
          </w:p>
        </w:tc>
      </w:tr>
    </w:tbl>
    <w:p>
      <w:pPr>
        <w:spacing w:before="200" w:after="80"/>
      </w:pPr>
      <w:r>
        <w:rPr>
          <w:b/>
          <w:color w:val="0F172A"/>
          <w:sz w:val="26"/>
        </w:rPr>
        <w:t>C. SOAP Note Structure  (25% weight)</w:t>
      </w:r>
    </w:p>
    <w:p>
      <w:r>
        <w:t>What you're checking: the note follows the SOAP framework and each element carries the right content.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76"/>
            <w:shd w:fill="0F6E6E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fill="0F6E6E"/>
          </w:tcPr>
          <w:p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6912"/>
            <w:shd w:fill="0F6E6E"/>
          </w:tcPr>
          <w:p>
            <w:r>
              <w:rPr>
                <w:b/>
                <w:color w:val="FFFFFF"/>
              </w:rPr>
              <w:t>Look for</w:t>
            </w:r>
          </w:p>
        </w:tc>
      </w:tr>
      <w:tr>
        <w:tc>
          <w:tcPr>
            <w:tcW w:type="dxa" w:w="576"/>
          </w:tcPr>
          <w:p>
            <w:r>
              <w:t>C1</w:t>
            </w:r>
          </w:p>
        </w:tc>
        <w:tc>
          <w:tcPr>
            <w:tcW w:type="dxa" w:w="1728"/>
          </w:tcPr>
          <w:p>
            <w:r>
              <w:t>Subjective</w:t>
            </w:r>
          </w:p>
        </w:tc>
        <w:tc>
          <w:tcPr>
            <w:tcW w:type="dxa" w:w="6912"/>
          </w:tcPr>
          <w:p>
            <w:r>
              <w:t>Patient history, symptoms, and concerns clearly documented.</w:t>
            </w:r>
          </w:p>
        </w:tc>
      </w:tr>
      <w:tr>
        <w:tc>
          <w:tcPr>
            <w:tcW w:type="dxa" w:w="576"/>
            <w:shd w:fill="F1F8F7"/>
          </w:tcPr>
          <w:p>
            <w:r>
              <w:t>C2</w:t>
            </w:r>
          </w:p>
        </w:tc>
        <w:tc>
          <w:tcPr>
            <w:tcW w:type="dxa" w:w="1728"/>
            <w:shd w:fill="F1F8F7"/>
          </w:tcPr>
          <w:p>
            <w:r>
              <w:t>Objective</w:t>
            </w:r>
          </w:p>
        </w:tc>
        <w:tc>
          <w:tcPr>
            <w:tcW w:type="dxa" w:w="6912"/>
            <w:shd w:fill="F1F8F7"/>
          </w:tcPr>
          <w:p>
            <w:r>
              <w:t>Exam findings, vitals, and relevant test results documented.</w:t>
            </w:r>
          </w:p>
        </w:tc>
      </w:tr>
      <w:tr>
        <w:tc>
          <w:tcPr>
            <w:tcW w:type="dxa" w:w="576"/>
          </w:tcPr>
          <w:p>
            <w:r>
              <w:t>C3</w:t>
            </w:r>
          </w:p>
        </w:tc>
        <w:tc>
          <w:tcPr>
            <w:tcW w:type="dxa" w:w="1728"/>
          </w:tcPr>
          <w:p>
            <w:r>
              <w:t>Assessment</w:t>
            </w:r>
          </w:p>
        </w:tc>
        <w:tc>
          <w:tcPr>
            <w:tcW w:type="dxa" w:w="6912"/>
          </w:tcPr>
          <w:p>
            <w:r>
              <w:t>Each diagnosis explicitly assessed with clinical reasoning.</w:t>
            </w:r>
          </w:p>
        </w:tc>
      </w:tr>
      <w:tr>
        <w:tc>
          <w:tcPr>
            <w:tcW w:type="dxa" w:w="576"/>
            <w:shd w:fill="F1F8F7"/>
          </w:tcPr>
          <w:p>
            <w:r>
              <w:t>C4</w:t>
            </w:r>
          </w:p>
        </w:tc>
        <w:tc>
          <w:tcPr>
            <w:tcW w:type="dxa" w:w="1728"/>
            <w:shd w:fill="F1F8F7"/>
          </w:tcPr>
          <w:p>
            <w:r>
              <w:t>Plan</w:t>
            </w:r>
          </w:p>
        </w:tc>
        <w:tc>
          <w:tcPr>
            <w:tcW w:type="dxa" w:w="6912"/>
            <w:shd w:fill="F1F8F7"/>
          </w:tcPr>
          <w:p>
            <w:r>
              <w:t>Treatment plan documented — medication, referral, testing, or follow-up.</w:t>
            </w:r>
          </w:p>
        </w:tc>
      </w:tr>
    </w:tbl>
    <w:p>
      <w:pPr>
        <w:spacing w:before="200" w:after="80"/>
      </w:pPr>
      <w:r>
        <w:rPr>
          <w:b/>
          <w:color w:val="0F172A"/>
          <w:sz w:val="26"/>
        </w:rPr>
        <w:t>D. HCC Capture  (10% weight)</w:t>
      </w:r>
    </w:p>
    <w:p>
      <w:r>
        <w:t>HCC (Hierarchical Condition Category) is the CMS system that adjusts Medicare Advantage payment based on how sick the patient is this year. Every chronic HCC condition must be re-documented every calendar year or it drops off the risk score.</w:t>
      </w:r>
    </w:p>
    <w:p>
      <w:pPr>
        <w:spacing w:before="120" w:after="40"/>
      </w:pPr>
      <w:r>
        <w:rPr>
          <w:b/>
          <w:color w:val="0F6E6E"/>
          <w:sz w:val="23"/>
        </w:rPr>
        <w:t>D1 — Prior-year HCCs recaptured (or explicitly resolved with rationale)</w:t>
      </w:r>
    </w:p>
    <w:p>
      <w:r>
        <w:t>Did the provider re-document every chronic HCC condition the patient had last year? If a condition is truly gone, the note must say so explicitly (e.g., 'CHF resolved after transplant') — silent drops don't count.</w:t>
      </w:r>
    </w:p>
    <w:p>
      <w:r>
        <w:t>Example fail: patient carried E11.22 (diabetes with CKD) last year → this year's note only says 'E11.9' (diabetes unspecified). The CKD linkage vanished. D1 = ✗ Not Met.</w:t>
      </w:r>
    </w:p>
    <w:p>
      <w:pPr>
        <w:spacing w:before="120" w:after="40"/>
      </w:pPr>
      <w:r>
        <w:rPr>
          <w:b/>
          <w:color w:val="0F6E6E"/>
          <w:sz w:val="23"/>
        </w:rPr>
        <w:t>D2 — Suspected undocumented chronic conditions captured with support</w:t>
      </w:r>
    </w:p>
    <w:p>
      <w:r>
        <w:t>Are there clues in the chart — labs, meds, history — that the patient has a chronic condition that hasn't been coded yet? These are missed HCCs and missed care.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184"/>
            <w:shd w:fill="0F6E6E"/>
          </w:tcPr>
          <w:p>
            <w:r>
              <w:rPr>
                <w:b/>
                <w:color w:val="FFFFFF"/>
              </w:rPr>
              <w:t>Signal in the chart</w:t>
            </w:r>
          </w:p>
        </w:tc>
        <w:tc>
          <w:tcPr>
            <w:tcW w:type="dxa" w:w="3456"/>
            <w:shd w:fill="0F6E6E"/>
          </w:tcPr>
          <w:p>
            <w:r>
              <w:rPr>
                <w:b/>
                <w:color w:val="FFFFFF"/>
              </w:rPr>
              <w:t>Suspected HCC</w:t>
            </w:r>
          </w:p>
        </w:tc>
      </w:tr>
      <w:tr>
        <w:tc>
          <w:tcPr>
            <w:tcW w:type="dxa" w:w="5184"/>
          </w:tcPr>
          <w:p>
            <w:r>
              <w:t>eGFR &lt; 60 for 3+ months</w:t>
            </w:r>
          </w:p>
        </w:tc>
        <w:tc>
          <w:tcPr>
            <w:tcW w:type="dxa" w:w="3456"/>
          </w:tcPr>
          <w:p>
            <w:r>
              <w:t>CKD (N18.x)</w:t>
            </w:r>
          </w:p>
        </w:tc>
      </w:tr>
      <w:tr>
        <w:tc>
          <w:tcPr>
            <w:tcW w:type="dxa" w:w="5184"/>
            <w:shd w:fill="F1F8F7"/>
          </w:tcPr>
          <w:p>
            <w:r>
              <w:t>BMI ≥ 40</w:t>
            </w:r>
          </w:p>
        </w:tc>
        <w:tc>
          <w:tcPr>
            <w:tcW w:type="dxa" w:w="3456"/>
            <w:shd w:fill="F1F8F7"/>
          </w:tcPr>
          <w:p>
            <w:r>
              <w:t>Morbid obesity (E66.01)</w:t>
            </w:r>
          </w:p>
        </w:tc>
      </w:tr>
      <w:tr>
        <w:tc>
          <w:tcPr>
            <w:tcW w:type="dxa" w:w="5184"/>
          </w:tcPr>
          <w:p>
            <w:r>
              <w:t>Long-term insulin use (Z79.4), no DM code</w:t>
            </w:r>
          </w:p>
        </w:tc>
        <w:tc>
          <w:tcPr>
            <w:tcW w:type="dxa" w:w="3456"/>
          </w:tcPr>
          <w:p>
            <w:r>
              <w:t>Diabetes</w:t>
            </w:r>
          </w:p>
        </w:tc>
      </w:tr>
      <w:tr>
        <w:tc>
          <w:tcPr>
            <w:tcW w:type="dxa" w:w="5184"/>
            <w:shd w:fill="F1F8F7"/>
          </w:tcPr>
          <w:p>
            <w:r>
              <w:t>Furosemide + spironolactone, home O2</w:t>
            </w:r>
          </w:p>
        </w:tc>
        <w:tc>
          <w:tcPr>
            <w:tcW w:type="dxa" w:w="3456"/>
            <w:shd w:fill="F1F8F7"/>
          </w:tcPr>
          <w:p>
            <w:r>
              <w:t>CHF / COPD</w:t>
            </w:r>
          </w:p>
        </w:tc>
      </w:tr>
      <w:tr>
        <w:tc>
          <w:tcPr>
            <w:tcW w:type="dxa" w:w="5184"/>
          </w:tcPr>
          <w:p>
            <w:r>
              <w:t>A1c ≥ 6.5 with no DM code</w:t>
            </w:r>
          </w:p>
        </w:tc>
        <w:tc>
          <w:tcPr>
            <w:tcW w:type="dxa" w:w="3456"/>
          </w:tcPr>
          <w:p>
            <w:r>
              <w:t>Diabetes</w:t>
            </w:r>
          </w:p>
        </w:tc>
      </w:tr>
      <w:tr>
        <w:tc>
          <w:tcPr>
            <w:tcW w:type="dxa" w:w="5184"/>
            <w:shd w:fill="F1F8F7"/>
          </w:tcPr>
          <w:p>
            <w:r>
              <w:t>Prior stroke in history, no current code</w:t>
            </w:r>
          </w:p>
        </w:tc>
        <w:tc>
          <w:tcPr>
            <w:tcW w:type="dxa" w:w="3456"/>
            <w:shd w:fill="F1F8F7"/>
          </w:tcPr>
          <w:p>
            <w:r>
              <w:t>Late effect of CVA</w:t>
            </w:r>
          </w:p>
        </w:tc>
      </w:tr>
    </w:tbl>
    <w:p>
      <w:r>
        <w:t>Example fail: patient on Lasix + spironolactone, eGFR 42 across three visits, but the note doesn't mention CHF or CKD. Clear suspect conditions went uncaptured — D2 = ✗ Not Met.</w:t>
      </w:r>
    </w:p>
    <w:p>
      <w:r>
        <w:t>Quick way to remember: D1 = don't lose what you already had (recapture). D2 = pick up what you're missing (new capture).</w:t>
      </w:r>
    </w:p>
    <w:p>
      <w:pPr>
        <w:spacing w:before="200" w:after="80"/>
      </w:pPr>
      <w:r>
        <w:rPr>
          <w:b/>
          <w:color w:val="0F172A"/>
          <w:sz w:val="26"/>
        </w:rPr>
        <w:t>E. Documentation Supporting Quality Measures  (10% weight)</w:t>
      </w:r>
    </w:p>
    <w:p>
      <w:r>
        <w:t>The billing team assigns the CPT II codes — your audit checks whether the provider's note gives the billing team enough to capture the measure correctly.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76"/>
            <w:shd w:fill="0F6E6E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744"/>
            <w:shd w:fill="0F6E6E"/>
          </w:tcPr>
          <w:p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4896"/>
            <w:shd w:fill="0F6E6E"/>
          </w:tcPr>
          <w:p>
            <w:r>
              <w:rPr>
                <w:b/>
                <w:color w:val="FFFFFF"/>
              </w:rPr>
              <w:t>Look for</w:t>
            </w:r>
          </w:p>
        </w:tc>
      </w:tr>
      <w:tr>
        <w:tc>
          <w:tcPr>
            <w:tcW w:type="dxa" w:w="576"/>
          </w:tcPr>
          <w:p>
            <w:r>
              <w:t>E1</w:t>
            </w:r>
          </w:p>
        </w:tc>
        <w:tc>
          <w:tcPr>
            <w:tcW w:type="dxa" w:w="3744"/>
          </w:tcPr>
          <w:p>
            <w:r>
              <w:t>Screening / measure results documented with specific values (not just 'screened')</w:t>
            </w:r>
          </w:p>
        </w:tc>
        <w:tc>
          <w:tcPr>
            <w:tcW w:type="dxa" w:w="4896"/>
          </w:tcPr>
          <w:p>
            <w:r>
              <w:t>PHQ-9 score, GAD-7 score, BMI, BP reading, HbA1c value — the actual number, not 'normal'.</w:t>
            </w:r>
          </w:p>
        </w:tc>
      </w:tr>
      <w:tr>
        <w:tc>
          <w:tcPr>
            <w:tcW w:type="dxa" w:w="576"/>
            <w:shd w:fill="F1F8F7"/>
          </w:tcPr>
          <w:p>
            <w:r>
              <w:t>E2</w:t>
            </w:r>
          </w:p>
        </w:tc>
        <w:tc>
          <w:tcPr>
            <w:tcW w:type="dxa" w:w="3744"/>
            <w:shd w:fill="F1F8F7"/>
          </w:tcPr>
          <w:p>
            <w:r>
              <w:t>Follow-up plan documented when a result is positive/abnormal</w:t>
            </w:r>
          </w:p>
        </w:tc>
        <w:tc>
          <w:tcPr>
            <w:tcW w:type="dxa" w:w="4896"/>
            <w:shd w:fill="F1F8F7"/>
          </w:tcPr>
          <w:p>
            <w:r>
              <w:t>Positive PHQ-9 → depression follow-up plan; elevated BMI → nutrition counseling; abnormal A1c → treatment change.</w:t>
            </w:r>
          </w:p>
        </w:tc>
      </w:tr>
    </w:tbl>
    <w:p>
      <w:pPr>
        <w:spacing w:before="280" w:after="120"/>
      </w:pPr>
      <w:r>
        <w:rPr>
          <w:b/>
          <w:color w:val="0F6E6E"/>
          <w:sz w:val="32"/>
        </w:rPr>
        <w:t>5. Scoring and performance bands</w:t>
      </w:r>
    </w:p>
    <w:p>
      <w:r>
        <w:t>Every rated item earns 0, 0.5, or 1 point out of 1 possible. Items are summed within their section and divided by the number of applicable items to give a section %. Section %s are then multiplied by their weight and summed to give the Overall Compliance %.</w:t>
      </w:r>
    </w:p>
    <w:p>
      <w:pPr>
        <w:spacing w:before="200" w:after="80"/>
      </w:pPr>
      <w:r>
        <w:rPr>
          <w:b/>
          <w:color w:val="0F172A"/>
          <w:sz w:val="26"/>
        </w:rPr>
        <w:t>Section weights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040"/>
            <w:shd w:fill="0F6E6E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1728"/>
            <w:shd w:fill="0F6E6E"/>
          </w:tcPr>
          <w:p>
            <w:r>
              <w:rPr>
                <w:b/>
                <w:color w:val="FFFFFF"/>
              </w:rPr>
              <w:t>Weight</w:t>
            </w:r>
          </w:p>
        </w:tc>
        <w:tc>
          <w:tcPr>
            <w:tcW w:type="dxa" w:w="1872"/>
            <w:shd w:fill="0F6E6E"/>
          </w:tcPr>
          <w:p>
            <w:r>
              <w:rPr>
                <w:b/>
                <w:color w:val="FFFFFF"/>
              </w:rPr>
              <w:t>Items</w:t>
            </w:r>
          </w:p>
        </w:tc>
      </w:tr>
      <w:tr>
        <w:tc>
          <w:tcPr>
            <w:tcW w:type="dxa" w:w="5040"/>
          </w:tcPr>
          <w:p>
            <w:r>
              <w:t>A. Diagnosis Accuracy</w:t>
            </w:r>
          </w:p>
        </w:tc>
        <w:tc>
          <w:tcPr>
            <w:tcW w:type="dxa" w:w="1728"/>
          </w:tcPr>
          <w:p>
            <w:r>
              <w:t>30%</w:t>
            </w:r>
          </w:p>
        </w:tc>
        <w:tc>
          <w:tcPr>
            <w:tcW w:type="dxa" w:w="1872"/>
          </w:tcPr>
          <w:p>
            <w:r>
              <w:t>4</w:t>
            </w:r>
          </w:p>
        </w:tc>
      </w:tr>
      <w:tr>
        <w:tc>
          <w:tcPr>
            <w:tcW w:type="dxa" w:w="5040"/>
            <w:shd w:fill="F1F8F7"/>
          </w:tcPr>
          <w:p>
            <w:r>
              <w:t>B. Documentation Specificity</w:t>
            </w:r>
          </w:p>
        </w:tc>
        <w:tc>
          <w:tcPr>
            <w:tcW w:type="dxa" w:w="1728"/>
            <w:shd w:fill="F1F8F7"/>
          </w:tcPr>
          <w:p>
            <w:r>
              <w:t>25%</w:t>
            </w:r>
          </w:p>
        </w:tc>
        <w:tc>
          <w:tcPr>
            <w:tcW w:type="dxa" w:w="1872"/>
            <w:shd w:fill="F1F8F7"/>
          </w:tcPr>
          <w:p>
            <w:r>
              <w:t>4</w:t>
            </w:r>
          </w:p>
        </w:tc>
      </w:tr>
      <w:tr>
        <w:tc>
          <w:tcPr>
            <w:tcW w:type="dxa" w:w="5040"/>
          </w:tcPr>
          <w:p>
            <w:r>
              <w:t>C. SOAP Note Structure</w:t>
            </w:r>
          </w:p>
        </w:tc>
        <w:tc>
          <w:tcPr>
            <w:tcW w:type="dxa" w:w="1728"/>
          </w:tcPr>
          <w:p>
            <w:r>
              <w:t>25%</w:t>
            </w:r>
          </w:p>
        </w:tc>
        <w:tc>
          <w:tcPr>
            <w:tcW w:type="dxa" w:w="1872"/>
          </w:tcPr>
          <w:p>
            <w:r>
              <w:t>4</w:t>
            </w:r>
          </w:p>
        </w:tc>
      </w:tr>
      <w:tr>
        <w:tc>
          <w:tcPr>
            <w:tcW w:type="dxa" w:w="5040"/>
            <w:shd w:fill="F1F8F7"/>
          </w:tcPr>
          <w:p>
            <w:r>
              <w:t>D. HCC Capture</w:t>
            </w:r>
          </w:p>
        </w:tc>
        <w:tc>
          <w:tcPr>
            <w:tcW w:type="dxa" w:w="1728"/>
            <w:shd w:fill="F1F8F7"/>
          </w:tcPr>
          <w:p>
            <w:r>
              <w:t>10%</w:t>
            </w:r>
          </w:p>
        </w:tc>
        <w:tc>
          <w:tcPr>
            <w:tcW w:type="dxa" w:w="1872"/>
            <w:shd w:fill="F1F8F7"/>
          </w:tcPr>
          <w:p>
            <w:r>
              <w:t>2</w:t>
            </w:r>
          </w:p>
        </w:tc>
      </w:tr>
      <w:tr>
        <w:tc>
          <w:tcPr>
            <w:tcW w:type="dxa" w:w="5040"/>
          </w:tcPr>
          <w:p>
            <w:r>
              <w:t>E. Documentation Supporting Quality Measures</w:t>
            </w:r>
          </w:p>
        </w:tc>
        <w:tc>
          <w:tcPr>
            <w:tcW w:type="dxa" w:w="1728"/>
          </w:tcPr>
          <w:p>
            <w:r>
              <w:t>10%</w:t>
            </w:r>
          </w:p>
        </w:tc>
        <w:tc>
          <w:tcPr>
            <w:tcW w:type="dxa" w:w="1872"/>
          </w:tcPr>
          <w:p>
            <w:r>
              <w:t>2</w:t>
            </w:r>
          </w:p>
        </w:tc>
      </w:tr>
    </w:tbl>
    <w:p>
      <w:pPr>
        <w:spacing w:before="200" w:after="80"/>
      </w:pPr>
      <w:r>
        <w:rPr>
          <w:b/>
          <w:color w:val="0F172A"/>
          <w:sz w:val="26"/>
        </w:rPr>
        <w:t>Performance bands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80"/>
            <w:shd w:fill="0F6E6E"/>
          </w:tcPr>
          <w:p>
            <w:r>
              <w:rPr>
                <w:b/>
                <w:color w:val="FFFFFF"/>
              </w:rPr>
              <w:t>Band</w:t>
            </w:r>
          </w:p>
        </w:tc>
        <w:tc>
          <w:tcPr>
            <w:tcW w:type="dxa" w:w="1296"/>
            <w:shd w:fill="0F6E6E"/>
          </w:tcPr>
          <w:p>
            <w:r>
              <w:rPr>
                <w:b/>
                <w:color w:val="FFFFFF"/>
              </w:rPr>
              <w:t>Range</w:t>
            </w:r>
          </w:p>
        </w:tc>
        <w:tc>
          <w:tcPr>
            <w:tcW w:type="dxa" w:w="4608"/>
            <w:shd w:fill="0F6E6E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2880"/>
            <w:shd w:fill="D6EAF8"/>
          </w:tcPr>
          <w:p>
            <w:r>
              <w:rPr>
                <w:b/>
              </w:rPr>
              <w:t>Excellent</w:t>
            </w:r>
          </w:p>
        </w:tc>
        <w:tc>
          <w:tcPr>
            <w:tcW w:type="dxa" w:w="1296"/>
          </w:tcPr>
          <w:p>
            <w:r>
              <w:t>≥ 95%</w:t>
            </w:r>
          </w:p>
        </w:tc>
        <w:tc>
          <w:tcPr>
            <w:tcW w:type="dxa" w:w="4608"/>
          </w:tcPr>
          <w:p>
            <w:r>
              <w:t>Recognize provider; use as peer example.</w:t>
            </w:r>
          </w:p>
        </w:tc>
      </w:tr>
      <w:tr>
        <w:tc>
          <w:tcPr>
            <w:tcW w:type="dxa" w:w="2880"/>
            <w:shd w:fill="C7F0D2"/>
          </w:tcPr>
          <w:p>
            <w:r>
              <w:rPr>
                <w:b/>
              </w:rPr>
              <w:t>Meets Expectations</w:t>
            </w:r>
          </w:p>
        </w:tc>
        <w:tc>
          <w:tcPr>
            <w:tcW w:type="dxa" w:w="1296"/>
          </w:tcPr>
          <w:p>
            <w:r>
              <w:t>90–94%</w:t>
            </w:r>
          </w:p>
        </w:tc>
        <w:tc>
          <w:tcPr>
            <w:tcW w:type="dxa" w:w="4608"/>
          </w:tcPr>
          <w:p>
            <w:r>
              <w:t>Standard feedback; no action needed.</w:t>
            </w:r>
          </w:p>
        </w:tc>
      </w:tr>
      <w:tr>
        <w:tc>
          <w:tcPr>
            <w:tcW w:type="dxa" w:w="2880"/>
            <w:shd w:fill="FDE9C0"/>
          </w:tcPr>
          <w:p>
            <w:r>
              <w:rPr>
                <w:b/>
              </w:rPr>
              <w:t>Needs Improvement</w:t>
            </w:r>
          </w:p>
        </w:tc>
        <w:tc>
          <w:tcPr>
            <w:tcW w:type="dxa" w:w="1296"/>
          </w:tcPr>
          <w:p>
            <w:r>
              <w:t>80–89%</w:t>
            </w:r>
          </w:p>
        </w:tc>
        <w:tc>
          <w:tcPr>
            <w:tcW w:type="dxa" w:w="4608"/>
          </w:tcPr>
          <w:p>
            <w:r>
              <w:t>Targeted education; monitor next cycle.</w:t>
            </w:r>
          </w:p>
        </w:tc>
      </w:tr>
      <w:tr>
        <w:tc>
          <w:tcPr>
            <w:tcW w:type="dxa" w:w="2880"/>
            <w:shd w:fill="F8C9C9"/>
          </w:tcPr>
          <w:p>
            <w:r>
              <w:rPr>
                <w:b/>
              </w:rPr>
              <w:t>Corrective Education Required</w:t>
            </w:r>
          </w:p>
        </w:tc>
        <w:tc>
          <w:tcPr>
            <w:tcW w:type="dxa" w:w="1296"/>
          </w:tcPr>
          <w:p>
            <w:r>
              <w:t>&lt; 80%</w:t>
            </w:r>
          </w:p>
        </w:tc>
        <w:tc>
          <w:tcPr>
            <w:tcW w:type="dxa" w:w="4608"/>
          </w:tcPr>
          <w:p>
            <w:r>
              <w:t>Structured education plan + re-audit in 60–90 days.</w:t>
            </w:r>
          </w:p>
        </w:tc>
      </w:tr>
    </w:tbl>
    <w:p>
      <w:pPr>
        <w:spacing w:before="280" w:after="120"/>
      </w:pPr>
      <w:r>
        <w:rPr>
          <w:b/>
          <w:color w:val="0F6E6E"/>
          <w:sz w:val="32"/>
        </w:rPr>
        <w:t>6. Monthly and quarterly workflow</w:t>
      </w:r>
    </w:p>
    <w:p>
      <w:pPr>
        <w:spacing w:before="200" w:after="80"/>
      </w:pPr>
      <w:r>
        <w:rPr>
          <w:b/>
          <w:color w:val="0F172A"/>
          <w:sz w:val="26"/>
        </w:rPr>
        <w:t>Every month</w:t>
      </w:r>
    </w:p>
    <w:p>
      <w:pPr>
        <w:pStyle w:val="ListNumber"/>
        <w:spacing w:after="60"/>
        <w:ind w:left="360"/>
      </w:pPr>
      <w:r>
        <w:t>Pull the chart sample from prior-month encounters — one per provider following the 3/2/2/2/1 mix (3 Diabetes · 2 CKD · 2 AWV · 2 High-RAF · 1 Random).</w:t>
      </w:r>
    </w:p>
    <w:p>
      <w:pPr>
        <w:pStyle w:val="ListNumber"/>
        <w:spacing w:after="60"/>
        <w:ind w:left="360"/>
      </w:pPr>
      <w:r>
        <w:t>Audit each chart on a duplicated Audit Checklist tab.</w:t>
      </w:r>
    </w:p>
    <w:p>
      <w:pPr>
        <w:pStyle w:val="ListNumber"/>
        <w:spacing w:after="60"/>
        <w:ind w:left="360"/>
      </w:pPr>
      <w:r>
        <w:t>Log the result on the Audit Log tab.</w:t>
      </w:r>
    </w:p>
    <w:p>
      <w:pPr>
        <w:pStyle w:val="ListNumber"/>
        <w:spacing w:after="60"/>
        <w:ind w:left="360"/>
      </w:pPr>
      <w:r>
        <w:t>Provide the provider with their scorecard and one specific documentation-improvement tip.</w:t>
      </w:r>
    </w:p>
    <w:p>
      <w:pPr>
        <w:spacing w:before="200" w:after="80"/>
      </w:pPr>
      <w:r>
        <w:rPr>
          <w:b/>
          <w:color w:val="0F172A"/>
          <w:sz w:val="26"/>
        </w:rPr>
        <w:t>Every quarter</w:t>
      </w:r>
    </w:p>
    <w:p>
      <w:pPr>
        <w:pStyle w:val="ListNumber"/>
        <w:spacing w:after="60"/>
        <w:ind w:left="360"/>
      </w:pPr>
      <w:r>
        <w:t>Open the Quarterly Report tab.</w:t>
      </w:r>
    </w:p>
    <w:p>
      <w:pPr>
        <w:pStyle w:val="ListNumber"/>
        <w:spacing w:after="60"/>
        <w:ind w:left="360"/>
      </w:pPr>
      <w:r>
        <w:t>Set the Quarter (Q1–Q4) and Year at the top. KPI tiles refresh automatically.</w:t>
      </w:r>
    </w:p>
    <w:p>
      <w:pPr>
        <w:pStyle w:val="ListNumber"/>
        <w:spacing w:after="60"/>
        <w:ind w:left="360"/>
      </w:pPr>
      <w:r>
        <w:t>In the Provider Progression table, type each provider's name in column B — the row auto-fills with their monthly average compliance %. The line chart below plots the trend.</w:t>
      </w:r>
    </w:p>
    <w:p>
      <w:pPr>
        <w:pStyle w:val="ListNumber"/>
        <w:spacing w:after="60"/>
        <w:ind w:left="360"/>
      </w:pPr>
      <w:r>
        <w:t>Rising line = improvement. Falling line = decline. Anyone under 80% moves to a corrective plan.</w:t>
      </w:r>
    </w:p>
    <w:p>
      <w:pPr>
        <w:spacing w:before="280" w:after="120"/>
      </w:pPr>
      <w:r>
        <w:rPr>
          <w:b/>
          <w:color w:val="0F6E6E"/>
          <w:sz w:val="32"/>
        </w:rPr>
        <w:t>7. Tips and common questions</w:t>
      </w:r>
    </w:p>
    <w:p>
      <w:pPr>
        <w:spacing w:before="120" w:after="40"/>
      </w:pPr>
      <w:r>
        <w:rPr>
          <w:b/>
          <w:color w:val="0F6E6E"/>
          <w:sz w:val="23"/>
        </w:rPr>
        <w:t>Should the same auditor review the same provider every month?</w:t>
      </w:r>
    </w:p>
    <w:p>
      <w:r>
        <w:t>Consistency helps you spot trends, but rotate at least once per quarter to reduce bias.</w:t>
      </w:r>
    </w:p>
    <w:p>
      <w:pPr>
        <w:spacing w:before="120" w:after="40"/>
      </w:pPr>
      <w:r>
        <w:rPr>
          <w:b/>
          <w:color w:val="0F6E6E"/>
          <w:sz w:val="23"/>
        </w:rPr>
        <w:t>What if a provider's population doesn't include Medicare Advantage?</w:t>
      </w:r>
    </w:p>
    <w:p>
      <w:r>
        <w:t>Mark section D (HCC Capture) as N/A. It won't drag their score down.</w:t>
      </w:r>
    </w:p>
    <w:p>
      <w:pPr>
        <w:spacing w:before="120" w:after="40"/>
      </w:pPr>
      <w:r>
        <w:rPr>
          <w:b/>
          <w:color w:val="0F6E6E"/>
          <w:sz w:val="23"/>
        </w:rPr>
        <w:t>What if the note is missing entirely?</w:t>
      </w:r>
    </w:p>
    <w:p>
      <w:r>
        <w:t>Mark every element ✗ Not Met and flag it as an urgent compliance issue in the notes column. A missing note is not the same as a note with poor documentation — it's a signature/closure issue.</w:t>
      </w:r>
    </w:p>
    <w:p>
      <w:pPr>
        <w:spacing w:before="120" w:after="40"/>
      </w:pPr>
      <w:r>
        <w:rPr>
          <w:b/>
          <w:color w:val="0F6E6E"/>
          <w:sz w:val="23"/>
        </w:rPr>
        <w:t>What's the difference between Partial (0.5) and Not Met (0)?</w:t>
      </w:r>
    </w:p>
    <w:p>
      <w:r>
        <w:t>Partial means the element is present but incomplete — the provider tried, but the documentation is thin. Not Met means the element is absent or clearly wrong. When in doubt, use Partial and explain in the notes column.</w:t>
      </w:r>
    </w:p>
    <w:p>
      <w:pPr>
        <w:spacing w:before="120" w:after="40"/>
      </w:pPr>
      <w:r>
        <w:rPr>
          <w:b/>
          <w:color w:val="0F6E6E"/>
          <w:sz w:val="23"/>
        </w:rPr>
        <w:t>How do I handle a copy-forward note?</w:t>
      </w:r>
    </w:p>
    <w:p>
      <w:r>
        <w:t>A note that's clearly copied from a prior visit without updating for today's encounter fails A2 (chronic conditions actively addressed) and usually B3 (consistent SOAP story). Document the specific evidence of copy-forward in the notes column.</w:t>
      </w:r>
    </w:p>
    <w:p>
      <w:pPr>
        <w:spacing w:before="120" w:after="40"/>
      </w:pPr>
      <w:r>
        <w:rPr>
          <w:b/>
          <w:color w:val="0F6E6E"/>
          <w:sz w:val="23"/>
        </w:rPr>
        <w:t>What if I disagree with a provider's response to my findings?</w:t>
      </w:r>
    </w:p>
    <w:p>
      <w:r>
        <w:t>Escalate through the compliance chain — do not modify the audit results. The audit is a point-in-time snapshot; disputes are handled separately and documented in Corrective Action.</w:t>
      </w:r>
    </w:p>
    <w:p>
      <w:pPr>
        <w:spacing w:before="280" w:after="120"/>
      </w:pPr>
      <w:r>
        <w:rPr>
          <w:b/>
          <w:color w:val="0F6E6E"/>
          <w:sz w:val="32"/>
        </w:rPr>
        <w:t>8. Confidentiality</w:t>
      </w:r>
    </w:p>
    <w:p>
      <w:r>
        <w:t>This tool may contain Protected Health Information (PHI). Handle it in accordance with HIPAA and internal privacy policy. Mask patient identifiers where possible (claim number instead of full name; no SSN, no DOB in the audit workbook). Store the file only on approved systems and do not share it outside authorized audit and compliance staff.</w:t>
      </w:r>
    </w:p>
    <w:p>
      <w:pPr>
        <w:spacing w:before="280" w:after="120"/>
      </w:pPr>
      <w:r>
        <w:rPr>
          <w:b/>
          <w:color w:val="0F6E6E"/>
          <w:sz w:val="32"/>
        </w:rPr>
        <w:t>Appendix — Quick lookup</w:t>
      </w:r>
    </w:p>
    <w:p>
      <w:pPr>
        <w:spacing w:before="200" w:after="80"/>
      </w:pPr>
      <w:r>
        <w:rPr>
          <w:b/>
          <w:color w:val="0F172A"/>
          <w:sz w:val="26"/>
        </w:rPr>
        <w:t>SOAP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16"/>
            <w:shd w:fill="0F6E6E"/>
          </w:tcPr>
          <w:p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3456"/>
            <w:shd w:fill="0F6E6E"/>
          </w:tcPr>
          <w:p>
            <w:r>
              <w:rPr>
                <w:b/>
                <w:color w:val="FFFFFF"/>
              </w:rPr>
              <w:t>Meaning</w:t>
            </w:r>
          </w:p>
        </w:tc>
        <w:tc>
          <w:tcPr>
            <w:tcW w:type="dxa" w:w="3744"/>
            <w:shd w:fill="0F6E6E"/>
          </w:tcPr>
          <w:p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016"/>
          </w:tcPr>
          <w:p>
            <w:r>
              <w:t>Subjective</w:t>
            </w:r>
          </w:p>
        </w:tc>
        <w:tc>
          <w:tcPr>
            <w:tcW w:type="dxa" w:w="3456"/>
          </w:tcPr>
          <w:p>
            <w:r>
              <w:t>Patient history, symptoms, concerns</w:t>
            </w:r>
          </w:p>
        </w:tc>
        <w:tc>
          <w:tcPr>
            <w:tcW w:type="dxa" w:w="3744"/>
          </w:tcPr>
          <w:p>
            <w:r>
              <w:t>Patient reports 2-week low mood, poor sleep, denies SI/HI</w:t>
            </w:r>
          </w:p>
        </w:tc>
      </w:tr>
      <w:tr>
        <w:tc>
          <w:tcPr>
            <w:tcW w:type="dxa" w:w="2016"/>
            <w:shd w:fill="F1F8F7"/>
          </w:tcPr>
          <w:p>
            <w:r>
              <w:t>Objective</w:t>
            </w:r>
          </w:p>
        </w:tc>
        <w:tc>
          <w:tcPr>
            <w:tcW w:type="dxa" w:w="3456"/>
            <w:shd w:fill="F1F8F7"/>
          </w:tcPr>
          <w:p>
            <w:r>
              <w:t>Exam findings, vitals, labs, screening scores</w:t>
            </w:r>
          </w:p>
        </w:tc>
        <w:tc>
          <w:tcPr>
            <w:tcW w:type="dxa" w:w="3744"/>
            <w:shd w:fill="F1F8F7"/>
          </w:tcPr>
          <w:p>
            <w:r>
              <w:t>BP 128/82, PHQ-9 = 14, GAD-7 = 9, MSE alert &amp; oriented</w:t>
            </w:r>
          </w:p>
        </w:tc>
      </w:tr>
      <w:tr>
        <w:tc>
          <w:tcPr>
            <w:tcW w:type="dxa" w:w="2016"/>
          </w:tcPr>
          <w:p>
            <w:r>
              <w:t>Assessment</w:t>
            </w:r>
          </w:p>
        </w:tc>
        <w:tc>
          <w:tcPr>
            <w:tcW w:type="dxa" w:w="3456"/>
          </w:tcPr>
          <w:p>
            <w:r>
              <w:t>Diagnosis with clinical reasoning</w:t>
            </w:r>
          </w:p>
        </w:tc>
        <w:tc>
          <w:tcPr>
            <w:tcW w:type="dxa" w:w="3744"/>
          </w:tcPr>
          <w:p>
            <w:r>
              <w:t>MDD moderate (F32.1) — partial response; GAD (F41.1) stable</w:t>
            </w:r>
          </w:p>
        </w:tc>
      </w:tr>
      <w:tr>
        <w:tc>
          <w:tcPr>
            <w:tcW w:type="dxa" w:w="2016"/>
            <w:shd w:fill="F1F8F7"/>
          </w:tcPr>
          <w:p>
            <w:r>
              <w:t>Plan</w:t>
            </w:r>
          </w:p>
        </w:tc>
        <w:tc>
          <w:tcPr>
            <w:tcW w:type="dxa" w:w="3456"/>
            <w:shd w:fill="F1F8F7"/>
          </w:tcPr>
          <w:p>
            <w:r>
              <w:t>Treatment plan documented in full</w:t>
            </w:r>
          </w:p>
        </w:tc>
        <w:tc>
          <w:tcPr>
            <w:tcW w:type="dxa" w:w="3744"/>
            <w:shd w:fill="F1F8F7"/>
          </w:tcPr>
          <w:p>
            <w:r>
              <w:t>Continue escitalopram 10 mg; CBT weekly; recheck PHQ-9 in 4 wk</w:t>
            </w:r>
          </w:p>
        </w:tc>
      </w:tr>
    </w:tbl>
    <w:p>
      <w:pPr>
        <w:spacing w:before="200" w:after="80"/>
      </w:pPr>
      <w:r>
        <w:rPr>
          <w:b/>
          <w:color w:val="0F172A"/>
          <w:sz w:val="26"/>
        </w:rPr>
        <w:t>High-risk / high-impact ICD-10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40"/>
            <w:shd w:fill="0F6E6E"/>
          </w:tcPr>
          <w:p>
            <w:r>
              <w:rPr>
                <w:b/>
                <w:color w:val="FFFFFF"/>
              </w:rPr>
              <w:t>ICD-10</w:t>
            </w:r>
          </w:p>
        </w:tc>
        <w:tc>
          <w:tcPr>
            <w:tcW w:type="dxa" w:w="2304"/>
            <w:shd w:fill="0F6E6E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5472"/>
            <w:shd w:fill="0F6E6E"/>
          </w:tcPr>
          <w:p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1440"/>
          </w:tcPr>
          <w:p>
            <w:r>
              <w:t>E11.9</w:t>
            </w:r>
          </w:p>
        </w:tc>
        <w:tc>
          <w:tcPr>
            <w:tcW w:type="dxa" w:w="2304"/>
          </w:tcPr>
          <w:p>
            <w:r>
              <w:t>Diabetes</w:t>
            </w:r>
          </w:p>
        </w:tc>
        <w:tc>
          <w:tcPr>
            <w:tcW w:type="dxa" w:w="5472"/>
          </w:tcPr>
          <w:p>
            <w:r>
              <w:t>Unspecified — push toward specificity</w:t>
            </w:r>
          </w:p>
        </w:tc>
      </w:tr>
      <w:tr>
        <w:tc>
          <w:tcPr>
            <w:tcW w:type="dxa" w:w="1440"/>
            <w:shd w:fill="F1F8F7"/>
          </w:tcPr>
          <w:p>
            <w:r>
              <w:t>E11.22</w:t>
            </w:r>
          </w:p>
        </w:tc>
        <w:tc>
          <w:tcPr>
            <w:tcW w:type="dxa" w:w="2304"/>
            <w:shd w:fill="F1F8F7"/>
          </w:tcPr>
          <w:p>
            <w:r>
              <w:t>Diabetes</w:t>
            </w:r>
          </w:p>
        </w:tc>
        <w:tc>
          <w:tcPr>
            <w:tcW w:type="dxa" w:w="5472"/>
            <w:shd w:fill="F1F8F7"/>
          </w:tcPr>
          <w:p>
            <w:r>
              <w:t>HCC combination code (with CKD)</w:t>
            </w:r>
          </w:p>
        </w:tc>
      </w:tr>
      <w:tr>
        <w:tc>
          <w:tcPr>
            <w:tcW w:type="dxa" w:w="1440"/>
          </w:tcPr>
          <w:p>
            <w:r>
              <w:t>E11.42</w:t>
            </w:r>
          </w:p>
        </w:tc>
        <w:tc>
          <w:tcPr>
            <w:tcW w:type="dxa" w:w="2304"/>
          </w:tcPr>
          <w:p>
            <w:r>
              <w:t>Diabetes</w:t>
            </w:r>
          </w:p>
        </w:tc>
        <w:tc>
          <w:tcPr>
            <w:tcW w:type="dxa" w:w="5472"/>
          </w:tcPr>
          <w:p>
            <w:r>
              <w:t>Common under-reported combo (with polyneuropathy)</w:t>
            </w:r>
          </w:p>
        </w:tc>
      </w:tr>
      <w:tr>
        <w:tc>
          <w:tcPr>
            <w:tcW w:type="dxa" w:w="1440"/>
            <w:shd w:fill="F1F8F7"/>
          </w:tcPr>
          <w:p>
            <w:r>
              <w:t>N18.3</w:t>
            </w:r>
          </w:p>
        </w:tc>
        <w:tc>
          <w:tcPr>
            <w:tcW w:type="dxa" w:w="2304"/>
            <w:shd w:fill="F1F8F7"/>
          </w:tcPr>
          <w:p>
            <w:r>
              <w:t>CKD</w:t>
            </w:r>
          </w:p>
        </w:tc>
        <w:tc>
          <w:tcPr>
            <w:tcW w:type="dxa" w:w="5472"/>
            <w:shd w:fill="F1F8F7"/>
          </w:tcPr>
          <w:p>
            <w:r>
              <w:t>Prefer N18.30 / N18.31 / N18.32</w:t>
            </w:r>
          </w:p>
        </w:tc>
      </w:tr>
      <w:tr>
        <w:tc>
          <w:tcPr>
            <w:tcW w:type="dxa" w:w="1440"/>
          </w:tcPr>
          <w:p>
            <w:r>
              <w:t>N18.4</w:t>
            </w:r>
          </w:p>
        </w:tc>
        <w:tc>
          <w:tcPr>
            <w:tcW w:type="dxa" w:w="2304"/>
          </w:tcPr>
          <w:p>
            <w:r>
              <w:t>CKD</w:t>
            </w:r>
          </w:p>
        </w:tc>
        <w:tc>
          <w:tcPr>
            <w:tcW w:type="dxa" w:w="5472"/>
          </w:tcPr>
          <w:p>
            <w:r>
              <w:t>HCC</w:t>
            </w:r>
          </w:p>
        </w:tc>
      </w:tr>
      <w:tr>
        <w:tc>
          <w:tcPr>
            <w:tcW w:type="dxa" w:w="1440"/>
            <w:shd w:fill="F1F8F7"/>
          </w:tcPr>
          <w:p>
            <w:r>
              <w:t>I50.9</w:t>
            </w:r>
          </w:p>
        </w:tc>
        <w:tc>
          <w:tcPr>
            <w:tcW w:type="dxa" w:w="2304"/>
            <w:shd w:fill="F1F8F7"/>
          </w:tcPr>
          <w:p>
            <w:r>
              <w:t>Heart failure</w:t>
            </w:r>
          </w:p>
        </w:tc>
        <w:tc>
          <w:tcPr>
            <w:tcW w:type="dxa" w:w="5472"/>
            <w:shd w:fill="F1F8F7"/>
          </w:tcPr>
          <w:p>
            <w:r>
              <w:t>Prefer systolic/diastolic + acuity</w:t>
            </w:r>
          </w:p>
        </w:tc>
      </w:tr>
      <w:tr>
        <w:tc>
          <w:tcPr>
            <w:tcW w:type="dxa" w:w="1440"/>
          </w:tcPr>
          <w:p>
            <w:r>
              <w:t>F32.9</w:t>
            </w:r>
          </w:p>
        </w:tc>
        <w:tc>
          <w:tcPr>
            <w:tcW w:type="dxa" w:w="2304"/>
          </w:tcPr>
          <w:p>
            <w:r>
              <w:t>Depression</w:t>
            </w:r>
          </w:p>
        </w:tc>
        <w:tc>
          <w:tcPr>
            <w:tcW w:type="dxa" w:w="5472"/>
          </w:tcPr>
          <w:p>
            <w:r>
              <w:t>Prefer F32.0–F32.3</w:t>
            </w:r>
          </w:p>
        </w:tc>
      </w:tr>
      <w:tr>
        <w:tc>
          <w:tcPr>
            <w:tcW w:type="dxa" w:w="1440"/>
            <w:shd w:fill="F1F8F7"/>
          </w:tcPr>
          <w:p>
            <w:r>
              <w:t>F41.9</w:t>
            </w:r>
          </w:p>
        </w:tc>
        <w:tc>
          <w:tcPr>
            <w:tcW w:type="dxa" w:w="2304"/>
            <w:shd w:fill="F1F8F7"/>
          </w:tcPr>
          <w:p>
            <w:r>
              <w:t>Anxiety</w:t>
            </w:r>
          </w:p>
        </w:tc>
        <w:tc>
          <w:tcPr>
            <w:tcW w:type="dxa" w:w="5472"/>
            <w:shd w:fill="F1F8F7"/>
          </w:tcPr>
          <w:p>
            <w:r>
              <w:t>Prefer F41.1 GAD</w:t>
            </w:r>
          </w:p>
        </w:tc>
      </w:tr>
    </w:tbl>
    <w:p>
      <w:pPr>
        <w:spacing w:before="480"/>
      </w:pPr>
      <w:r>
        <w:rPr>
          <w:i/>
          <w:color w:val="555555"/>
        </w:rPr>
        <w:t>End of guide.</w:t>
      </w:r>
    </w:p>
    <w:sectPr w:rsidR="00FC693F" w:rsidRPr="0006063C" w:rsidSect="00034616">
      <w:pgSz w:w="12240" w:h="15840"/>
      <w:pgMar w:top="1077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