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4"/>
        </w:rPr>
        <w:t>CPT II Quick-Find Guide</w:t>
      </w:r>
    </w:p>
    <w:p>
      <w:pPr>
        <w:spacing w:after="240"/>
      </w:pPr>
      <w:r>
        <w:rPr>
          <w:i/>
          <w:color w:val="555555"/>
          <w:sz w:val="21"/>
        </w:rPr>
        <w:t>For the billing team · how to find quality-measure codes in the note fast · HealthProMed</w:t>
      </w:r>
    </w:p>
    <w:p>
      <w:r>
        <w:t>CPT II codes are quality-measure codes. Each one requires two things in the note: (1) a specific value or result, and (2) a follow-up action when the result is abnormal. Below are the 10 most common measures at HPM, with what to search, where to look, and the exact code to bill.</w:t>
      </w:r>
    </w:p>
    <w:p>
      <w:pPr>
        <w:spacing w:before="240" w:after="80"/>
      </w:pPr>
      <w:r>
        <w:rPr>
          <w:b/>
          <w:color w:val="0F6E6E"/>
          <w:sz w:val="28"/>
        </w:rPr>
        <w:t>The 3-step method for every CPT II code</w:t>
      </w:r>
    </w:p>
    <w:p>
      <w:r>
        <w:t>1. Open the encounter note.</w:t>
        <w:br/>
        <w:t>2. Press Ctrl+F and type the keyword from the table below.</w:t>
        <w:br/>
        <w:t>3. Read the value + the plan · then match to the CPT II code column.</w:t>
      </w:r>
    </w:p>
    <w:p>
      <w:pPr>
        <w:spacing w:before="240" w:after="80"/>
      </w:pPr>
      <w:r>
        <w:rPr>
          <w:b/>
          <w:color w:val="0F6E6E"/>
          <w:sz w:val="28"/>
        </w:rPr>
        <w:t>The 10 most common CPT II measures at HPM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160"/>
            <w:shd w:fill="0F6E6E"/>
          </w:tcPr>
          <w:p>
            <w:r>
              <w:rPr>
                <w:b/>
                <w:color w:val="FFFFFF"/>
                <w:sz w:val="21"/>
              </w:rPr>
              <w:t>Measure</w:t>
            </w:r>
          </w:p>
        </w:tc>
        <w:tc>
          <w:tcPr>
            <w:tcW w:type="dxa" w:w="2448"/>
            <w:shd w:fill="0F6E6E"/>
          </w:tcPr>
          <w:p>
            <w:r>
              <w:rPr>
                <w:b/>
                <w:color w:val="FFFFFF"/>
                <w:sz w:val="21"/>
              </w:rPr>
              <w:t>What to Ctrl+F</w:t>
            </w:r>
          </w:p>
        </w:tc>
        <w:tc>
          <w:tcPr>
            <w:tcW w:type="dxa" w:w="2016"/>
            <w:shd w:fill="0F6E6E"/>
          </w:tcPr>
          <w:p>
            <w:r>
              <w:rPr>
                <w:b/>
                <w:color w:val="FFFFFF"/>
                <w:sz w:val="21"/>
              </w:rPr>
              <w:t>Where in note</w:t>
            </w:r>
          </w:p>
        </w:tc>
        <w:tc>
          <w:tcPr>
            <w:tcW w:type="dxa" w:w="3312"/>
            <w:shd w:fill="0F6E6E"/>
          </w:tcPr>
          <w:p>
            <w:r>
              <w:rPr>
                <w:b/>
                <w:color w:val="FFFFFF"/>
                <w:sz w:val="21"/>
              </w:rPr>
              <w:t>CPT II Code(s)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HbA1c control (Diabetes)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"a1c", "A1C", "HbA1c", "hemoglobin"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Objective (labs) OR Assessment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3044F  A1c &lt;7%</w:t>
            </w:r>
          </w:p>
          <w:p>
            <w:r>
              <w:rPr>
                <w:sz w:val="19"/>
              </w:rPr>
              <w:t>3046F  A1c 7-8.9%</w:t>
            </w:r>
          </w:p>
          <w:p>
            <w:r>
              <w:rPr>
                <w:sz w:val="19"/>
              </w:rPr>
              <w:t>3051F  A1c 9%+</w:t>
            </w:r>
          </w:p>
          <w:p>
            <w:r>
              <w:rPr>
                <w:sz w:val="19"/>
              </w:rPr>
              <w:t>3052F  A1c undocumented</w:t>
            </w:r>
          </w:p>
        </w:tc>
      </w:tr>
      <w:tr>
        <w:tc>
          <w:tcPr>
            <w:tcW w:type="dxa" w:w="2160"/>
            <w:shd w:fill="F1F8F7"/>
          </w:tcPr>
          <w:p>
            <w:r>
              <w:rPr>
                <w:sz w:val="19"/>
              </w:rPr>
              <w:t>Blood pressure control (HTN)</w:t>
            </w:r>
          </w:p>
        </w:tc>
        <w:tc>
          <w:tcPr>
            <w:tcW w:type="dxa" w:w="2448"/>
            <w:shd w:fill="F1F8F7"/>
          </w:tcPr>
          <w:p>
            <w:r>
              <w:rPr>
                <w:sz w:val="19"/>
              </w:rPr>
              <w:t>"BP", "blood pressure", vital signs</w:t>
            </w:r>
          </w:p>
        </w:tc>
        <w:tc>
          <w:tcPr>
            <w:tcW w:type="dxa" w:w="2016"/>
            <w:shd w:fill="F1F8F7"/>
          </w:tcPr>
          <w:p>
            <w:r>
              <w:rPr>
                <w:sz w:val="19"/>
              </w:rPr>
              <w:t>Objective (vitals)</w:t>
            </w:r>
          </w:p>
        </w:tc>
        <w:tc>
          <w:tcPr>
            <w:tcW w:type="dxa" w:w="3312"/>
            <w:shd w:fill="F1F8F7"/>
          </w:tcPr>
          <w:p>
            <w:r>
              <w:rPr>
                <w:sz w:val="19"/>
              </w:rPr>
              <w:t>Systolic:</w:t>
            </w:r>
          </w:p>
          <w:p>
            <w:r>
              <w:rPr>
                <w:sz w:val="19"/>
              </w:rPr>
              <w:t>3074F  &lt;130</w:t>
            </w:r>
          </w:p>
          <w:p>
            <w:r>
              <w:rPr>
                <w:sz w:val="19"/>
              </w:rPr>
              <w:t>3075F  130-139</w:t>
            </w:r>
          </w:p>
          <w:p>
            <w:r>
              <w:rPr>
                <w:sz w:val="19"/>
              </w:rPr>
              <w:t>3077F  ≥140</w:t>
            </w:r>
          </w:p>
          <w:p>
            <w:r>
              <w:rPr>
                <w:sz w:val="19"/>
              </w:rPr>
              <w:t>Diastolic:</w:t>
            </w:r>
          </w:p>
          <w:p>
            <w:r>
              <w:rPr>
                <w:sz w:val="19"/>
              </w:rPr>
              <w:t>3078F  &lt;80</w:t>
            </w:r>
          </w:p>
          <w:p>
            <w:r>
              <w:rPr>
                <w:sz w:val="19"/>
              </w:rPr>
              <w:t>3079F  80-89</w:t>
            </w:r>
          </w:p>
          <w:p>
            <w:r>
              <w:rPr>
                <w:sz w:val="19"/>
              </w:rPr>
              <w:t>3080F  ≥90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BMI screening + follow-up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"BMI", "body mass index"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Objective (vitals)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G8417  BMI ≥25, plan documented</w:t>
            </w:r>
          </w:p>
          <w:p>
            <w:r>
              <w:rPr>
                <w:sz w:val="19"/>
              </w:rPr>
              <w:t>G8418  BMI &lt;18.5, plan documented</w:t>
            </w:r>
          </w:p>
          <w:p>
            <w:r>
              <w:rPr>
                <w:sz w:val="19"/>
              </w:rPr>
              <w:t>G8420  BMI in normal range</w:t>
            </w:r>
          </w:p>
          <w:p>
            <w:r>
              <w:rPr>
                <w:sz w:val="19"/>
              </w:rPr>
              <w:t>G8421  BMI not documented</w:t>
            </w:r>
          </w:p>
        </w:tc>
      </w:tr>
      <w:tr>
        <w:tc>
          <w:tcPr>
            <w:tcW w:type="dxa" w:w="2160"/>
            <w:shd w:fill="F1F8F7"/>
          </w:tcPr>
          <w:p>
            <w:r>
              <w:rPr>
                <w:sz w:val="19"/>
              </w:rPr>
              <w:t>Tobacco screening + cessation</w:t>
            </w:r>
          </w:p>
        </w:tc>
        <w:tc>
          <w:tcPr>
            <w:tcW w:type="dxa" w:w="2448"/>
            <w:shd w:fill="F1F8F7"/>
          </w:tcPr>
          <w:p>
            <w:r>
              <w:rPr>
                <w:sz w:val="19"/>
              </w:rPr>
              <w:t>"tobacco", "smoke", "smoker"</w:t>
            </w:r>
          </w:p>
        </w:tc>
        <w:tc>
          <w:tcPr>
            <w:tcW w:type="dxa" w:w="2016"/>
            <w:shd w:fill="F1F8F7"/>
          </w:tcPr>
          <w:p>
            <w:r>
              <w:rPr>
                <w:sz w:val="19"/>
              </w:rPr>
              <w:t>Subjective (social history)</w:t>
            </w:r>
          </w:p>
        </w:tc>
        <w:tc>
          <w:tcPr>
            <w:tcW w:type="dxa" w:w="3312"/>
            <w:shd w:fill="F1F8F7"/>
          </w:tcPr>
          <w:p>
            <w:r>
              <w:rPr>
                <w:sz w:val="19"/>
              </w:rPr>
              <w:t>1036F   Not a user</w:t>
            </w:r>
          </w:p>
          <w:p>
            <w:r>
              <w:rPr>
                <w:sz w:val="19"/>
              </w:rPr>
              <w:t>1034F   Current user</w:t>
            </w:r>
          </w:p>
          <w:p>
            <w:r>
              <w:rPr>
                <w:sz w:val="19"/>
              </w:rPr>
              <w:t>4004F   Counseling given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Depression screening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"PHQ", "depression screen"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Objective OR Assessment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G8431  Positive screen + follow-up plan documented</w:t>
            </w:r>
          </w:p>
          <w:p>
            <w:r>
              <w:rPr>
                <w:sz w:val="19"/>
              </w:rPr>
              <w:t>G8510  Negative screen (no follow-up needed)</w:t>
            </w:r>
          </w:p>
        </w:tc>
      </w:tr>
      <w:tr>
        <w:tc>
          <w:tcPr>
            <w:tcW w:type="dxa" w:w="2160"/>
            <w:shd w:fill="F1F8F7"/>
          </w:tcPr>
          <w:p>
            <w:r>
              <w:rPr>
                <w:sz w:val="19"/>
              </w:rPr>
              <w:t>Statin therapy for CVD</w:t>
            </w:r>
          </w:p>
        </w:tc>
        <w:tc>
          <w:tcPr>
            <w:tcW w:type="dxa" w:w="2448"/>
            <w:shd w:fill="F1F8F7"/>
          </w:tcPr>
          <w:p>
            <w:r>
              <w:rPr>
                <w:sz w:val="19"/>
              </w:rPr>
              <w:t>"statin", "atorvastatin", "simvastatin", "LDL"</w:t>
            </w:r>
          </w:p>
        </w:tc>
        <w:tc>
          <w:tcPr>
            <w:tcW w:type="dxa" w:w="2016"/>
            <w:shd w:fill="F1F8F7"/>
          </w:tcPr>
          <w:p>
            <w:r>
              <w:rPr>
                <w:sz w:val="19"/>
              </w:rPr>
              <w:t>Plan (medications) OR Assessment</w:t>
            </w:r>
          </w:p>
        </w:tc>
        <w:tc>
          <w:tcPr>
            <w:tcW w:type="dxa" w:w="3312"/>
            <w:shd w:fill="F1F8F7"/>
          </w:tcPr>
          <w:p>
            <w:r>
              <w:rPr>
                <w:sz w:val="19"/>
              </w:rPr>
              <w:t>0521F  Statin therapy prescribed</w:t>
            </w:r>
          </w:p>
          <w:p>
            <w:r>
              <w:rPr>
                <w:sz w:val="19"/>
              </w:rPr>
              <w:t>4013F  Statin currently in use</w:t>
            </w:r>
          </w:p>
          <w:p>
            <w:r>
              <w:rPr>
                <w:sz w:val="19"/>
              </w:rPr>
              <w:t>4013F-1P  Medical exception</w:t>
            </w:r>
          </w:p>
          <w:p>
            <w:r>
              <w:rPr>
                <w:sz w:val="19"/>
              </w:rPr>
              <w:t>4013F-2P  Patient declined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Diabetic eye exam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"eye exam", "retinal", "ophthalmology", "dilated"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Plan OR Objective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2022F  Retinal exam completed - negative</w:t>
            </w:r>
          </w:p>
          <w:p>
            <w:r>
              <w:rPr>
                <w:sz w:val="19"/>
              </w:rPr>
              <w:t>2024F  Retinal exam completed - positive</w:t>
            </w:r>
          </w:p>
          <w:p>
            <w:r>
              <w:rPr>
                <w:sz w:val="19"/>
              </w:rPr>
              <w:t>2026F  Eye exam with evidence of retinopathy</w:t>
            </w:r>
          </w:p>
        </w:tc>
      </w:tr>
      <w:tr>
        <w:tc>
          <w:tcPr>
            <w:tcW w:type="dxa" w:w="2160"/>
            <w:shd w:fill="F1F8F7"/>
          </w:tcPr>
          <w:p>
            <w:r>
              <w:rPr>
                <w:sz w:val="19"/>
              </w:rPr>
              <w:t>Nephropathy screening (Diabetes)</w:t>
            </w:r>
          </w:p>
        </w:tc>
        <w:tc>
          <w:tcPr>
            <w:tcW w:type="dxa" w:w="2448"/>
            <w:shd w:fill="F1F8F7"/>
          </w:tcPr>
          <w:p>
            <w:r>
              <w:rPr>
                <w:sz w:val="19"/>
              </w:rPr>
              <w:t>"urine", "microalbumin", "ACE", "ARB"</w:t>
            </w:r>
          </w:p>
        </w:tc>
        <w:tc>
          <w:tcPr>
            <w:tcW w:type="dxa" w:w="2016"/>
            <w:shd w:fill="F1F8F7"/>
          </w:tcPr>
          <w:p>
            <w:r>
              <w:rPr>
                <w:sz w:val="19"/>
              </w:rPr>
              <w:t>Objective (labs) OR Plan</w:t>
            </w:r>
          </w:p>
        </w:tc>
        <w:tc>
          <w:tcPr>
            <w:tcW w:type="dxa" w:w="3312"/>
            <w:shd w:fill="F1F8F7"/>
          </w:tcPr>
          <w:p>
            <w:r>
              <w:rPr>
                <w:sz w:val="19"/>
              </w:rPr>
              <w:t>3060F  Positive result</w:t>
            </w:r>
          </w:p>
          <w:p>
            <w:r>
              <w:rPr>
                <w:sz w:val="19"/>
              </w:rPr>
              <w:t>3061F  Negative result</w:t>
            </w:r>
          </w:p>
          <w:p>
            <w:r>
              <w:rPr>
                <w:sz w:val="19"/>
              </w:rPr>
              <w:t>3062F  On ACEi or ARB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Medication reconciliation post-discharge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"med rec", "medication reconciliation", "post-discharge"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Plan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  <w:t>1111F  Medication reconciliation performed within 30 days of discharge</w:t>
            </w:r>
          </w:p>
        </w:tc>
      </w:tr>
      <w:tr>
        <w:tc>
          <w:tcPr>
            <w:tcW w:type="dxa" w:w="2160"/>
            <w:shd w:fill="F1F8F7"/>
          </w:tcPr>
          <w:p>
            <w:r>
              <w:rPr>
                <w:sz w:val="19"/>
              </w:rPr>
              <w:t>Fall risk assessment (age 65+)</w:t>
            </w:r>
          </w:p>
        </w:tc>
        <w:tc>
          <w:tcPr>
            <w:tcW w:type="dxa" w:w="2448"/>
            <w:shd w:fill="F1F8F7"/>
          </w:tcPr>
          <w:p>
            <w:r>
              <w:rPr>
                <w:sz w:val="19"/>
              </w:rPr>
              <w:t>"fall", "gait", "balance"</w:t>
            </w:r>
          </w:p>
        </w:tc>
        <w:tc>
          <w:tcPr>
            <w:tcW w:type="dxa" w:w="2016"/>
            <w:shd w:fill="F1F8F7"/>
          </w:tcPr>
          <w:p>
            <w:r>
              <w:rPr>
                <w:sz w:val="19"/>
              </w:rPr>
              <w:t>Objective OR Assessment</w:t>
            </w:r>
          </w:p>
        </w:tc>
        <w:tc>
          <w:tcPr>
            <w:tcW w:type="dxa" w:w="3312"/>
            <w:shd w:fill="F1F8F7"/>
          </w:tcPr>
          <w:p>
            <w:r>
              <w:rPr>
                <w:sz w:val="19"/>
              </w:rPr>
              <w:t>1101F  Fall risk assessment documented</w:t>
            </w:r>
          </w:p>
          <w:p>
            <w:r>
              <w:rPr>
                <w:sz w:val="19"/>
              </w:rPr>
              <w:t>1100F  Patient screened for future fall risk</w:t>
            </w:r>
          </w:p>
          <w:p>
            <w:r>
              <w:rPr>
                <w:sz w:val="19"/>
              </w:rPr>
              <w:t>3288F  Falls plan of care documented</w:t>
            </w:r>
          </w:p>
        </w:tc>
      </w:tr>
    </w:tbl>
    <w:p>
      <w:pPr>
        <w:spacing w:before="240" w:after="80"/>
      </w:pPr>
      <w:r>
        <w:rPr>
          <w:b/>
          <w:color w:val="0F6E6E"/>
          <w:sz w:val="28"/>
        </w:rPr>
        <w:t>Reason modifiers — when a measure isn't met</w:t>
      </w:r>
    </w:p>
    <w:p>
      <w:r>
        <w:t>If a measure is required but not performed, always add the reason modifier so the payer knows why. The modifier goes right after the CPT II code.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296"/>
            <w:shd w:fill="0F6E6E"/>
          </w:tcPr>
          <w:p>
            <w:r>
              <w:rPr>
                <w:b/>
                <w:color w:val="FFFFFF"/>
                <w:sz w:val="21"/>
              </w:rPr>
              <w:t>Modifier</w:t>
            </w:r>
          </w:p>
        </w:tc>
        <w:tc>
          <w:tcPr>
            <w:tcW w:type="dxa" w:w="2160"/>
            <w:shd w:fill="0F6E6E"/>
          </w:tcPr>
          <w:p>
            <w:r>
              <w:rPr>
                <w:b/>
                <w:color w:val="FFFFFF"/>
                <w:sz w:val="21"/>
              </w:rPr>
              <w:t>Meaning</w:t>
            </w:r>
          </w:p>
        </w:tc>
        <w:tc>
          <w:tcPr>
            <w:tcW w:type="dxa" w:w="5760"/>
            <w:shd w:fill="0F6E6E"/>
          </w:tcPr>
          <w:p>
            <w:r>
              <w:rPr>
                <w:b/>
                <w:color w:val="FFFFFF"/>
                <w:sz w:val="21"/>
              </w:rPr>
              <w:t>When to use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1P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Medical reason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Contraindication (e.g., pregnancy prevents a med)</w:t>
            </w:r>
          </w:p>
        </w:tc>
      </w:tr>
      <w:tr>
        <w:tc>
          <w:tcPr>
            <w:tcW w:type="dxa" w:w="1296"/>
            <w:shd w:fill="F1F8F7"/>
          </w:tcPr>
          <w:p>
            <w:r>
              <w:rPr>
                <w:sz w:val="19"/>
              </w:rPr>
              <w:t>2P</w:t>
            </w:r>
          </w:p>
        </w:tc>
        <w:tc>
          <w:tcPr>
            <w:tcW w:type="dxa" w:w="2160"/>
            <w:shd w:fill="F1F8F7"/>
          </w:tcPr>
          <w:p>
            <w:r>
              <w:rPr>
                <w:sz w:val="19"/>
              </w:rPr>
              <w:t>Patient reason</w:t>
            </w:r>
          </w:p>
        </w:tc>
        <w:tc>
          <w:tcPr>
            <w:tcW w:type="dxa" w:w="5760"/>
            <w:shd w:fill="F1F8F7"/>
          </w:tcPr>
          <w:p>
            <w:r>
              <w:rPr>
                <w:sz w:val="19"/>
              </w:rPr>
              <w:t>Patient refused / religious objection / financial</w:t>
            </w:r>
          </w:p>
        </w:tc>
      </w:tr>
      <w:tr>
        <w:tc>
          <w:tcPr>
            <w:tcW w:type="dxa" w:w="1296"/>
          </w:tcPr>
          <w:p>
            <w:r>
              <w:rPr>
                <w:sz w:val="19"/>
              </w:rPr>
              <w:t>3P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System reason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Not available / referral not returned / lab machine down</w:t>
            </w:r>
          </w:p>
        </w:tc>
      </w:tr>
      <w:tr>
        <w:tc>
          <w:tcPr>
            <w:tcW w:type="dxa" w:w="1296"/>
            <w:shd w:fill="F1F8F7"/>
          </w:tcPr>
          <w:p>
            <w:r>
              <w:rPr>
                <w:sz w:val="19"/>
              </w:rPr>
              <w:t>8P</w:t>
            </w:r>
          </w:p>
        </w:tc>
        <w:tc>
          <w:tcPr>
            <w:tcW w:type="dxa" w:w="2160"/>
            <w:shd w:fill="F1F8F7"/>
          </w:tcPr>
          <w:p>
            <w:r>
              <w:rPr>
                <w:sz w:val="19"/>
              </w:rPr>
              <w:t>Reason not otherwise specified</w:t>
            </w:r>
          </w:p>
        </w:tc>
        <w:tc>
          <w:tcPr>
            <w:tcW w:type="dxa" w:w="5760"/>
            <w:shd w:fill="F1F8F7"/>
          </w:tcPr>
          <w:p>
            <w:r>
              <w:rPr>
                <w:sz w:val="19"/>
              </w:rPr>
              <w:t>Any other documented reason not covered above</w:t>
            </w:r>
          </w:p>
        </w:tc>
      </w:tr>
    </w:tbl>
    <w:p>
      <w:pPr>
        <w:spacing w:before="240" w:after="80"/>
      </w:pPr>
      <w:r>
        <w:rPr>
          <w:b/>
          <w:color w:val="0F6E6E"/>
          <w:sz w:val="28"/>
        </w:rPr>
        <w:t>Where each SOAP section usually hides CPT II clues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016"/>
            <w:shd w:fill="0F6E6E"/>
          </w:tcPr>
          <w:p>
            <w:r>
              <w:rPr>
                <w:b/>
                <w:color w:val="FFFFFF"/>
                <w:sz w:val="21"/>
              </w:rPr>
              <w:t>SOAP section</w:t>
            </w:r>
          </w:p>
        </w:tc>
        <w:tc>
          <w:tcPr>
            <w:tcW w:type="dxa" w:w="3600"/>
            <w:shd w:fill="0F6E6E"/>
          </w:tcPr>
          <w:p>
            <w:r>
              <w:rPr>
                <w:b/>
                <w:color w:val="FFFFFF"/>
                <w:sz w:val="21"/>
              </w:rPr>
              <w:t>What's usually there</w:t>
            </w:r>
          </w:p>
        </w:tc>
        <w:tc>
          <w:tcPr>
            <w:tcW w:type="dxa" w:w="3600"/>
            <w:shd w:fill="0F6E6E"/>
          </w:tcPr>
          <w:p>
            <w:r>
              <w:rPr>
                <w:b/>
                <w:color w:val="FFFFFF"/>
                <w:sz w:val="21"/>
              </w:rPr>
              <w:t>Common CPT II measures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Subjective (S)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Patient history, symptoms, social history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Tobacco use · patient-reported symptoms</w:t>
            </w:r>
          </w:p>
        </w:tc>
      </w:tr>
      <w:tr>
        <w:tc>
          <w:tcPr>
            <w:tcW w:type="dxa" w:w="2016"/>
            <w:shd w:fill="F1F8F7"/>
          </w:tcPr>
          <w:p>
            <w:r>
              <w:rPr>
                <w:sz w:val="19"/>
              </w:rPr>
              <w:t>Objective (O)</w:t>
            </w:r>
          </w:p>
        </w:tc>
        <w:tc>
          <w:tcPr>
            <w:tcW w:type="dxa" w:w="3600"/>
            <w:shd w:fill="F1F8F7"/>
          </w:tcPr>
          <w:p>
            <w:r>
              <w:rPr>
                <w:sz w:val="19"/>
              </w:rPr>
              <w:t>Vitals, exam findings, labs, screening scores</w:t>
            </w:r>
          </w:p>
        </w:tc>
        <w:tc>
          <w:tcPr>
            <w:tcW w:type="dxa" w:w="3600"/>
            <w:shd w:fill="F1F8F7"/>
          </w:tcPr>
          <w:p>
            <w:r>
              <w:rPr>
                <w:sz w:val="19"/>
              </w:rPr>
              <w:t>BP · BMI · A1c · PHQ-9 · GAD-7 · labs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Assessment (A)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Diagnoses with clinical reasoning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Confirmed dx of DM/HTN/depression that triggers the measure</w:t>
            </w:r>
          </w:p>
        </w:tc>
      </w:tr>
      <w:tr>
        <w:tc>
          <w:tcPr>
            <w:tcW w:type="dxa" w:w="2016"/>
            <w:shd w:fill="F1F8F7"/>
          </w:tcPr>
          <w:p>
            <w:r>
              <w:rPr>
                <w:sz w:val="19"/>
              </w:rPr>
              <w:t>Plan (P)</w:t>
            </w:r>
          </w:p>
        </w:tc>
        <w:tc>
          <w:tcPr>
            <w:tcW w:type="dxa" w:w="3600"/>
            <w:shd w:fill="F1F8F7"/>
          </w:tcPr>
          <w:p>
            <w:r>
              <w:rPr>
                <w:sz w:val="19"/>
              </w:rPr>
              <w:t>Medications, referrals, education, follow-up</w:t>
            </w:r>
          </w:p>
        </w:tc>
        <w:tc>
          <w:tcPr>
            <w:tcW w:type="dxa" w:w="3600"/>
            <w:shd w:fill="F1F8F7"/>
          </w:tcPr>
          <w:p>
            <w:r>
              <w:rPr>
                <w:sz w:val="19"/>
              </w:rPr>
              <w:t>Statin prescribed · med rec · follow-up plan · counseling given</w:t>
            </w:r>
          </w:p>
        </w:tc>
      </w:tr>
    </w:tbl>
    <w:p>
      <w:pPr>
        <w:spacing w:before="240" w:after="80"/>
      </w:pPr>
      <w:r>
        <w:rPr>
          <w:b/>
          <w:color w:val="0F6E6E"/>
          <w:sz w:val="28"/>
        </w:rPr>
        <w:t>Speed tips for the whole team</w:t>
      </w:r>
    </w:p>
    <w:p>
      <w:pPr>
        <w:pStyle w:val="ListBullet"/>
        <w:spacing w:after="40"/>
        <w:ind w:left="360"/>
      </w:pPr>
      <w:r>
        <w:rPr>
          <w:sz w:val="21"/>
        </w:rPr>
        <w:t>Always look in the Objective section first — 70% of CPT II values live there.</w:t>
      </w:r>
    </w:p>
    <w:p>
      <w:pPr>
        <w:pStyle w:val="ListBullet"/>
        <w:spacing w:after="40"/>
        <w:ind w:left="360"/>
      </w:pPr>
      <w:r>
        <w:rPr>
          <w:sz w:val="21"/>
        </w:rPr>
        <w:t>If the value is present but no plan is documented for an abnormal result, DO NOT bill the CPT II code — request a query instead. Missing follow-up = incomplete measure.</w:t>
      </w:r>
    </w:p>
    <w:p>
      <w:pPr>
        <w:pStyle w:val="ListBullet"/>
        <w:spacing w:after="40"/>
        <w:ind w:left="360"/>
      </w:pPr>
      <w:r>
        <w:rPr>
          <w:sz w:val="21"/>
        </w:rPr>
        <w:t>Add CPT II codes on the same claim line as the primary E/M encounter, not as separate claims.</w:t>
      </w:r>
    </w:p>
    <w:p>
      <w:pPr>
        <w:pStyle w:val="ListBullet"/>
        <w:spacing w:after="40"/>
        <w:ind w:left="360"/>
      </w:pPr>
      <w:r>
        <w:rPr>
          <w:sz w:val="21"/>
        </w:rPr>
        <w:t>CPT II codes are $0.00 pass-through codes — they don't affect the paid amount, but they DO affect your quality measure scores and Star Ratings.</w:t>
      </w:r>
    </w:p>
    <w:p>
      <w:pPr>
        <w:pStyle w:val="ListBullet"/>
        <w:spacing w:after="40"/>
        <w:ind w:left="360"/>
      </w:pPr>
      <w:r>
        <w:rPr>
          <w:sz w:val="21"/>
        </w:rPr>
        <w:t>When in doubt between two similar codes, pick the one that matches the exact value range in the note. Don't estimate.</w:t>
      </w:r>
    </w:p>
    <w:p>
      <w:pPr>
        <w:pStyle w:val="ListBullet"/>
        <w:spacing w:after="40"/>
        <w:ind w:left="360"/>
      </w:pPr>
      <w:r>
        <w:rPr>
          <w:sz w:val="21"/>
        </w:rPr>
        <w:t>Keep a saved search / smart phrase in your EHR for the 10 keywords above — build once, use every day.</w:t>
      </w:r>
    </w:p>
    <w:p>
      <w:pPr>
        <w:spacing w:before="240" w:after="80"/>
      </w:pPr>
      <w:r>
        <w:rPr>
          <w:b/>
          <w:color w:val="0F6E6E"/>
          <w:sz w:val="28"/>
        </w:rPr>
        <w:t>Common documentation problems that block CPT II capture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4896"/>
            <w:shd w:fill="0F6E6E"/>
          </w:tcPr>
          <w:p>
            <w:r>
              <w:rPr>
                <w:b/>
                <w:color w:val="FFFFFF"/>
                <w:sz w:val="21"/>
              </w:rPr>
              <w:t>Problem in the note</w:t>
            </w:r>
          </w:p>
        </w:tc>
        <w:tc>
          <w:tcPr>
            <w:tcW w:type="dxa" w:w="4320"/>
            <w:shd w:fill="0F6E6E"/>
          </w:tcPr>
          <w:p>
            <w:r>
              <w:rPr>
                <w:b/>
                <w:color w:val="FFFFFF"/>
                <w:sz w:val="21"/>
              </w:rPr>
              <w:t>What the biller should do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Provider wrote 'screened' but no actual score/value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Query the provider for the numeric result</w:t>
            </w:r>
          </w:p>
        </w:tc>
      </w:tr>
      <w:tr>
        <w:tc>
          <w:tcPr>
            <w:tcW w:type="dxa" w:w="4896"/>
            <w:shd w:fill="F1F8F7"/>
          </w:tcPr>
          <w:p>
            <w:r>
              <w:rPr>
                <w:sz w:val="19"/>
              </w:rPr>
              <w:t>Positive screen but no follow-up plan documented</w:t>
            </w:r>
          </w:p>
        </w:tc>
        <w:tc>
          <w:tcPr>
            <w:tcW w:type="dxa" w:w="4320"/>
            <w:shd w:fill="F1F8F7"/>
          </w:tcPr>
          <w:p>
            <w:r>
              <w:rPr>
                <w:sz w:val="19"/>
              </w:rPr>
              <w:t>Query for the follow-up plan or reason it wasn't done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Vital signs present but not addressed in the plan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Code the value only if a plan/action is documented</w:t>
            </w:r>
          </w:p>
        </w:tc>
      </w:tr>
      <w:tr>
        <w:tc>
          <w:tcPr>
            <w:tcW w:type="dxa" w:w="4896"/>
            <w:shd w:fill="F1F8F7"/>
          </w:tcPr>
          <w:p>
            <w:r>
              <w:rPr>
                <w:sz w:val="19"/>
              </w:rPr>
              <w:t>Copy-forward note — same PHQ-9 score as last visit</w:t>
            </w:r>
          </w:p>
        </w:tc>
        <w:tc>
          <w:tcPr>
            <w:tcW w:type="dxa" w:w="4320"/>
            <w:shd w:fill="F1F8F7"/>
          </w:tcPr>
          <w:p>
            <w:r>
              <w:rPr>
                <w:sz w:val="19"/>
              </w:rPr>
              <w:t>Query if this is a repeat measurement or copy error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Contradictory sections (S says 'quit smoking' / P says 'counseled on smoking cessation')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Query provider to reconcile</w:t>
            </w:r>
          </w:p>
        </w:tc>
      </w:tr>
    </w:tbl>
    <w:p>
      <w:pPr>
        <w:spacing w:before="240" w:after="80"/>
      </w:pPr>
      <w:r>
        <w:rPr>
          <w:b/>
          <w:color w:val="0F6E6E"/>
          <w:sz w:val="28"/>
        </w:rPr>
        <w:t>Quick-start checklist for every claim</w:t>
      </w:r>
    </w:p>
    <w:p>
      <w:pPr>
        <w:pStyle w:val="ListBullet"/>
        <w:spacing w:after="40"/>
        <w:ind w:left="360"/>
      </w:pPr>
      <w:r>
        <w:rPr>
          <w:sz w:val="21"/>
        </w:rPr>
        <w:t>Ctrl+F for the 10 keywords above</w:t>
      </w:r>
    </w:p>
    <w:p>
      <w:pPr>
        <w:pStyle w:val="ListBullet"/>
        <w:spacing w:after="40"/>
        <w:ind w:left="360"/>
      </w:pPr>
      <w:r>
        <w:rPr>
          <w:sz w:val="21"/>
        </w:rPr>
        <w:t>Check the Objective section for vitals and lab values</w:t>
      </w:r>
    </w:p>
    <w:p>
      <w:pPr>
        <w:pStyle w:val="ListBullet"/>
        <w:spacing w:after="40"/>
        <w:ind w:left="360"/>
      </w:pPr>
      <w:r>
        <w:rPr>
          <w:sz w:val="21"/>
        </w:rPr>
        <w:t>Verify a plan/follow-up is documented for any abnormal result</w:t>
      </w:r>
    </w:p>
    <w:p>
      <w:pPr>
        <w:pStyle w:val="ListBullet"/>
        <w:spacing w:after="40"/>
        <w:ind w:left="360"/>
      </w:pPr>
      <w:r>
        <w:rPr>
          <w:sz w:val="21"/>
        </w:rPr>
        <w:t>Match the value range to the exact CPT II code</w:t>
      </w:r>
    </w:p>
    <w:p>
      <w:pPr>
        <w:pStyle w:val="ListBullet"/>
        <w:spacing w:after="40"/>
        <w:ind w:left="360"/>
      </w:pPr>
      <w:r>
        <w:rPr>
          <w:sz w:val="21"/>
        </w:rPr>
        <w:t>Add reason modifier (1P/2P/3P/8P) if measure wasn't done</w:t>
      </w:r>
    </w:p>
    <w:p>
      <w:pPr>
        <w:pStyle w:val="ListBullet"/>
        <w:spacing w:after="40"/>
        <w:ind w:left="360"/>
      </w:pPr>
      <w:r>
        <w:rPr>
          <w:sz w:val="21"/>
        </w:rPr>
        <w:t>Query the provider before submitting anything unclear</w:t>
      </w:r>
    </w:p>
    <w:p>
      <w:pPr>
        <w:spacing w:before="360"/>
      </w:pPr>
      <w:r>
        <w:rPr>
          <w:i/>
          <w:color w:val="555555"/>
        </w:rPr>
        <w:t>End of guide · print and post at your desk.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