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4"/>
        </w:rPr>
        <w:t>Anatomy &amp; Physiology Quick Reference</w:t>
      </w:r>
    </w:p>
    <w:p>
      <w:pPr>
        <w:spacing w:after="240"/>
      </w:pPr>
      <w:r>
        <w:rPr>
          <w:i/>
          <w:color w:val="555555"/>
          <w:sz w:val="21"/>
        </w:rPr>
        <w:t>For the billing team · brief clinical background on the most common diagnoses at HealthProMed · print and keep at your desk</w:t>
      </w:r>
    </w:p>
    <w:p>
      <w:r>
        <w:rPr>
          <w:sz w:val="21"/>
        </w:rPr>
        <w:t>This guide is not a coding manual. It's a plain-language explanation of the conditions you code every day — what's happening in the body, what to look for in the note, and the coding traps to avoid. Understanding the disease makes it easier to catch mismatches, spot missing specificity, and know when to query the provider.</w:t>
      </w:r>
    </w:p>
    <w:p>
      <w:pPr>
        <w:spacing w:before="240" w:after="80"/>
      </w:pPr>
      <w:r>
        <w:rPr>
          <w:b/>
          <w:color w:val="0F6E6E"/>
          <w:sz w:val="28"/>
        </w:rPr>
        <w:t>Preventive-care top 15 diagnoses</w:t>
      </w:r>
    </w:p>
    <w:p>
      <w:pPr>
        <w:spacing w:before="200" w:after="60"/>
      </w:pPr>
      <w:r>
        <w:rPr>
          <w:b/>
          <w:color w:val="0F6E6E"/>
          <w:sz w:val="24"/>
        </w:rPr>
        <w:t xml:space="preserve">E11.-  ·  </w:t>
      </w:r>
      <w:r>
        <w:rPr>
          <w:b/>
          <w:color w:val="0F172A"/>
          <w:sz w:val="24"/>
        </w:rPr>
        <w:t>Type 2 Diabetes Mellitus</w:t>
      </w:r>
    </w:p>
    <w:tbl>
      <w:tblPr>
        <w:tblW w:type="auto" w:w="0"/>
        <w:tblLayout w:type="fixed"/>
        <w:tblLook w:firstColumn="1" w:firstRow="1" w:lastColumn="0" w:lastRow="0" w:noHBand="0" w:noVBand="1" w:val="04A0"/>
      </w:tblPr>
      <w:tblGrid>
        <w:gridCol w:w="5043"/>
        <w:gridCol w:w="5043"/>
      </w:tblGrid>
      <w:tr>
        <w:tc>
          <w:tcPr>
            <w:tcW w:type="dxa" w:w="2016"/>
            <w:shd w:fill="E6F4F1"/>
          </w:tcPr>
          <w:p>
            <w:r>
              <w:rPr>
                <w:b/>
                <w:sz w:val="19"/>
              </w:rPr>
              <w:t>System / anatomy</w:t>
            </w:r>
          </w:p>
        </w:tc>
        <w:tc>
          <w:tcPr>
            <w:tcW w:type="dxa" w:w="7200"/>
          </w:tcPr>
          <w:p>
            <w:r>
              <w:rPr>
                <w:sz w:val="19"/>
              </w:rPr>
              <w:t>Endocrine system · pancreas</w:t>
            </w:r>
          </w:p>
        </w:tc>
      </w:tr>
      <w:tr>
        <w:tc>
          <w:tcPr>
            <w:tcW w:type="dxa" w:w="2016"/>
            <w:shd w:fill="E6F4F1"/>
          </w:tcPr>
          <w:p>
            <w:r>
              <w:rPr>
                <w:b/>
                <w:sz w:val="19"/>
              </w:rPr>
              <w:t>Physiology (what's happening)</w:t>
            </w:r>
          </w:p>
        </w:tc>
        <w:tc>
          <w:tcPr>
            <w:tcW w:type="dxa" w:w="7200"/>
          </w:tcPr>
          <w:p>
            <w:r>
              <w:rPr>
                <w:sz w:val="19"/>
              </w:rPr>
              <w:t>The pancreas makes insulin, which lets sugar (glucose) enter cells for energy. In Type 2 DM, cells stop responding to insulin (insulin resistance) — sugar stays in the blood and damages small vessels over time, affecting eyes, kidneys, nerves, and heart.</w:t>
            </w:r>
          </w:p>
        </w:tc>
      </w:tr>
      <w:tr>
        <w:tc>
          <w:tcPr>
            <w:tcW w:type="dxa" w:w="2016"/>
            <w:shd w:fill="E6F4F1"/>
          </w:tcPr>
          <w:p>
            <w:r>
              <w:rPr>
                <w:b/>
                <w:sz w:val="19"/>
              </w:rPr>
              <w:t>What to look for in the note</w:t>
            </w:r>
          </w:p>
        </w:tc>
        <w:tc>
          <w:tcPr>
            <w:tcW w:type="dxa" w:w="7200"/>
          </w:tcPr>
          <w:p>
            <w:r>
              <w:rPr>
                <w:sz w:val="19"/>
              </w:rPr>
              <w:t>HbA1c (3-month blood sugar average) · fasting glucose · complications (eye/kidney/nerve/foot) · medications (metformin, insulin) · type + control level.</w:t>
            </w:r>
          </w:p>
        </w:tc>
      </w:tr>
      <w:tr>
        <w:tc>
          <w:tcPr>
            <w:tcW w:type="dxa" w:w="2016"/>
            <w:shd w:fill="E6F4F1"/>
          </w:tcPr>
          <w:p>
            <w:r>
              <w:rPr>
                <w:b/>
                <w:sz w:val="19"/>
              </w:rPr>
              <w:t>Coding pitfalls</w:t>
            </w:r>
          </w:p>
        </w:tc>
        <w:tc>
          <w:tcPr>
            <w:tcW w:type="dxa" w:w="7200"/>
          </w:tcPr>
          <w:p>
            <w:r>
              <w:rPr>
                <w:sz w:val="19"/>
              </w:rPr>
              <w:t>E11.9 (unspecified) is a red flag — providers should specify complications. Push for combination codes: E11.22 (with CKD), E11.42 (with polyneuropathy), E11.9 (uncomplicated but still needs 'without complications' stated).</w:t>
            </w:r>
          </w:p>
        </w:tc>
      </w:tr>
      <w:tr>
        <w:tc>
          <w:tcPr>
            <w:tcW w:type="dxa" w:w="2016"/>
            <w:shd w:fill="E6F4F1"/>
          </w:tcPr>
          <w:p>
            <w:r>
              <w:rPr>
                <w:b/>
                <w:sz w:val="19"/>
              </w:rPr>
              <w:t>Common code family</w:t>
            </w:r>
          </w:p>
        </w:tc>
        <w:tc>
          <w:tcPr>
            <w:tcW w:type="dxa" w:w="7200"/>
          </w:tcPr>
          <w:p>
            <w:r>
              <w:rPr>
                <w:sz w:val="19"/>
              </w:rPr>
              <w:t>E11.0 – E11.9 (Type 2) · E10.- (Type 1)</w:t>
            </w:r>
          </w:p>
        </w:tc>
      </w:tr>
    </w:tbl>
    <w:p>
      <w:pPr>
        <w:spacing w:before="200" w:after="60"/>
      </w:pPr>
      <w:r>
        <w:rPr>
          <w:b/>
          <w:color w:val="0F6E6E"/>
          <w:sz w:val="24"/>
        </w:rPr>
        <w:t xml:space="preserve">I10  ·  </w:t>
      </w:r>
      <w:r>
        <w:rPr>
          <w:b/>
          <w:color w:val="0F172A"/>
          <w:sz w:val="24"/>
        </w:rPr>
        <w:t>Essential (Primary) Hypertension</w:t>
      </w:r>
    </w:p>
    <w:tbl>
      <w:tblPr>
        <w:tblW w:type="auto" w:w="0"/>
        <w:tblLayout w:type="fixed"/>
        <w:tblLook w:firstColumn="1" w:firstRow="1" w:lastColumn="0" w:lastRow="0" w:noHBand="0" w:noVBand="1" w:val="04A0"/>
      </w:tblPr>
      <w:tblGrid>
        <w:gridCol w:w="5043"/>
        <w:gridCol w:w="5043"/>
      </w:tblGrid>
      <w:tr>
        <w:tc>
          <w:tcPr>
            <w:tcW w:type="dxa" w:w="2016"/>
            <w:shd w:fill="E6F4F1"/>
          </w:tcPr>
          <w:p>
            <w:r>
              <w:rPr>
                <w:b/>
                <w:sz w:val="19"/>
              </w:rPr>
              <w:t>System / anatomy</w:t>
            </w:r>
          </w:p>
        </w:tc>
        <w:tc>
          <w:tcPr>
            <w:tcW w:type="dxa" w:w="7200"/>
          </w:tcPr>
          <w:p>
            <w:r>
              <w:rPr>
                <w:sz w:val="19"/>
              </w:rPr>
              <w:t>Cardiovascular system · arteries</w:t>
            </w:r>
          </w:p>
        </w:tc>
      </w:tr>
      <w:tr>
        <w:tc>
          <w:tcPr>
            <w:tcW w:type="dxa" w:w="2016"/>
            <w:shd w:fill="E6F4F1"/>
          </w:tcPr>
          <w:p>
            <w:r>
              <w:rPr>
                <w:b/>
                <w:sz w:val="19"/>
              </w:rPr>
              <w:t>Physiology (what's happening)</w:t>
            </w:r>
          </w:p>
        </w:tc>
        <w:tc>
          <w:tcPr>
            <w:tcW w:type="dxa" w:w="7200"/>
          </w:tcPr>
          <w:p>
            <w:r>
              <w:rPr>
                <w:sz w:val="19"/>
              </w:rPr>
              <w:t>Blood pushes against artery walls with too much force over time. Damages arteries, strains the heart, and raises risk for heart attack, stroke, kidney failure. 'Essential' means no single identifiable cause — usually multifactorial (age, diet, genetics).</w:t>
            </w:r>
          </w:p>
        </w:tc>
      </w:tr>
      <w:tr>
        <w:tc>
          <w:tcPr>
            <w:tcW w:type="dxa" w:w="2016"/>
            <w:shd w:fill="E6F4F1"/>
          </w:tcPr>
          <w:p>
            <w:r>
              <w:rPr>
                <w:b/>
                <w:sz w:val="19"/>
              </w:rPr>
              <w:t>What to look for in the note</w:t>
            </w:r>
          </w:p>
        </w:tc>
        <w:tc>
          <w:tcPr>
            <w:tcW w:type="dxa" w:w="7200"/>
          </w:tcPr>
          <w:p>
            <w:r>
              <w:rPr>
                <w:sz w:val="19"/>
              </w:rPr>
              <w:t>BP readings (systolic/diastolic) · antihypertensive meds (lisinopril, losartan, amlodipine) · complications like heart failure, kidney disease.</w:t>
            </w:r>
          </w:p>
        </w:tc>
      </w:tr>
      <w:tr>
        <w:tc>
          <w:tcPr>
            <w:tcW w:type="dxa" w:w="2016"/>
            <w:shd w:fill="E6F4F1"/>
          </w:tcPr>
          <w:p>
            <w:r>
              <w:rPr>
                <w:b/>
                <w:sz w:val="19"/>
              </w:rPr>
              <w:t>Coding pitfalls</w:t>
            </w:r>
          </w:p>
        </w:tc>
        <w:tc>
          <w:tcPr>
            <w:tcW w:type="dxa" w:w="7200"/>
          </w:tcPr>
          <w:p>
            <w:r>
              <w:rPr>
                <w:sz w:val="19"/>
              </w:rPr>
              <w:t>I10 does NOT cover hypertensive heart or kidney disease — those need I11.- (heart), I12.- (kidney), I13.- (both). Coding I10 when patient has CHF understates severity.</w:t>
            </w:r>
          </w:p>
        </w:tc>
      </w:tr>
      <w:tr>
        <w:tc>
          <w:tcPr>
            <w:tcW w:type="dxa" w:w="2016"/>
            <w:shd w:fill="E6F4F1"/>
          </w:tcPr>
          <w:p>
            <w:r>
              <w:rPr>
                <w:b/>
                <w:sz w:val="19"/>
              </w:rPr>
              <w:t>Common code family</w:t>
            </w:r>
          </w:p>
        </w:tc>
        <w:tc>
          <w:tcPr>
            <w:tcW w:type="dxa" w:w="7200"/>
          </w:tcPr>
          <w:p>
            <w:r>
              <w:rPr>
                <w:sz w:val="19"/>
              </w:rPr>
              <w:t>I10 · I11.- (HTN heart) · I12.- (HTN CKD) · I13.- (both)</w:t>
            </w:r>
          </w:p>
        </w:tc>
      </w:tr>
    </w:tbl>
    <w:p>
      <w:pPr>
        <w:spacing w:before="200" w:after="60"/>
      </w:pPr>
      <w:r>
        <w:rPr>
          <w:b/>
          <w:color w:val="0F6E6E"/>
          <w:sz w:val="24"/>
        </w:rPr>
        <w:t xml:space="preserve">E78.-  ·  </w:t>
      </w:r>
      <w:r>
        <w:rPr>
          <w:b/>
          <w:color w:val="0F172A"/>
          <w:sz w:val="24"/>
        </w:rPr>
        <w:t>Hyperlipidemia / High Cholesterol</w:t>
      </w:r>
    </w:p>
    <w:tbl>
      <w:tblPr>
        <w:tblW w:type="auto" w:w="0"/>
        <w:tblLayout w:type="fixed"/>
        <w:tblLook w:firstColumn="1" w:firstRow="1" w:lastColumn="0" w:lastRow="0" w:noHBand="0" w:noVBand="1" w:val="04A0"/>
      </w:tblPr>
      <w:tblGrid>
        <w:gridCol w:w="5043"/>
        <w:gridCol w:w="5043"/>
      </w:tblGrid>
      <w:tr>
        <w:tc>
          <w:tcPr>
            <w:tcW w:type="dxa" w:w="2016"/>
            <w:shd w:fill="E6F4F1"/>
          </w:tcPr>
          <w:p>
            <w:r>
              <w:rPr>
                <w:b/>
                <w:sz w:val="19"/>
              </w:rPr>
              <w:t>System / anatomy</w:t>
            </w:r>
          </w:p>
        </w:tc>
        <w:tc>
          <w:tcPr>
            <w:tcW w:type="dxa" w:w="7200"/>
          </w:tcPr>
          <w:p>
            <w:r>
              <w:rPr>
                <w:sz w:val="19"/>
              </w:rPr>
              <w:t>Cardiovascular system · blood</w:t>
            </w:r>
          </w:p>
        </w:tc>
      </w:tr>
      <w:tr>
        <w:tc>
          <w:tcPr>
            <w:tcW w:type="dxa" w:w="2016"/>
            <w:shd w:fill="E6F4F1"/>
          </w:tcPr>
          <w:p>
            <w:r>
              <w:rPr>
                <w:b/>
                <w:sz w:val="19"/>
              </w:rPr>
              <w:t>Physiology (what's happening)</w:t>
            </w:r>
          </w:p>
        </w:tc>
        <w:tc>
          <w:tcPr>
            <w:tcW w:type="dxa" w:w="7200"/>
          </w:tcPr>
          <w:p>
            <w:r>
              <w:rPr>
                <w:sz w:val="19"/>
              </w:rPr>
              <w:t>Too much cholesterol or triglycerides in the blood. Cholesterol builds up in artery walls (atherosclerosis), narrowing them and raising risk for heart attack and stroke.</w:t>
            </w:r>
          </w:p>
        </w:tc>
      </w:tr>
      <w:tr>
        <w:tc>
          <w:tcPr>
            <w:tcW w:type="dxa" w:w="2016"/>
            <w:shd w:fill="E6F4F1"/>
          </w:tcPr>
          <w:p>
            <w:r>
              <w:rPr>
                <w:b/>
                <w:sz w:val="19"/>
              </w:rPr>
              <w:t>What to look for in the note</w:t>
            </w:r>
          </w:p>
        </w:tc>
        <w:tc>
          <w:tcPr>
            <w:tcW w:type="dxa" w:w="7200"/>
          </w:tcPr>
          <w:p>
            <w:r>
              <w:rPr>
                <w:sz w:val="19"/>
              </w:rPr>
              <w:t>Lipid panel (LDL, HDL, triglycerides) · statin therapy (atorvastatin, rosuvastatin) · CVD risk assessment.</w:t>
            </w:r>
          </w:p>
        </w:tc>
      </w:tr>
      <w:tr>
        <w:tc>
          <w:tcPr>
            <w:tcW w:type="dxa" w:w="2016"/>
            <w:shd w:fill="E6F4F1"/>
          </w:tcPr>
          <w:p>
            <w:r>
              <w:rPr>
                <w:b/>
                <w:sz w:val="19"/>
              </w:rPr>
              <w:t>Coding pitfalls</w:t>
            </w:r>
          </w:p>
        </w:tc>
        <w:tc>
          <w:tcPr>
            <w:tcW w:type="dxa" w:w="7200"/>
          </w:tcPr>
          <w:p>
            <w:r>
              <w:rPr>
                <w:sz w:val="19"/>
              </w:rPr>
              <w:t>E78.5 (unspecified) is often the default — should be more specific: E78.00 (pure hypercholesterolemia), E78.1 (pure hypertriglyceridemia), E78.2 (mixed).</w:t>
            </w:r>
          </w:p>
        </w:tc>
      </w:tr>
      <w:tr>
        <w:tc>
          <w:tcPr>
            <w:tcW w:type="dxa" w:w="2016"/>
            <w:shd w:fill="E6F4F1"/>
          </w:tcPr>
          <w:p>
            <w:r>
              <w:rPr>
                <w:b/>
                <w:sz w:val="19"/>
              </w:rPr>
              <w:t>Common code family</w:t>
            </w:r>
          </w:p>
        </w:tc>
        <w:tc>
          <w:tcPr>
            <w:tcW w:type="dxa" w:w="7200"/>
          </w:tcPr>
          <w:p>
            <w:r>
              <w:rPr>
                <w:sz w:val="19"/>
              </w:rPr>
              <w:t>E78.00 – E78.9</w:t>
            </w:r>
          </w:p>
        </w:tc>
      </w:tr>
    </w:tbl>
    <w:p>
      <w:pPr>
        <w:spacing w:before="200" w:after="60"/>
      </w:pPr>
      <w:r>
        <w:rPr>
          <w:b/>
          <w:color w:val="0F6E6E"/>
          <w:sz w:val="24"/>
        </w:rPr>
        <w:t xml:space="preserve">E66.-  ·  </w:t>
      </w:r>
      <w:r>
        <w:rPr>
          <w:b/>
          <w:color w:val="0F172A"/>
          <w:sz w:val="24"/>
        </w:rPr>
        <w:t>Overweight / Obesity</w:t>
      </w:r>
    </w:p>
    <w:tbl>
      <w:tblPr>
        <w:tblW w:type="auto" w:w="0"/>
        <w:tblLayout w:type="fixed"/>
        <w:tblLook w:firstColumn="1" w:firstRow="1" w:lastColumn="0" w:lastRow="0" w:noHBand="0" w:noVBand="1" w:val="04A0"/>
      </w:tblPr>
      <w:tblGrid>
        <w:gridCol w:w="5043"/>
        <w:gridCol w:w="5043"/>
      </w:tblGrid>
      <w:tr>
        <w:tc>
          <w:tcPr>
            <w:tcW w:type="dxa" w:w="2016"/>
            <w:shd w:fill="E6F4F1"/>
          </w:tcPr>
          <w:p>
            <w:r>
              <w:rPr>
                <w:b/>
                <w:sz w:val="19"/>
              </w:rPr>
              <w:t>System / anatomy</w:t>
            </w:r>
          </w:p>
        </w:tc>
        <w:tc>
          <w:tcPr>
            <w:tcW w:type="dxa" w:w="7200"/>
          </w:tcPr>
          <w:p>
            <w:r>
              <w:rPr>
                <w:sz w:val="19"/>
              </w:rPr>
              <w:t>Multiple systems (metabolic, cardiovascular, musculoskeletal)</w:t>
            </w:r>
          </w:p>
        </w:tc>
      </w:tr>
      <w:tr>
        <w:tc>
          <w:tcPr>
            <w:tcW w:type="dxa" w:w="2016"/>
            <w:shd w:fill="E6F4F1"/>
          </w:tcPr>
          <w:p>
            <w:r>
              <w:rPr>
                <w:b/>
                <w:sz w:val="19"/>
              </w:rPr>
              <w:t>Physiology (what's happening)</w:t>
            </w:r>
          </w:p>
        </w:tc>
        <w:tc>
          <w:tcPr>
            <w:tcW w:type="dxa" w:w="7200"/>
          </w:tcPr>
          <w:p>
            <w:r>
              <w:rPr>
                <w:sz w:val="19"/>
              </w:rPr>
              <w:t>Excess body fat that impairs health. Increases risk for diabetes, HTN, sleep apnea, joint disease, and multiple cancers. BMI is the screening tool: 25-29.9 overweight, 30+ obese, 40+ morbid obesity.</w:t>
            </w:r>
          </w:p>
        </w:tc>
      </w:tr>
      <w:tr>
        <w:tc>
          <w:tcPr>
            <w:tcW w:type="dxa" w:w="2016"/>
            <w:shd w:fill="E6F4F1"/>
          </w:tcPr>
          <w:p>
            <w:r>
              <w:rPr>
                <w:b/>
                <w:sz w:val="19"/>
              </w:rPr>
              <w:t>What to look for in the note</w:t>
            </w:r>
          </w:p>
        </w:tc>
        <w:tc>
          <w:tcPr>
            <w:tcW w:type="dxa" w:w="7200"/>
          </w:tcPr>
          <w:p>
            <w:r>
              <w:rPr>
                <w:sz w:val="19"/>
              </w:rPr>
              <w:t>BMI value · counseling documented · comorbidities.</w:t>
            </w:r>
          </w:p>
        </w:tc>
      </w:tr>
      <w:tr>
        <w:tc>
          <w:tcPr>
            <w:tcW w:type="dxa" w:w="2016"/>
            <w:shd w:fill="E6F4F1"/>
          </w:tcPr>
          <w:p>
            <w:r>
              <w:rPr>
                <w:b/>
                <w:sz w:val="19"/>
              </w:rPr>
              <w:t>Coding pitfalls</w:t>
            </w:r>
          </w:p>
        </w:tc>
        <w:tc>
          <w:tcPr>
            <w:tcW w:type="dxa" w:w="7200"/>
          </w:tcPr>
          <w:p>
            <w:r>
              <w:rPr>
                <w:sz w:val="19"/>
              </w:rPr>
              <w:t>REQUIRES two codes: (1) E66.- (the condition) + (2) Z68.- (the BMI category). Missing Z68.- is a common CDI finding. E66.01 (morbid obesity, BMI 40+) is an HCC.</w:t>
            </w:r>
          </w:p>
        </w:tc>
      </w:tr>
      <w:tr>
        <w:tc>
          <w:tcPr>
            <w:tcW w:type="dxa" w:w="2016"/>
            <w:shd w:fill="E6F4F1"/>
          </w:tcPr>
          <w:p>
            <w:r>
              <w:rPr>
                <w:b/>
                <w:sz w:val="19"/>
              </w:rPr>
              <w:t>Common code family</w:t>
            </w:r>
          </w:p>
        </w:tc>
        <w:tc>
          <w:tcPr>
            <w:tcW w:type="dxa" w:w="7200"/>
          </w:tcPr>
          <w:p>
            <w:r>
              <w:rPr>
                <w:sz w:val="19"/>
              </w:rPr>
              <w:t>E66.01, E66.09, E66.9 · Z68.30 – Z68.45 (BMI categories)</w:t>
            </w:r>
          </w:p>
        </w:tc>
      </w:tr>
    </w:tbl>
    <w:p>
      <w:pPr>
        <w:spacing w:before="200" w:after="60"/>
      </w:pPr>
      <w:r>
        <w:rPr>
          <w:b/>
          <w:color w:val="0F6E6E"/>
          <w:sz w:val="24"/>
        </w:rPr>
        <w:t xml:space="preserve">N18.-  ·  </w:t>
      </w:r>
      <w:r>
        <w:rPr>
          <w:b/>
          <w:color w:val="0F172A"/>
          <w:sz w:val="24"/>
        </w:rPr>
        <w:t>Chronic Kidney Disease (CKD)</w:t>
      </w:r>
    </w:p>
    <w:tbl>
      <w:tblPr>
        <w:tblW w:type="auto" w:w="0"/>
        <w:tblLayout w:type="fixed"/>
        <w:tblLook w:firstColumn="1" w:firstRow="1" w:lastColumn="0" w:lastRow="0" w:noHBand="0" w:noVBand="1" w:val="04A0"/>
      </w:tblPr>
      <w:tblGrid>
        <w:gridCol w:w="5043"/>
        <w:gridCol w:w="5043"/>
      </w:tblGrid>
      <w:tr>
        <w:tc>
          <w:tcPr>
            <w:tcW w:type="dxa" w:w="2016"/>
            <w:shd w:fill="E6F4F1"/>
          </w:tcPr>
          <w:p>
            <w:r>
              <w:rPr>
                <w:b/>
                <w:sz w:val="19"/>
              </w:rPr>
              <w:t>System / anatomy</w:t>
            </w:r>
          </w:p>
        </w:tc>
        <w:tc>
          <w:tcPr>
            <w:tcW w:type="dxa" w:w="7200"/>
          </w:tcPr>
          <w:p>
            <w:r>
              <w:rPr>
                <w:sz w:val="19"/>
              </w:rPr>
              <w:t>Urinary system · kidneys</w:t>
            </w:r>
          </w:p>
        </w:tc>
      </w:tr>
      <w:tr>
        <w:tc>
          <w:tcPr>
            <w:tcW w:type="dxa" w:w="2016"/>
            <w:shd w:fill="E6F4F1"/>
          </w:tcPr>
          <w:p>
            <w:r>
              <w:rPr>
                <w:b/>
                <w:sz w:val="19"/>
              </w:rPr>
              <w:t>Physiology (what's happening)</w:t>
            </w:r>
          </w:p>
        </w:tc>
        <w:tc>
          <w:tcPr>
            <w:tcW w:type="dxa" w:w="7200"/>
          </w:tcPr>
          <w:p>
            <w:r>
              <w:rPr>
                <w:sz w:val="19"/>
              </w:rPr>
              <w:t>Kidneys filter waste from blood. In CKD, filtering ability drops over months/years. Measured by eGFR: Stage 1 ≥90 (with damage), Stage 2 60-89 (with damage), Stage 3a 45-59, Stage 3b 30-44, Stage 4 15-29, Stage 5 &lt;15 (kidney failure).</w:t>
            </w:r>
          </w:p>
        </w:tc>
      </w:tr>
      <w:tr>
        <w:tc>
          <w:tcPr>
            <w:tcW w:type="dxa" w:w="2016"/>
            <w:shd w:fill="E6F4F1"/>
          </w:tcPr>
          <w:p>
            <w:r>
              <w:rPr>
                <w:b/>
                <w:sz w:val="19"/>
              </w:rPr>
              <w:t>What to look for in the note</w:t>
            </w:r>
          </w:p>
        </w:tc>
        <w:tc>
          <w:tcPr>
            <w:tcW w:type="dxa" w:w="7200"/>
          </w:tcPr>
          <w:p>
            <w:r>
              <w:rPr>
                <w:sz w:val="19"/>
              </w:rPr>
              <w:t>eGFR value · creatinine · urine albumin/creatinine ratio · underlying cause (diabetic nephropathy, hypertensive nephropathy).</w:t>
            </w:r>
          </w:p>
        </w:tc>
      </w:tr>
      <w:tr>
        <w:tc>
          <w:tcPr>
            <w:tcW w:type="dxa" w:w="2016"/>
            <w:shd w:fill="E6F4F1"/>
          </w:tcPr>
          <w:p>
            <w:r>
              <w:rPr>
                <w:b/>
                <w:sz w:val="19"/>
              </w:rPr>
              <w:t>Coding pitfalls</w:t>
            </w:r>
          </w:p>
        </w:tc>
        <w:tc>
          <w:tcPr>
            <w:tcW w:type="dxa" w:w="7200"/>
          </w:tcPr>
          <w:p>
            <w:r>
              <w:rPr>
                <w:sz w:val="19"/>
              </w:rPr>
              <w:t>N18.3 was split into N18.30/31/32 in 2022. Always look for the substage. N18.4 and N18.5 are HCCs. If patient has DM + CKD, code E11.22 (combination) + N18.- (stage).</w:t>
            </w:r>
          </w:p>
        </w:tc>
      </w:tr>
      <w:tr>
        <w:tc>
          <w:tcPr>
            <w:tcW w:type="dxa" w:w="2016"/>
            <w:shd w:fill="E6F4F1"/>
          </w:tcPr>
          <w:p>
            <w:r>
              <w:rPr>
                <w:b/>
                <w:sz w:val="19"/>
              </w:rPr>
              <w:t>Common code family</w:t>
            </w:r>
          </w:p>
        </w:tc>
        <w:tc>
          <w:tcPr>
            <w:tcW w:type="dxa" w:w="7200"/>
          </w:tcPr>
          <w:p>
            <w:r>
              <w:rPr>
                <w:sz w:val="19"/>
              </w:rPr>
              <w:t>N18.1 – N18.6 · with substages N18.30/31/32</w:t>
            </w:r>
          </w:p>
        </w:tc>
      </w:tr>
    </w:tbl>
    <w:p>
      <w:pPr>
        <w:spacing w:before="200" w:after="60"/>
      </w:pPr>
      <w:r>
        <w:rPr>
          <w:b/>
          <w:color w:val="0F6E6E"/>
          <w:sz w:val="24"/>
        </w:rPr>
        <w:t xml:space="preserve">J44.-  ·  </w:t>
      </w:r>
      <w:r>
        <w:rPr>
          <w:b/>
          <w:color w:val="0F172A"/>
          <w:sz w:val="24"/>
        </w:rPr>
        <w:t>COPD (Chronic Obstructive Pulmonary Disease)</w:t>
      </w:r>
    </w:p>
    <w:tbl>
      <w:tblPr>
        <w:tblW w:type="auto" w:w="0"/>
        <w:tblLayout w:type="fixed"/>
        <w:tblLook w:firstColumn="1" w:firstRow="1" w:lastColumn="0" w:lastRow="0" w:noHBand="0" w:noVBand="1" w:val="04A0"/>
      </w:tblPr>
      <w:tblGrid>
        <w:gridCol w:w="5043"/>
        <w:gridCol w:w="5043"/>
      </w:tblGrid>
      <w:tr>
        <w:tc>
          <w:tcPr>
            <w:tcW w:type="dxa" w:w="2016"/>
            <w:shd w:fill="E6F4F1"/>
          </w:tcPr>
          <w:p>
            <w:r>
              <w:rPr>
                <w:b/>
                <w:sz w:val="19"/>
              </w:rPr>
              <w:t>System / anatomy</w:t>
            </w:r>
          </w:p>
        </w:tc>
        <w:tc>
          <w:tcPr>
            <w:tcW w:type="dxa" w:w="7200"/>
          </w:tcPr>
          <w:p>
            <w:r>
              <w:rPr>
                <w:sz w:val="19"/>
              </w:rPr>
              <w:t>Respiratory system · lungs · bronchi</w:t>
            </w:r>
          </w:p>
        </w:tc>
      </w:tr>
      <w:tr>
        <w:tc>
          <w:tcPr>
            <w:tcW w:type="dxa" w:w="2016"/>
            <w:shd w:fill="E6F4F1"/>
          </w:tcPr>
          <w:p>
            <w:r>
              <w:rPr>
                <w:b/>
                <w:sz w:val="19"/>
              </w:rPr>
              <w:t>Physiology (what's happening)</w:t>
            </w:r>
          </w:p>
        </w:tc>
        <w:tc>
          <w:tcPr>
            <w:tcW w:type="dxa" w:w="7200"/>
          </w:tcPr>
          <w:p>
            <w:r>
              <w:rPr>
                <w:sz w:val="19"/>
              </w:rPr>
              <w:t>Long-term airway narrowing and lung damage, usually from smoking. Two components: chronic bronchitis (airway inflammation) and emphysema (alveolar destruction). Reduces oxygen exchange, causes shortness of breath, chronic cough.</w:t>
            </w:r>
          </w:p>
        </w:tc>
      </w:tr>
      <w:tr>
        <w:tc>
          <w:tcPr>
            <w:tcW w:type="dxa" w:w="2016"/>
            <w:shd w:fill="E6F4F1"/>
          </w:tcPr>
          <w:p>
            <w:r>
              <w:rPr>
                <w:b/>
                <w:sz w:val="19"/>
              </w:rPr>
              <w:t>What to look for in the note</w:t>
            </w:r>
          </w:p>
        </w:tc>
        <w:tc>
          <w:tcPr>
            <w:tcW w:type="dxa" w:w="7200"/>
          </w:tcPr>
          <w:p>
            <w:r>
              <w:rPr>
                <w:sz w:val="19"/>
              </w:rPr>
              <w:t>Smoking history · spirometry (FEV1/FVC ratio) · bronchodilators (albuterol, tiotropium) · home O2 · acute exacerbations.</w:t>
            </w:r>
          </w:p>
        </w:tc>
      </w:tr>
      <w:tr>
        <w:tc>
          <w:tcPr>
            <w:tcW w:type="dxa" w:w="2016"/>
            <w:shd w:fill="E6F4F1"/>
          </w:tcPr>
          <w:p>
            <w:r>
              <w:rPr>
                <w:b/>
                <w:sz w:val="19"/>
              </w:rPr>
              <w:t>Coding pitfalls</w:t>
            </w:r>
          </w:p>
        </w:tc>
        <w:tc>
          <w:tcPr>
            <w:tcW w:type="dxa" w:w="7200"/>
          </w:tcPr>
          <w:p>
            <w:r>
              <w:rPr>
                <w:sz w:val="19"/>
              </w:rPr>
              <w:t>J44.9 (unspecified) is default — J44.0 (with acute lower respiratory infection) and J44.1 (with acute exacerbation) are HCCs. Always look for exacerbation documentation.</w:t>
            </w:r>
          </w:p>
        </w:tc>
      </w:tr>
      <w:tr>
        <w:tc>
          <w:tcPr>
            <w:tcW w:type="dxa" w:w="2016"/>
            <w:shd w:fill="E6F4F1"/>
          </w:tcPr>
          <w:p>
            <w:r>
              <w:rPr>
                <w:b/>
                <w:sz w:val="19"/>
              </w:rPr>
              <w:t>Common code family</w:t>
            </w:r>
          </w:p>
        </w:tc>
        <w:tc>
          <w:tcPr>
            <w:tcW w:type="dxa" w:w="7200"/>
          </w:tcPr>
          <w:p>
            <w:r>
              <w:rPr>
                <w:sz w:val="19"/>
              </w:rPr>
              <w:t>J44.0, J44.1, J44.9</w:t>
            </w:r>
          </w:p>
        </w:tc>
      </w:tr>
    </w:tbl>
    <w:p>
      <w:pPr>
        <w:spacing w:before="200" w:after="60"/>
      </w:pPr>
      <w:r>
        <w:rPr>
          <w:b/>
          <w:color w:val="0F6E6E"/>
          <w:sz w:val="24"/>
        </w:rPr>
        <w:t xml:space="preserve">J45.-  ·  </w:t>
      </w:r>
      <w:r>
        <w:rPr>
          <w:b/>
          <w:color w:val="0F172A"/>
          <w:sz w:val="24"/>
        </w:rPr>
        <w:t>Asthma</w:t>
      </w:r>
    </w:p>
    <w:tbl>
      <w:tblPr>
        <w:tblW w:type="auto" w:w="0"/>
        <w:tblLayout w:type="fixed"/>
        <w:tblLook w:firstColumn="1" w:firstRow="1" w:lastColumn="0" w:lastRow="0" w:noHBand="0" w:noVBand="1" w:val="04A0"/>
      </w:tblPr>
      <w:tblGrid>
        <w:gridCol w:w="5043"/>
        <w:gridCol w:w="5043"/>
      </w:tblGrid>
      <w:tr>
        <w:tc>
          <w:tcPr>
            <w:tcW w:type="dxa" w:w="2016"/>
            <w:shd w:fill="E6F4F1"/>
          </w:tcPr>
          <w:p>
            <w:r>
              <w:rPr>
                <w:b/>
                <w:sz w:val="19"/>
              </w:rPr>
              <w:t>System / anatomy</w:t>
            </w:r>
          </w:p>
        </w:tc>
        <w:tc>
          <w:tcPr>
            <w:tcW w:type="dxa" w:w="7200"/>
          </w:tcPr>
          <w:p>
            <w:r>
              <w:rPr>
                <w:sz w:val="19"/>
              </w:rPr>
              <w:t>Respiratory system · lungs · bronchi</w:t>
            </w:r>
          </w:p>
        </w:tc>
      </w:tr>
      <w:tr>
        <w:tc>
          <w:tcPr>
            <w:tcW w:type="dxa" w:w="2016"/>
            <w:shd w:fill="E6F4F1"/>
          </w:tcPr>
          <w:p>
            <w:r>
              <w:rPr>
                <w:b/>
                <w:sz w:val="19"/>
              </w:rPr>
              <w:t>Physiology (what's happening)</w:t>
            </w:r>
          </w:p>
        </w:tc>
        <w:tc>
          <w:tcPr>
            <w:tcW w:type="dxa" w:w="7200"/>
          </w:tcPr>
          <w:p>
            <w:r>
              <w:rPr>
                <w:sz w:val="19"/>
              </w:rPr>
              <w:t>Reversible airway inflammation and narrowing. Airways over-react to triggers (allergens, exercise, cold air) causing wheezing, cough, shortness of breath. Unlike COPD, asthma is usually reversible with bronchodilators.</w:t>
            </w:r>
          </w:p>
        </w:tc>
      </w:tr>
      <w:tr>
        <w:tc>
          <w:tcPr>
            <w:tcW w:type="dxa" w:w="2016"/>
            <w:shd w:fill="E6F4F1"/>
          </w:tcPr>
          <w:p>
            <w:r>
              <w:rPr>
                <w:b/>
                <w:sz w:val="19"/>
              </w:rPr>
              <w:t>What to look for in the note</w:t>
            </w:r>
          </w:p>
        </w:tc>
        <w:tc>
          <w:tcPr>
            <w:tcW w:type="dxa" w:w="7200"/>
          </w:tcPr>
          <w:p>
            <w:r>
              <w:rPr>
                <w:sz w:val="19"/>
              </w:rPr>
              <w:t>Trigger identification · rescue inhaler (albuterol) · controller (inhaled steroid) · exacerbation frequency.</w:t>
            </w:r>
          </w:p>
        </w:tc>
      </w:tr>
      <w:tr>
        <w:tc>
          <w:tcPr>
            <w:tcW w:type="dxa" w:w="2016"/>
            <w:shd w:fill="E6F4F1"/>
          </w:tcPr>
          <w:p>
            <w:r>
              <w:rPr>
                <w:b/>
                <w:sz w:val="19"/>
              </w:rPr>
              <w:t>Coding pitfalls</w:t>
            </w:r>
          </w:p>
        </w:tc>
        <w:tc>
          <w:tcPr>
            <w:tcW w:type="dxa" w:w="7200"/>
          </w:tcPr>
          <w:p>
            <w:r>
              <w:rPr>
                <w:sz w:val="19"/>
              </w:rPr>
              <w:t>Code by severity: intermittent (J45.20-22), mild persistent (J45.30-32), moderate persistent (J45.40-42), severe persistent (J45.50-52). Add '-1' for uncomplicated, '-2' with exacerbation, '-1' with status asthmaticus.</w:t>
            </w:r>
          </w:p>
        </w:tc>
      </w:tr>
      <w:tr>
        <w:tc>
          <w:tcPr>
            <w:tcW w:type="dxa" w:w="2016"/>
            <w:shd w:fill="E6F4F1"/>
          </w:tcPr>
          <w:p>
            <w:r>
              <w:rPr>
                <w:b/>
                <w:sz w:val="19"/>
              </w:rPr>
              <w:t>Common code family</w:t>
            </w:r>
          </w:p>
        </w:tc>
        <w:tc>
          <w:tcPr>
            <w:tcW w:type="dxa" w:w="7200"/>
          </w:tcPr>
          <w:p>
            <w:r>
              <w:rPr>
                <w:sz w:val="19"/>
              </w:rPr>
              <w:t>J45.20 – J45.998</w:t>
            </w:r>
          </w:p>
        </w:tc>
      </w:tr>
    </w:tbl>
    <w:p>
      <w:pPr>
        <w:spacing w:before="200" w:after="60"/>
      </w:pPr>
      <w:r>
        <w:rPr>
          <w:b/>
          <w:color w:val="0F6E6E"/>
          <w:sz w:val="24"/>
        </w:rPr>
        <w:t xml:space="preserve">F32.- / F33.-  ·  </w:t>
      </w:r>
      <w:r>
        <w:rPr>
          <w:b/>
          <w:color w:val="0F172A"/>
          <w:sz w:val="24"/>
        </w:rPr>
        <w:t>Major Depressive Disorder (MDD)</w:t>
      </w:r>
    </w:p>
    <w:tbl>
      <w:tblPr>
        <w:tblW w:type="auto" w:w="0"/>
        <w:tblLayout w:type="fixed"/>
        <w:tblLook w:firstColumn="1" w:firstRow="1" w:lastColumn="0" w:lastRow="0" w:noHBand="0" w:noVBand="1" w:val="04A0"/>
      </w:tblPr>
      <w:tblGrid>
        <w:gridCol w:w="5043"/>
        <w:gridCol w:w="5043"/>
      </w:tblGrid>
      <w:tr>
        <w:tc>
          <w:tcPr>
            <w:tcW w:type="dxa" w:w="2016"/>
            <w:shd w:fill="E6F4F1"/>
          </w:tcPr>
          <w:p>
            <w:r>
              <w:rPr>
                <w:b/>
                <w:sz w:val="19"/>
              </w:rPr>
              <w:t>System / anatomy</w:t>
            </w:r>
          </w:p>
        </w:tc>
        <w:tc>
          <w:tcPr>
            <w:tcW w:type="dxa" w:w="7200"/>
          </w:tcPr>
          <w:p>
            <w:r>
              <w:rPr>
                <w:sz w:val="19"/>
              </w:rPr>
              <w:t>Nervous system · brain (mood centers)</w:t>
            </w:r>
          </w:p>
        </w:tc>
      </w:tr>
      <w:tr>
        <w:tc>
          <w:tcPr>
            <w:tcW w:type="dxa" w:w="2016"/>
            <w:shd w:fill="E6F4F1"/>
          </w:tcPr>
          <w:p>
            <w:r>
              <w:rPr>
                <w:b/>
                <w:sz w:val="19"/>
              </w:rPr>
              <w:t>Physiology (what's happening)</w:t>
            </w:r>
          </w:p>
        </w:tc>
        <w:tc>
          <w:tcPr>
            <w:tcW w:type="dxa" w:w="7200"/>
          </w:tcPr>
          <w:p>
            <w:r>
              <w:rPr>
                <w:sz w:val="19"/>
              </w:rPr>
              <w:t>Depressed mood with loss of interest, plus symptoms like sleep changes, appetite changes, fatigue, guilt, poor concentration. F32 = single episode, F33 = recurrent (2+ episodes with remission in between).</w:t>
            </w:r>
          </w:p>
        </w:tc>
      </w:tr>
      <w:tr>
        <w:tc>
          <w:tcPr>
            <w:tcW w:type="dxa" w:w="2016"/>
            <w:shd w:fill="E6F4F1"/>
          </w:tcPr>
          <w:p>
            <w:r>
              <w:rPr>
                <w:b/>
                <w:sz w:val="19"/>
              </w:rPr>
              <w:t>What to look for in the note</w:t>
            </w:r>
          </w:p>
        </w:tc>
        <w:tc>
          <w:tcPr>
            <w:tcW w:type="dxa" w:w="7200"/>
          </w:tcPr>
          <w:p>
            <w:r>
              <w:rPr>
                <w:sz w:val="19"/>
              </w:rPr>
              <w:t>PHQ-9 score · duration of symptoms · treatment (antidepressants, therapy) · single vs recurrent.</w:t>
            </w:r>
          </w:p>
        </w:tc>
      </w:tr>
      <w:tr>
        <w:tc>
          <w:tcPr>
            <w:tcW w:type="dxa" w:w="2016"/>
            <w:shd w:fill="E6F4F1"/>
          </w:tcPr>
          <w:p>
            <w:r>
              <w:rPr>
                <w:b/>
                <w:sz w:val="19"/>
              </w:rPr>
              <w:t>Coding pitfalls</w:t>
            </w:r>
          </w:p>
        </w:tc>
        <w:tc>
          <w:tcPr>
            <w:tcW w:type="dxa" w:w="7200"/>
          </w:tcPr>
          <w:p>
            <w:r>
              <w:rPr>
                <w:sz w:val="19"/>
              </w:rPr>
              <w:t>F32.9 / F33.9 (unspecified) are red flags. Should specify severity: mild (F32.0/F33.0), moderate (F32.1/F33.1), severe without psychotic (F32.2/F33.2), severe with psychotic (F32.3/F33.3), in remission (F32.4/F33.4).</w:t>
            </w:r>
          </w:p>
        </w:tc>
      </w:tr>
      <w:tr>
        <w:tc>
          <w:tcPr>
            <w:tcW w:type="dxa" w:w="2016"/>
            <w:shd w:fill="E6F4F1"/>
          </w:tcPr>
          <w:p>
            <w:r>
              <w:rPr>
                <w:b/>
                <w:sz w:val="19"/>
              </w:rPr>
              <w:t>Common code family</w:t>
            </w:r>
          </w:p>
        </w:tc>
        <w:tc>
          <w:tcPr>
            <w:tcW w:type="dxa" w:w="7200"/>
          </w:tcPr>
          <w:p>
            <w:r>
              <w:rPr>
                <w:sz w:val="19"/>
              </w:rPr>
              <w:t>F32.0 – F32.9 · F33.0 – F33.9</w:t>
            </w:r>
          </w:p>
        </w:tc>
      </w:tr>
    </w:tbl>
    <w:p>
      <w:pPr>
        <w:spacing w:before="200" w:after="60"/>
      </w:pPr>
      <w:r>
        <w:rPr>
          <w:b/>
          <w:color w:val="0F6E6E"/>
          <w:sz w:val="24"/>
        </w:rPr>
        <w:t xml:space="preserve">F41.-  ·  </w:t>
      </w:r>
      <w:r>
        <w:rPr>
          <w:b/>
          <w:color w:val="0F172A"/>
          <w:sz w:val="24"/>
        </w:rPr>
        <w:t>Anxiety Disorders</w:t>
      </w:r>
    </w:p>
    <w:tbl>
      <w:tblPr>
        <w:tblW w:type="auto" w:w="0"/>
        <w:tblLayout w:type="fixed"/>
        <w:tblLook w:firstColumn="1" w:firstRow="1" w:lastColumn="0" w:lastRow="0" w:noHBand="0" w:noVBand="1" w:val="04A0"/>
      </w:tblPr>
      <w:tblGrid>
        <w:gridCol w:w="5043"/>
        <w:gridCol w:w="5043"/>
      </w:tblGrid>
      <w:tr>
        <w:tc>
          <w:tcPr>
            <w:tcW w:type="dxa" w:w="2016"/>
            <w:shd w:fill="E6F4F1"/>
          </w:tcPr>
          <w:p>
            <w:r>
              <w:rPr>
                <w:b/>
                <w:sz w:val="19"/>
              </w:rPr>
              <w:t>System / anatomy</w:t>
            </w:r>
          </w:p>
        </w:tc>
        <w:tc>
          <w:tcPr>
            <w:tcW w:type="dxa" w:w="7200"/>
          </w:tcPr>
          <w:p>
            <w:r>
              <w:rPr>
                <w:sz w:val="19"/>
              </w:rPr>
              <w:t>Nervous system · brain (limbic system)</w:t>
            </w:r>
          </w:p>
        </w:tc>
      </w:tr>
      <w:tr>
        <w:tc>
          <w:tcPr>
            <w:tcW w:type="dxa" w:w="2016"/>
            <w:shd w:fill="E6F4F1"/>
          </w:tcPr>
          <w:p>
            <w:r>
              <w:rPr>
                <w:b/>
                <w:sz w:val="19"/>
              </w:rPr>
              <w:t>Physiology (what's happening)</w:t>
            </w:r>
          </w:p>
        </w:tc>
        <w:tc>
          <w:tcPr>
            <w:tcW w:type="dxa" w:w="7200"/>
          </w:tcPr>
          <w:p>
            <w:r>
              <w:rPr>
                <w:sz w:val="19"/>
              </w:rPr>
              <w:t>Excessive worry or fear disproportionate to actual threat, often with physical symptoms (rapid heart rate, sweating, muscle tension). Can be generalized (GAD), panic-based (panic disorder), or specific.</w:t>
            </w:r>
          </w:p>
        </w:tc>
      </w:tr>
      <w:tr>
        <w:tc>
          <w:tcPr>
            <w:tcW w:type="dxa" w:w="2016"/>
            <w:shd w:fill="E6F4F1"/>
          </w:tcPr>
          <w:p>
            <w:r>
              <w:rPr>
                <w:b/>
                <w:sz w:val="19"/>
              </w:rPr>
              <w:t>What to look for in the note</w:t>
            </w:r>
          </w:p>
        </w:tc>
        <w:tc>
          <w:tcPr>
            <w:tcW w:type="dxa" w:w="7200"/>
          </w:tcPr>
          <w:p>
            <w:r>
              <w:rPr>
                <w:sz w:val="19"/>
              </w:rPr>
              <w:t>GAD-7 score · duration of symptoms · triggers · treatment (SSRIs, therapy, benzos).</w:t>
            </w:r>
          </w:p>
        </w:tc>
      </w:tr>
      <w:tr>
        <w:tc>
          <w:tcPr>
            <w:tcW w:type="dxa" w:w="2016"/>
            <w:shd w:fill="E6F4F1"/>
          </w:tcPr>
          <w:p>
            <w:r>
              <w:rPr>
                <w:b/>
                <w:sz w:val="19"/>
              </w:rPr>
              <w:t>Coding pitfalls</w:t>
            </w:r>
          </w:p>
        </w:tc>
        <w:tc>
          <w:tcPr>
            <w:tcW w:type="dxa" w:w="7200"/>
          </w:tcPr>
          <w:p>
            <w:r>
              <w:rPr>
                <w:sz w:val="19"/>
              </w:rPr>
              <w:t>F41.9 (unspecified) is a red flag. F41.1 = Generalized Anxiety Disorder (most common). F41.0 = Panic Disorder without agoraphobia. F41.3 = Mixed anxiety and depressive disorder.</w:t>
            </w:r>
          </w:p>
        </w:tc>
      </w:tr>
      <w:tr>
        <w:tc>
          <w:tcPr>
            <w:tcW w:type="dxa" w:w="2016"/>
            <w:shd w:fill="E6F4F1"/>
          </w:tcPr>
          <w:p>
            <w:r>
              <w:rPr>
                <w:b/>
                <w:sz w:val="19"/>
              </w:rPr>
              <w:t>Common code family</w:t>
            </w:r>
          </w:p>
        </w:tc>
        <w:tc>
          <w:tcPr>
            <w:tcW w:type="dxa" w:w="7200"/>
          </w:tcPr>
          <w:p>
            <w:r>
              <w:rPr>
                <w:sz w:val="19"/>
              </w:rPr>
              <w:t>F41.0 – F41.9</w:t>
            </w:r>
          </w:p>
        </w:tc>
      </w:tr>
    </w:tbl>
    <w:p>
      <w:pPr>
        <w:spacing w:before="200" w:after="60"/>
      </w:pPr>
      <w:r>
        <w:rPr>
          <w:b/>
          <w:color w:val="0F6E6E"/>
          <w:sz w:val="24"/>
        </w:rPr>
        <w:t xml:space="preserve">E03.9  ·  </w:t>
      </w:r>
      <w:r>
        <w:rPr>
          <w:b/>
          <w:color w:val="0F172A"/>
          <w:sz w:val="24"/>
        </w:rPr>
        <w:t>Hypothyroidism, Unspecified</w:t>
      </w:r>
    </w:p>
    <w:tbl>
      <w:tblPr>
        <w:tblW w:type="auto" w:w="0"/>
        <w:tblLayout w:type="fixed"/>
        <w:tblLook w:firstColumn="1" w:firstRow="1" w:lastColumn="0" w:lastRow="0" w:noHBand="0" w:noVBand="1" w:val="04A0"/>
      </w:tblPr>
      <w:tblGrid>
        <w:gridCol w:w="5043"/>
        <w:gridCol w:w="5043"/>
      </w:tblGrid>
      <w:tr>
        <w:tc>
          <w:tcPr>
            <w:tcW w:type="dxa" w:w="2016"/>
            <w:shd w:fill="E6F4F1"/>
          </w:tcPr>
          <w:p>
            <w:r>
              <w:rPr>
                <w:b/>
                <w:sz w:val="19"/>
              </w:rPr>
              <w:t>System / anatomy</w:t>
            </w:r>
          </w:p>
        </w:tc>
        <w:tc>
          <w:tcPr>
            <w:tcW w:type="dxa" w:w="7200"/>
          </w:tcPr>
          <w:p>
            <w:r>
              <w:rPr>
                <w:sz w:val="19"/>
              </w:rPr>
              <w:t>Endocrine system · thyroid gland</w:t>
            </w:r>
          </w:p>
        </w:tc>
      </w:tr>
      <w:tr>
        <w:tc>
          <w:tcPr>
            <w:tcW w:type="dxa" w:w="2016"/>
            <w:shd w:fill="E6F4F1"/>
          </w:tcPr>
          <w:p>
            <w:r>
              <w:rPr>
                <w:b/>
                <w:sz w:val="19"/>
              </w:rPr>
              <w:t>Physiology (what's happening)</w:t>
            </w:r>
          </w:p>
        </w:tc>
        <w:tc>
          <w:tcPr>
            <w:tcW w:type="dxa" w:w="7200"/>
          </w:tcPr>
          <w:p>
            <w:r>
              <w:rPr>
                <w:sz w:val="19"/>
              </w:rPr>
              <w:t>Thyroid gland doesn't make enough thyroid hormone. Slows metabolism → fatigue, weight gain, cold intolerance, constipation, dry skin. Common in women, autoimmune (Hashimoto's) is #1 cause.</w:t>
            </w:r>
          </w:p>
        </w:tc>
      </w:tr>
      <w:tr>
        <w:tc>
          <w:tcPr>
            <w:tcW w:type="dxa" w:w="2016"/>
            <w:shd w:fill="E6F4F1"/>
          </w:tcPr>
          <w:p>
            <w:r>
              <w:rPr>
                <w:b/>
                <w:sz w:val="19"/>
              </w:rPr>
              <w:t>What to look for in the note</w:t>
            </w:r>
          </w:p>
        </w:tc>
        <w:tc>
          <w:tcPr>
            <w:tcW w:type="dxa" w:w="7200"/>
          </w:tcPr>
          <w:p>
            <w:r>
              <w:rPr>
                <w:sz w:val="19"/>
              </w:rPr>
              <w:t>TSH (elevated in hypothyroid) · T4 · levothyroxine dose.</w:t>
            </w:r>
          </w:p>
        </w:tc>
      </w:tr>
      <w:tr>
        <w:tc>
          <w:tcPr>
            <w:tcW w:type="dxa" w:w="2016"/>
            <w:shd w:fill="E6F4F1"/>
          </w:tcPr>
          <w:p>
            <w:r>
              <w:rPr>
                <w:b/>
                <w:sz w:val="19"/>
              </w:rPr>
              <w:t>Coding pitfalls</w:t>
            </w:r>
          </w:p>
        </w:tc>
        <w:tc>
          <w:tcPr>
            <w:tcW w:type="dxa" w:w="7200"/>
          </w:tcPr>
          <w:p>
            <w:r>
              <w:rPr>
                <w:sz w:val="19"/>
              </w:rPr>
              <w:t>If Hashimoto's is documented, use E06.3 (autoimmune thyroiditis). E03.9 is a fallback — always look for a more specific cause in the note.</w:t>
            </w:r>
          </w:p>
        </w:tc>
      </w:tr>
      <w:tr>
        <w:tc>
          <w:tcPr>
            <w:tcW w:type="dxa" w:w="2016"/>
            <w:shd w:fill="E6F4F1"/>
          </w:tcPr>
          <w:p>
            <w:r>
              <w:rPr>
                <w:b/>
                <w:sz w:val="19"/>
              </w:rPr>
              <w:t>Common code family</w:t>
            </w:r>
          </w:p>
        </w:tc>
        <w:tc>
          <w:tcPr>
            <w:tcW w:type="dxa" w:w="7200"/>
          </w:tcPr>
          <w:p>
            <w:r>
              <w:rPr>
                <w:sz w:val="19"/>
              </w:rPr>
              <w:t>E03.- (hypothyroidism) · E06.- (thyroiditis) · E05.- (hyperthyroidism)</w:t>
            </w:r>
          </w:p>
        </w:tc>
      </w:tr>
    </w:tbl>
    <w:p>
      <w:pPr>
        <w:spacing w:before="200" w:after="60"/>
      </w:pPr>
      <w:r>
        <w:rPr>
          <w:b/>
          <w:color w:val="0F6E6E"/>
          <w:sz w:val="24"/>
        </w:rPr>
        <w:t xml:space="preserve">I50.-  ·  </w:t>
      </w:r>
      <w:r>
        <w:rPr>
          <w:b/>
          <w:color w:val="0F172A"/>
          <w:sz w:val="24"/>
        </w:rPr>
        <w:t>Heart Failure (HF)</w:t>
      </w:r>
    </w:p>
    <w:tbl>
      <w:tblPr>
        <w:tblW w:type="auto" w:w="0"/>
        <w:tblLayout w:type="fixed"/>
        <w:tblLook w:firstColumn="1" w:firstRow="1" w:lastColumn="0" w:lastRow="0" w:noHBand="0" w:noVBand="1" w:val="04A0"/>
      </w:tblPr>
      <w:tblGrid>
        <w:gridCol w:w="5043"/>
        <w:gridCol w:w="5043"/>
      </w:tblGrid>
      <w:tr>
        <w:tc>
          <w:tcPr>
            <w:tcW w:type="dxa" w:w="2016"/>
            <w:shd w:fill="E6F4F1"/>
          </w:tcPr>
          <w:p>
            <w:r>
              <w:rPr>
                <w:b/>
                <w:sz w:val="19"/>
              </w:rPr>
              <w:t>System / anatomy</w:t>
            </w:r>
          </w:p>
        </w:tc>
        <w:tc>
          <w:tcPr>
            <w:tcW w:type="dxa" w:w="7200"/>
          </w:tcPr>
          <w:p>
            <w:r>
              <w:rPr>
                <w:sz w:val="19"/>
              </w:rPr>
              <w:t>Cardiovascular system · heart muscle</w:t>
            </w:r>
          </w:p>
        </w:tc>
      </w:tr>
      <w:tr>
        <w:tc>
          <w:tcPr>
            <w:tcW w:type="dxa" w:w="2016"/>
            <w:shd w:fill="E6F4F1"/>
          </w:tcPr>
          <w:p>
            <w:r>
              <w:rPr>
                <w:b/>
                <w:sz w:val="19"/>
              </w:rPr>
              <w:t>Physiology (what's happening)</w:t>
            </w:r>
          </w:p>
        </w:tc>
        <w:tc>
          <w:tcPr>
            <w:tcW w:type="dxa" w:w="7200"/>
          </w:tcPr>
          <w:p>
            <w:r>
              <w:rPr>
                <w:sz w:val="19"/>
              </w:rPr>
              <w:t>Heart can't pump enough blood to meet body's needs. Two types by ejection fraction: HFrEF (reduced EF, &lt;40%, weak squeeze) and HFpEF (preserved EF, ≥50%, stiff heart). Causes shortness of breath, edema, fatigue.</w:t>
            </w:r>
          </w:p>
        </w:tc>
      </w:tr>
      <w:tr>
        <w:tc>
          <w:tcPr>
            <w:tcW w:type="dxa" w:w="2016"/>
            <w:shd w:fill="E6F4F1"/>
          </w:tcPr>
          <w:p>
            <w:r>
              <w:rPr>
                <w:b/>
                <w:sz w:val="19"/>
              </w:rPr>
              <w:t>What to look for in the note</w:t>
            </w:r>
          </w:p>
        </w:tc>
        <w:tc>
          <w:tcPr>
            <w:tcW w:type="dxa" w:w="7200"/>
          </w:tcPr>
          <w:p>
            <w:r>
              <w:rPr>
                <w:sz w:val="19"/>
              </w:rPr>
              <w:t>Ejection fraction (EF) from echo · BNP or NT-proBNP · diuretics (furosemide, spironolactone) · ACE inhibitor/ARB/ARNI.</w:t>
            </w:r>
          </w:p>
        </w:tc>
      </w:tr>
      <w:tr>
        <w:tc>
          <w:tcPr>
            <w:tcW w:type="dxa" w:w="2016"/>
            <w:shd w:fill="E6F4F1"/>
          </w:tcPr>
          <w:p>
            <w:r>
              <w:rPr>
                <w:b/>
                <w:sz w:val="19"/>
              </w:rPr>
              <w:t>Coding pitfalls</w:t>
            </w:r>
          </w:p>
        </w:tc>
        <w:tc>
          <w:tcPr>
            <w:tcW w:type="dxa" w:w="7200"/>
          </w:tcPr>
          <w:p>
            <w:r>
              <w:rPr>
                <w:sz w:val="19"/>
              </w:rPr>
              <w:t>I50.9 (unspecified) misses HCC opportunity. I50.22 (chronic systolic), I50.32 (chronic diastolic), I50.42 (chronic combined) are HCCs. Acute exacerbation adds severity (I50.21, .31, .41).</w:t>
            </w:r>
          </w:p>
        </w:tc>
      </w:tr>
      <w:tr>
        <w:tc>
          <w:tcPr>
            <w:tcW w:type="dxa" w:w="2016"/>
            <w:shd w:fill="E6F4F1"/>
          </w:tcPr>
          <w:p>
            <w:r>
              <w:rPr>
                <w:b/>
                <w:sz w:val="19"/>
              </w:rPr>
              <w:t>Common code family</w:t>
            </w:r>
          </w:p>
        </w:tc>
        <w:tc>
          <w:tcPr>
            <w:tcW w:type="dxa" w:w="7200"/>
          </w:tcPr>
          <w:p>
            <w:r>
              <w:rPr>
                <w:sz w:val="19"/>
              </w:rPr>
              <w:t>I50.1 – I50.9 · with acuity subcodes</w:t>
            </w:r>
          </w:p>
        </w:tc>
      </w:tr>
    </w:tbl>
    <w:p>
      <w:pPr>
        <w:spacing w:before="200" w:after="60"/>
      </w:pPr>
      <w:r>
        <w:rPr>
          <w:b/>
          <w:color w:val="0F6E6E"/>
          <w:sz w:val="24"/>
        </w:rPr>
        <w:t xml:space="preserve">I25.10  ·  </w:t>
      </w:r>
      <w:r>
        <w:rPr>
          <w:b/>
          <w:color w:val="0F172A"/>
          <w:sz w:val="24"/>
        </w:rPr>
        <w:t>Atherosclerotic Heart Disease (CAD)</w:t>
      </w:r>
    </w:p>
    <w:tbl>
      <w:tblPr>
        <w:tblW w:type="auto" w:w="0"/>
        <w:tblLayout w:type="fixed"/>
        <w:tblLook w:firstColumn="1" w:firstRow="1" w:lastColumn="0" w:lastRow="0" w:noHBand="0" w:noVBand="1" w:val="04A0"/>
      </w:tblPr>
      <w:tblGrid>
        <w:gridCol w:w="5043"/>
        <w:gridCol w:w="5043"/>
      </w:tblGrid>
      <w:tr>
        <w:tc>
          <w:tcPr>
            <w:tcW w:type="dxa" w:w="2016"/>
            <w:shd w:fill="E6F4F1"/>
          </w:tcPr>
          <w:p>
            <w:r>
              <w:rPr>
                <w:b/>
                <w:sz w:val="19"/>
              </w:rPr>
              <w:t>System / anatomy</w:t>
            </w:r>
          </w:p>
        </w:tc>
        <w:tc>
          <w:tcPr>
            <w:tcW w:type="dxa" w:w="7200"/>
          </w:tcPr>
          <w:p>
            <w:r>
              <w:rPr>
                <w:sz w:val="19"/>
              </w:rPr>
              <w:t>Cardiovascular system · coronary arteries</w:t>
            </w:r>
          </w:p>
        </w:tc>
      </w:tr>
      <w:tr>
        <w:tc>
          <w:tcPr>
            <w:tcW w:type="dxa" w:w="2016"/>
            <w:shd w:fill="E6F4F1"/>
          </w:tcPr>
          <w:p>
            <w:r>
              <w:rPr>
                <w:b/>
                <w:sz w:val="19"/>
              </w:rPr>
              <w:t>Physiology (what's happening)</w:t>
            </w:r>
          </w:p>
        </w:tc>
        <w:tc>
          <w:tcPr>
            <w:tcW w:type="dxa" w:w="7200"/>
          </w:tcPr>
          <w:p>
            <w:r>
              <w:rPr>
                <w:sz w:val="19"/>
              </w:rPr>
              <w:t>Plaque buildup in the arteries that supply blood to the heart muscle. Narrows the arteries, reduces blood flow, can cause chest pain (angina) and heart attacks (MI).</w:t>
            </w:r>
          </w:p>
        </w:tc>
      </w:tr>
      <w:tr>
        <w:tc>
          <w:tcPr>
            <w:tcW w:type="dxa" w:w="2016"/>
            <w:shd w:fill="E6F4F1"/>
          </w:tcPr>
          <w:p>
            <w:r>
              <w:rPr>
                <w:b/>
                <w:sz w:val="19"/>
              </w:rPr>
              <w:t>What to look for in the note</w:t>
            </w:r>
          </w:p>
        </w:tc>
        <w:tc>
          <w:tcPr>
            <w:tcW w:type="dxa" w:w="7200"/>
          </w:tcPr>
          <w:p>
            <w:r>
              <w:rPr>
                <w:sz w:val="19"/>
              </w:rPr>
              <w:t>Cath results · stents (PCI) · CABG · antiplatelet (aspirin, clopidogrel) · statin · nitroglycerin.</w:t>
            </w:r>
          </w:p>
        </w:tc>
      </w:tr>
      <w:tr>
        <w:tc>
          <w:tcPr>
            <w:tcW w:type="dxa" w:w="2016"/>
            <w:shd w:fill="E6F4F1"/>
          </w:tcPr>
          <w:p>
            <w:r>
              <w:rPr>
                <w:b/>
                <w:sz w:val="19"/>
              </w:rPr>
              <w:t>Coding pitfalls</w:t>
            </w:r>
          </w:p>
        </w:tc>
        <w:tc>
          <w:tcPr>
            <w:tcW w:type="dxa" w:w="7200"/>
          </w:tcPr>
          <w:p>
            <w:r>
              <w:rPr>
                <w:sz w:val="19"/>
              </w:rPr>
              <w:t>I25.10 = without angina pectoris. If angina is documented, code I25.11- (with angina) instead. Post-MI patients need I25.2 (old MI) + I25.10.</w:t>
            </w:r>
          </w:p>
        </w:tc>
      </w:tr>
      <w:tr>
        <w:tc>
          <w:tcPr>
            <w:tcW w:type="dxa" w:w="2016"/>
            <w:shd w:fill="E6F4F1"/>
          </w:tcPr>
          <w:p>
            <w:r>
              <w:rPr>
                <w:b/>
                <w:sz w:val="19"/>
              </w:rPr>
              <w:t>Common code family</w:t>
            </w:r>
          </w:p>
        </w:tc>
        <w:tc>
          <w:tcPr>
            <w:tcW w:type="dxa" w:w="7200"/>
          </w:tcPr>
          <w:p>
            <w:r>
              <w:rPr>
                <w:sz w:val="19"/>
              </w:rPr>
              <w:t>I25.10 · I25.11- · I25.2 · I25.700 – I25.799</w:t>
            </w:r>
          </w:p>
        </w:tc>
      </w:tr>
    </w:tbl>
    <w:p>
      <w:pPr>
        <w:spacing w:before="200" w:after="60"/>
      </w:pPr>
      <w:r>
        <w:rPr>
          <w:b/>
          <w:color w:val="0F6E6E"/>
          <w:sz w:val="24"/>
        </w:rPr>
        <w:t xml:space="preserve">K21.9  ·  </w:t>
      </w:r>
      <w:r>
        <w:rPr>
          <w:b/>
          <w:color w:val="0F172A"/>
          <w:sz w:val="24"/>
        </w:rPr>
        <w:t>GERD (Gastroesophageal Reflux Disease)</w:t>
      </w:r>
    </w:p>
    <w:tbl>
      <w:tblPr>
        <w:tblW w:type="auto" w:w="0"/>
        <w:tblLayout w:type="fixed"/>
        <w:tblLook w:firstColumn="1" w:firstRow="1" w:lastColumn="0" w:lastRow="0" w:noHBand="0" w:noVBand="1" w:val="04A0"/>
      </w:tblPr>
      <w:tblGrid>
        <w:gridCol w:w="5043"/>
        <w:gridCol w:w="5043"/>
      </w:tblGrid>
      <w:tr>
        <w:tc>
          <w:tcPr>
            <w:tcW w:type="dxa" w:w="2016"/>
            <w:shd w:fill="E6F4F1"/>
          </w:tcPr>
          <w:p>
            <w:r>
              <w:rPr>
                <w:b/>
                <w:sz w:val="19"/>
              </w:rPr>
              <w:t>System / anatomy</w:t>
            </w:r>
          </w:p>
        </w:tc>
        <w:tc>
          <w:tcPr>
            <w:tcW w:type="dxa" w:w="7200"/>
          </w:tcPr>
          <w:p>
            <w:r>
              <w:rPr>
                <w:sz w:val="19"/>
              </w:rPr>
              <w:t>Digestive system · esophagus · lower esophageal sphincter</w:t>
            </w:r>
          </w:p>
        </w:tc>
      </w:tr>
      <w:tr>
        <w:tc>
          <w:tcPr>
            <w:tcW w:type="dxa" w:w="2016"/>
            <w:shd w:fill="E6F4F1"/>
          </w:tcPr>
          <w:p>
            <w:r>
              <w:rPr>
                <w:b/>
                <w:sz w:val="19"/>
              </w:rPr>
              <w:t>Physiology (what's happening)</w:t>
            </w:r>
          </w:p>
        </w:tc>
        <w:tc>
          <w:tcPr>
            <w:tcW w:type="dxa" w:w="7200"/>
          </w:tcPr>
          <w:p>
            <w:r>
              <w:rPr>
                <w:sz w:val="19"/>
              </w:rPr>
              <w:t>Stomach acid flows backward into the esophagus because the lower esophageal sphincter doesn't close properly. Causes heartburn, regurgitation, chronic cough, and over time can damage the esophageal lining (Barrett's).</w:t>
            </w:r>
          </w:p>
        </w:tc>
      </w:tr>
      <w:tr>
        <w:tc>
          <w:tcPr>
            <w:tcW w:type="dxa" w:w="2016"/>
            <w:shd w:fill="E6F4F1"/>
          </w:tcPr>
          <w:p>
            <w:r>
              <w:rPr>
                <w:b/>
                <w:sz w:val="19"/>
              </w:rPr>
              <w:t>What to look for in the note</w:t>
            </w:r>
          </w:p>
        </w:tc>
        <w:tc>
          <w:tcPr>
            <w:tcW w:type="dxa" w:w="7200"/>
          </w:tcPr>
          <w:p>
            <w:r>
              <w:rPr>
                <w:sz w:val="19"/>
              </w:rPr>
              <w:t>Symptoms (heartburn, regurgitation) · PPI (omeprazole, pantoprazole) · endoscopy findings.</w:t>
            </w:r>
          </w:p>
        </w:tc>
      </w:tr>
      <w:tr>
        <w:tc>
          <w:tcPr>
            <w:tcW w:type="dxa" w:w="2016"/>
            <w:shd w:fill="E6F4F1"/>
          </w:tcPr>
          <w:p>
            <w:r>
              <w:rPr>
                <w:b/>
                <w:sz w:val="19"/>
              </w:rPr>
              <w:t>Coding pitfalls</w:t>
            </w:r>
          </w:p>
        </w:tc>
        <w:tc>
          <w:tcPr>
            <w:tcW w:type="dxa" w:w="7200"/>
          </w:tcPr>
          <w:p>
            <w:r>
              <w:rPr>
                <w:sz w:val="19"/>
              </w:rPr>
              <w:t>K21.9 (without esophagitis) is default. If esophagitis is documented, use K21.0 instead. If Barrett's is documented, add K22.7-.</w:t>
            </w:r>
          </w:p>
        </w:tc>
      </w:tr>
      <w:tr>
        <w:tc>
          <w:tcPr>
            <w:tcW w:type="dxa" w:w="2016"/>
            <w:shd w:fill="E6F4F1"/>
          </w:tcPr>
          <w:p>
            <w:r>
              <w:rPr>
                <w:b/>
                <w:sz w:val="19"/>
              </w:rPr>
              <w:t>Common code family</w:t>
            </w:r>
          </w:p>
        </w:tc>
        <w:tc>
          <w:tcPr>
            <w:tcW w:type="dxa" w:w="7200"/>
          </w:tcPr>
          <w:p>
            <w:r>
              <w:rPr>
                <w:sz w:val="19"/>
              </w:rPr>
              <w:t>K21.0 · K21.9 · K22.7-</w:t>
            </w:r>
          </w:p>
        </w:tc>
      </w:tr>
    </w:tbl>
    <w:p>
      <w:pPr>
        <w:spacing w:before="200" w:after="60"/>
      </w:pPr>
      <w:r>
        <w:rPr>
          <w:b/>
          <w:color w:val="0F6E6E"/>
          <w:sz w:val="24"/>
        </w:rPr>
        <w:t xml:space="preserve">M15 - M19  ·  </w:t>
      </w:r>
      <w:r>
        <w:rPr>
          <w:b/>
          <w:color w:val="0F172A"/>
          <w:sz w:val="24"/>
        </w:rPr>
        <w:t>Osteoarthritis (OA)</w:t>
      </w:r>
    </w:p>
    <w:tbl>
      <w:tblPr>
        <w:tblW w:type="auto" w:w="0"/>
        <w:tblLayout w:type="fixed"/>
        <w:tblLook w:firstColumn="1" w:firstRow="1" w:lastColumn="0" w:lastRow="0" w:noHBand="0" w:noVBand="1" w:val="04A0"/>
      </w:tblPr>
      <w:tblGrid>
        <w:gridCol w:w="5043"/>
        <w:gridCol w:w="5043"/>
      </w:tblGrid>
      <w:tr>
        <w:tc>
          <w:tcPr>
            <w:tcW w:type="dxa" w:w="2016"/>
            <w:shd w:fill="E6F4F1"/>
          </w:tcPr>
          <w:p>
            <w:r>
              <w:rPr>
                <w:b/>
                <w:sz w:val="19"/>
              </w:rPr>
              <w:t>System / anatomy</w:t>
            </w:r>
          </w:p>
        </w:tc>
        <w:tc>
          <w:tcPr>
            <w:tcW w:type="dxa" w:w="7200"/>
          </w:tcPr>
          <w:p>
            <w:r>
              <w:rPr>
                <w:sz w:val="19"/>
              </w:rPr>
              <w:t>Musculoskeletal system · joint cartilage</w:t>
            </w:r>
          </w:p>
        </w:tc>
      </w:tr>
      <w:tr>
        <w:tc>
          <w:tcPr>
            <w:tcW w:type="dxa" w:w="2016"/>
            <w:shd w:fill="E6F4F1"/>
          </w:tcPr>
          <w:p>
            <w:r>
              <w:rPr>
                <w:b/>
                <w:sz w:val="19"/>
              </w:rPr>
              <w:t>Physiology (what's happening)</w:t>
            </w:r>
          </w:p>
        </w:tc>
        <w:tc>
          <w:tcPr>
            <w:tcW w:type="dxa" w:w="7200"/>
          </w:tcPr>
          <w:p>
            <w:r>
              <w:rPr>
                <w:sz w:val="19"/>
              </w:rPr>
              <w:t>Wear-and-tear degeneration of joint cartilage. Cartilage thins, bone rubs on bone, causing pain, stiffness, reduced range of motion. Most common in weight-bearing joints (knees, hips, spine) and hands.</w:t>
            </w:r>
          </w:p>
        </w:tc>
      </w:tr>
      <w:tr>
        <w:tc>
          <w:tcPr>
            <w:tcW w:type="dxa" w:w="2016"/>
            <w:shd w:fill="E6F4F1"/>
          </w:tcPr>
          <w:p>
            <w:r>
              <w:rPr>
                <w:b/>
                <w:sz w:val="19"/>
              </w:rPr>
              <w:t>What to look for in the note</w:t>
            </w:r>
          </w:p>
        </w:tc>
        <w:tc>
          <w:tcPr>
            <w:tcW w:type="dxa" w:w="7200"/>
          </w:tcPr>
          <w:p>
            <w:r>
              <w:rPr>
                <w:sz w:val="19"/>
              </w:rPr>
              <w:t>Joint involved · laterality (right/left/bilateral) · imaging (x-ray) · pain meds (NSAIDs, acetaminophen).</w:t>
            </w:r>
          </w:p>
        </w:tc>
      </w:tr>
      <w:tr>
        <w:tc>
          <w:tcPr>
            <w:tcW w:type="dxa" w:w="2016"/>
            <w:shd w:fill="E6F4F1"/>
          </w:tcPr>
          <w:p>
            <w:r>
              <w:rPr>
                <w:b/>
                <w:sz w:val="19"/>
              </w:rPr>
              <w:t>Coding pitfalls</w:t>
            </w:r>
          </w:p>
        </w:tc>
        <w:tc>
          <w:tcPr>
            <w:tcW w:type="dxa" w:w="7200"/>
          </w:tcPr>
          <w:p>
            <w:r>
              <w:rPr>
                <w:sz w:val="19"/>
              </w:rPr>
              <w:t>Common under-specified area. Distinguish M15 (polyosteoarthritis), M16 (hip), M17 (knee), M18 (first CMC/thumb), M19 (other). Add laterality: -1 right, -2 left, -0 unspecified.</w:t>
            </w:r>
          </w:p>
        </w:tc>
      </w:tr>
      <w:tr>
        <w:tc>
          <w:tcPr>
            <w:tcW w:type="dxa" w:w="2016"/>
            <w:shd w:fill="E6F4F1"/>
          </w:tcPr>
          <w:p>
            <w:r>
              <w:rPr>
                <w:b/>
                <w:sz w:val="19"/>
              </w:rPr>
              <w:t>Common code family</w:t>
            </w:r>
          </w:p>
        </w:tc>
        <w:tc>
          <w:tcPr>
            <w:tcW w:type="dxa" w:w="7200"/>
          </w:tcPr>
          <w:p>
            <w:r>
              <w:rPr>
                <w:sz w:val="19"/>
              </w:rPr>
              <w:t>M15.- (poly) · M16.- (hip) · M17.- (knee) · M18.- (thumb) · M19.- (other)</w:t>
            </w:r>
          </w:p>
        </w:tc>
      </w:tr>
    </w:tbl>
    <w:p>
      <w:pPr>
        <w:spacing w:before="200" w:after="60"/>
      </w:pPr>
      <w:r>
        <w:rPr>
          <w:b/>
          <w:color w:val="0F6E6E"/>
          <w:sz w:val="24"/>
        </w:rPr>
        <w:t xml:space="preserve">E55.9  ·  </w:t>
      </w:r>
      <w:r>
        <w:rPr>
          <w:b/>
          <w:color w:val="0F172A"/>
          <w:sz w:val="24"/>
        </w:rPr>
        <w:t>Vitamin D Deficiency</w:t>
      </w:r>
    </w:p>
    <w:tbl>
      <w:tblPr>
        <w:tblW w:type="auto" w:w="0"/>
        <w:tblLayout w:type="fixed"/>
        <w:tblLook w:firstColumn="1" w:firstRow="1" w:lastColumn="0" w:lastRow="0" w:noHBand="0" w:noVBand="1" w:val="04A0"/>
      </w:tblPr>
      <w:tblGrid>
        <w:gridCol w:w="5043"/>
        <w:gridCol w:w="5043"/>
      </w:tblGrid>
      <w:tr>
        <w:tc>
          <w:tcPr>
            <w:tcW w:type="dxa" w:w="2016"/>
            <w:shd w:fill="E6F4F1"/>
          </w:tcPr>
          <w:p>
            <w:r>
              <w:rPr>
                <w:b/>
                <w:sz w:val="19"/>
              </w:rPr>
              <w:t>System / anatomy</w:t>
            </w:r>
          </w:p>
        </w:tc>
        <w:tc>
          <w:tcPr>
            <w:tcW w:type="dxa" w:w="7200"/>
          </w:tcPr>
          <w:p>
            <w:r>
              <w:rPr>
                <w:sz w:val="19"/>
              </w:rPr>
              <w:t>Endocrine / metabolic · skin · bones</w:t>
            </w:r>
          </w:p>
        </w:tc>
      </w:tr>
      <w:tr>
        <w:tc>
          <w:tcPr>
            <w:tcW w:type="dxa" w:w="2016"/>
            <w:shd w:fill="E6F4F1"/>
          </w:tcPr>
          <w:p>
            <w:r>
              <w:rPr>
                <w:b/>
                <w:sz w:val="19"/>
              </w:rPr>
              <w:t>Physiology (what's happening)</w:t>
            </w:r>
          </w:p>
        </w:tc>
        <w:tc>
          <w:tcPr>
            <w:tcW w:type="dxa" w:w="7200"/>
          </w:tcPr>
          <w:p>
            <w:r>
              <w:rPr>
                <w:sz w:val="19"/>
              </w:rPr>
              <w:t>Vitamin D is essential for calcium absorption and bone health. Also has roles in immunity, mood, muscle function. Deficiency is very common in Puerto Rico despite sun exposure — dietary intake matters more than expected.</w:t>
            </w:r>
          </w:p>
        </w:tc>
      </w:tr>
      <w:tr>
        <w:tc>
          <w:tcPr>
            <w:tcW w:type="dxa" w:w="2016"/>
            <w:shd w:fill="E6F4F1"/>
          </w:tcPr>
          <w:p>
            <w:r>
              <w:rPr>
                <w:b/>
                <w:sz w:val="19"/>
              </w:rPr>
              <w:t>What to look for in the note</w:t>
            </w:r>
          </w:p>
        </w:tc>
        <w:tc>
          <w:tcPr>
            <w:tcW w:type="dxa" w:w="7200"/>
          </w:tcPr>
          <w:p>
            <w:r>
              <w:rPr>
                <w:sz w:val="19"/>
              </w:rPr>
              <w:t>25-OH vitamin D level (&lt;20 ng/mL = deficiency, 20-30 = insufficiency) · vitamin D supplement dose.</w:t>
            </w:r>
          </w:p>
        </w:tc>
      </w:tr>
      <w:tr>
        <w:tc>
          <w:tcPr>
            <w:tcW w:type="dxa" w:w="2016"/>
            <w:shd w:fill="E6F4F1"/>
          </w:tcPr>
          <w:p>
            <w:r>
              <w:rPr>
                <w:b/>
                <w:sz w:val="19"/>
              </w:rPr>
              <w:t>Coding pitfalls</w:t>
            </w:r>
          </w:p>
        </w:tc>
        <w:tc>
          <w:tcPr>
            <w:tcW w:type="dxa" w:w="7200"/>
          </w:tcPr>
          <w:p>
            <w:r>
              <w:rPr>
                <w:sz w:val="19"/>
              </w:rPr>
              <w:t>E55.9 is unspecified. Some payers prefer E55.0 (rickets, active) only if pediatric — for adults, E55.9 is appropriate. Common secondary code with obesity, malabsorption, CKD.</w:t>
            </w:r>
          </w:p>
        </w:tc>
      </w:tr>
      <w:tr>
        <w:tc>
          <w:tcPr>
            <w:tcW w:type="dxa" w:w="2016"/>
            <w:shd w:fill="E6F4F1"/>
          </w:tcPr>
          <w:p>
            <w:r>
              <w:rPr>
                <w:b/>
                <w:sz w:val="19"/>
              </w:rPr>
              <w:t>Common code family</w:t>
            </w:r>
          </w:p>
        </w:tc>
        <w:tc>
          <w:tcPr>
            <w:tcW w:type="dxa" w:w="7200"/>
          </w:tcPr>
          <w:p>
            <w:r>
              <w:rPr>
                <w:sz w:val="19"/>
              </w:rPr>
              <w:t>E55.9 · E55.0</w:t>
            </w:r>
          </w:p>
        </w:tc>
      </w:tr>
    </w:tbl>
    <w:p>
      <w:pPr>
        <w:spacing w:before="240" w:after="80"/>
      </w:pPr>
      <w:r>
        <w:rPr>
          <w:b/>
          <w:color w:val="0F6E6E"/>
          <w:sz w:val="28"/>
        </w:rPr>
        <w:t>How this helps your billing</w:t>
      </w:r>
    </w:p>
    <w:p>
      <w:r>
        <w:rPr>
          <w:sz w:val="21"/>
        </w:rPr>
        <w:t>When you understand what these conditions ARE, you can spot:</w:t>
      </w:r>
    </w:p>
    <w:p>
      <w:pPr>
        <w:pStyle w:val="ListBullet"/>
        <w:spacing w:after="40"/>
        <w:ind w:left="360"/>
      </w:pPr>
      <w:r>
        <w:rPr>
          <w:sz w:val="21"/>
        </w:rPr>
        <w:t>Missing specificity — 'DM' in the note but no complication type documented.</w:t>
      </w:r>
    </w:p>
    <w:p>
      <w:pPr>
        <w:pStyle w:val="ListBullet"/>
        <w:spacing w:after="40"/>
        <w:ind w:left="360"/>
      </w:pPr>
      <w:r>
        <w:rPr>
          <w:sz w:val="21"/>
        </w:rPr>
        <w:t>Missing combination codes — DM + CKD should be E11.22, not E11.9 + N18.9.</w:t>
      </w:r>
    </w:p>
    <w:p>
      <w:pPr>
        <w:pStyle w:val="ListBullet"/>
        <w:spacing w:after="40"/>
        <w:ind w:left="360"/>
      </w:pPr>
      <w:r>
        <w:rPr>
          <w:sz w:val="21"/>
        </w:rPr>
        <w:t>Missing severity — asthma without severity level, HF without EF-based type.</w:t>
      </w:r>
    </w:p>
    <w:p>
      <w:pPr>
        <w:pStyle w:val="ListBullet"/>
        <w:spacing w:after="40"/>
        <w:ind w:left="360"/>
      </w:pPr>
      <w:r>
        <w:rPr>
          <w:sz w:val="21"/>
        </w:rPr>
        <w:t>Missing laterality — OA of knee without R/L/bilateral.</w:t>
      </w:r>
    </w:p>
    <w:p>
      <w:pPr>
        <w:pStyle w:val="ListBullet"/>
        <w:spacing w:after="40"/>
        <w:ind w:left="360"/>
      </w:pPr>
      <w:r>
        <w:rPr>
          <w:sz w:val="21"/>
        </w:rPr>
        <w:t>HCC opportunities being missed — I50.22, N18.4, E66.01, J44.1 all carry HCC weight.</w:t>
      </w:r>
    </w:p>
    <w:p>
      <w:pPr>
        <w:pStyle w:val="ListBullet"/>
        <w:spacing w:after="40"/>
        <w:ind w:left="360"/>
      </w:pPr>
      <w:r>
        <w:rPr>
          <w:sz w:val="21"/>
        </w:rPr>
        <w:t>Copy-forward errors — chronic dx listed but nothing new happened this visit.</w:t>
      </w:r>
    </w:p>
    <w:p>
      <w:r>
        <w:rPr>
          <w:sz w:val="21"/>
        </w:rPr>
        <w:t>Every one of those catches becomes a query to the provider — and a better claim.</w:t>
      </w:r>
    </w:p>
    <w:p>
      <w:pPr>
        <w:spacing w:before="360"/>
      </w:pPr>
      <w:r>
        <w:rPr>
          <w:i/>
          <w:color w:val="555555"/>
        </w:rPr>
        <w:t>End of reference · use with the CPT II Quick-Find Guide for full coverage.</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