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172A"/>
          <w:sz w:val="52"/>
        </w:rPr>
        <w:t>Coding &amp; CDI Department — Startup Workflow</w:t>
      </w:r>
    </w:p>
    <w:p>
      <w:pPr>
        <w:spacing w:after="280"/>
      </w:pPr>
      <w:r>
        <w:rPr>
          <w:i/>
          <w:color w:val="555555"/>
          <w:sz w:val="22"/>
        </w:rPr>
        <w:t>Sequenced step-by-step launch playbook · solo track · from Day 1 to Day 90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448"/>
            <w:shd w:fill="E6F4F1"/>
            <w:vAlign w:val="center"/>
          </w:tcPr>
          <w:p>
            <w:r>
              <w:rPr>
                <w:b/>
              </w:rPr>
              <w:t>Who this is for</w:t>
            </w:r>
          </w:p>
        </w:tc>
        <w:tc>
          <w:tcPr>
            <w:tcW w:type="dxa" w:w="6480"/>
            <w:vAlign w:val="center"/>
          </w:tcPr>
          <w:p>
            <w:r>
              <w:t>The one person launching the Coding &amp; CDI department</w:t>
            </w:r>
          </w:p>
        </w:tc>
      </w:tr>
      <w:tr>
        <w:tc>
          <w:tcPr>
            <w:tcW w:type="dxa" w:w="2448"/>
            <w:shd w:fill="E6F4F1"/>
            <w:vAlign w:val="center"/>
          </w:tcPr>
          <w:p>
            <w:r>
              <w:rPr>
                <w:b/>
              </w:rPr>
              <w:t>Time frame</w:t>
            </w:r>
          </w:p>
        </w:tc>
        <w:tc>
          <w:tcPr>
            <w:tcW w:type="dxa" w:w="6480"/>
            <w:vAlign w:val="center"/>
          </w:tcPr>
          <w:p>
            <w:r>
              <w:t>First 90 days from launch</w:t>
            </w:r>
          </w:p>
        </w:tc>
      </w:tr>
      <w:tr>
        <w:tc>
          <w:tcPr>
            <w:tcW w:type="dxa" w:w="2448"/>
            <w:shd w:fill="E6F4F1"/>
            <w:vAlign w:val="center"/>
          </w:tcPr>
          <w:p>
            <w:r>
              <w:rPr>
                <w:b/>
              </w:rPr>
              <w:t>Outcome</w:t>
            </w:r>
          </w:p>
        </w:tc>
        <w:tc>
          <w:tcPr>
            <w:tcW w:type="dxa" w:w="6480"/>
            <w:vAlign w:val="center"/>
          </w:tcPr>
          <w:p>
            <w:r>
              <w:t>Fully operational documentation-audit function + first quarterly leadership report</w:t>
            </w:r>
          </w:p>
        </w:tc>
      </w:tr>
      <w:tr>
        <w:tc>
          <w:tcPr>
            <w:tcW w:type="dxa" w:w="2448"/>
            <w:shd w:fill="E6F4F1"/>
            <w:vAlign w:val="center"/>
          </w:tcPr>
          <w:p>
            <w:r>
              <w:rPr>
                <w:b/>
              </w:rPr>
              <w:t>Prerequisites</w:t>
            </w:r>
          </w:p>
        </w:tc>
        <w:tc>
          <w:tcPr>
            <w:tcW w:type="dxa" w:w="6480"/>
            <w:vAlign w:val="center"/>
          </w:tcPr>
          <w:p>
            <w:r>
              <w:t>Audit workbook, work plan, and support docs already prepared</w:t>
            </w:r>
          </w:p>
        </w:tc>
      </w:tr>
    </w:tbl>
    <w:p/>
    <w:p>
      <w:pPr>
        <w:spacing w:before="320" w:after="120"/>
      </w:pPr>
      <w:r>
        <w:rPr>
          <w:b/>
          <w:color w:val="0F6E6E"/>
          <w:sz w:val="32"/>
        </w:rPr>
        <w:t>The launch flow at a glance</w:t>
      </w:r>
    </w:p>
    <w:p>
      <w:r>
        <w:t>Five phases, ~90 days total. Each phase produces an artifact that unlocks the next 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16"/>
            <w:shd w:fill="0F6E6E"/>
          </w:tcPr>
          <w:p>
            <w:r>
              <w:rPr>
                <w:b/>
                <w:color w:val="FFFFFF"/>
              </w:rPr>
              <w:t>Phase</w:t>
            </w:r>
          </w:p>
        </w:tc>
        <w:tc>
          <w:tcPr>
            <w:tcW w:type="dxa" w:w="1008"/>
            <w:shd w:fill="0F6E6E"/>
          </w:tcPr>
          <w:p>
            <w:r>
              <w:rPr>
                <w:b/>
                <w:color w:val="FFFFFF"/>
              </w:rPr>
              <w:t>Days</w:t>
            </w:r>
          </w:p>
        </w:tc>
        <w:tc>
          <w:tcPr>
            <w:tcW w:type="dxa" w:w="3312"/>
            <w:shd w:fill="0F6E6E"/>
          </w:tcPr>
          <w:p>
            <w:r>
              <w:rPr>
                <w:b/>
                <w:color w:val="FFFFFF"/>
              </w:rPr>
              <w:t>Focus</w:t>
            </w:r>
          </w:p>
        </w:tc>
        <w:tc>
          <w:tcPr>
            <w:tcW w:type="dxa" w:w="2736"/>
            <w:shd w:fill="0F6E6E"/>
          </w:tcPr>
          <w:p>
            <w:r>
              <w:rPr>
                <w:b/>
                <w:color w:val="FFFFFF"/>
              </w:rPr>
              <w:t>Artifact produced</w:t>
            </w:r>
          </w:p>
        </w:tc>
      </w:tr>
      <w:tr>
        <w:tc>
          <w:tcPr>
            <w:tcW w:type="dxa" w:w="2016"/>
          </w:tcPr>
          <w:p>
            <w:r>
              <w:t>1 · Foundation</w:t>
            </w:r>
          </w:p>
        </w:tc>
        <w:tc>
          <w:tcPr>
            <w:tcW w:type="dxa" w:w="1008"/>
          </w:tcPr>
          <w:p>
            <w:r>
              <w:t>1–7</w:t>
            </w:r>
          </w:p>
        </w:tc>
        <w:tc>
          <w:tcPr>
            <w:tcW w:type="dxa" w:w="3312"/>
          </w:tcPr>
          <w:p>
            <w:r>
              <w:t>Get the sponsor, scope, and tools ready.</w:t>
            </w:r>
          </w:p>
        </w:tc>
        <w:tc>
          <w:tcPr>
            <w:tcW w:type="dxa" w:w="2736"/>
          </w:tcPr>
          <w:p>
            <w:r>
              <w:t>Signed scope agreement · tools in place.</w:t>
            </w:r>
          </w:p>
        </w:tc>
      </w:tr>
      <w:tr>
        <w:tc>
          <w:tcPr>
            <w:tcW w:type="dxa" w:w="2016"/>
            <w:shd w:fill="F1F8F7"/>
          </w:tcPr>
          <w:p>
            <w:r>
              <w:t>2 · First audit</w:t>
            </w:r>
          </w:p>
        </w:tc>
        <w:tc>
          <w:tcPr>
            <w:tcW w:type="dxa" w:w="1008"/>
            <w:shd w:fill="F1F8F7"/>
          </w:tcPr>
          <w:p>
            <w:r>
              <w:t>8–21</w:t>
            </w:r>
          </w:p>
        </w:tc>
        <w:tc>
          <w:tcPr>
            <w:tcW w:type="dxa" w:w="3312"/>
            <w:shd w:fill="F1F8F7"/>
          </w:tcPr>
          <w:p>
            <w:r>
              <w:t>Pick 3 providers · run the first audit cycle.</w:t>
            </w:r>
          </w:p>
        </w:tc>
        <w:tc>
          <w:tcPr>
            <w:tcW w:type="dxa" w:w="2736"/>
            <w:shd w:fill="F1F8F7"/>
          </w:tcPr>
          <w:p>
            <w:r>
              <w:t>Baseline compliance scores · first scorecards.</w:t>
            </w:r>
          </w:p>
        </w:tc>
      </w:tr>
      <w:tr>
        <w:tc>
          <w:tcPr>
            <w:tcW w:type="dxa" w:w="2016"/>
          </w:tcPr>
          <w:p>
            <w:r>
              <w:t>3 · Rhythm</w:t>
            </w:r>
          </w:p>
        </w:tc>
        <w:tc>
          <w:tcPr>
            <w:tcW w:type="dxa" w:w="1008"/>
          </w:tcPr>
          <w:p>
            <w:r>
              <w:t>22–45</w:t>
            </w:r>
          </w:p>
        </w:tc>
        <w:tc>
          <w:tcPr>
            <w:tcW w:type="dxa" w:w="3312"/>
          </w:tcPr>
          <w:p>
            <w:r>
              <w:t>Turn the first cycle into a repeatable process.</w:t>
            </w:r>
          </w:p>
        </w:tc>
        <w:tc>
          <w:tcPr>
            <w:tcW w:type="dxa" w:w="2736"/>
          </w:tcPr>
          <w:p>
            <w:r>
              <w:t>Monthly SOP · first education tip.</w:t>
            </w:r>
          </w:p>
        </w:tc>
      </w:tr>
      <w:tr>
        <w:tc>
          <w:tcPr>
            <w:tcW w:type="dxa" w:w="2016"/>
            <w:shd w:fill="F1F8F7"/>
          </w:tcPr>
          <w:p>
            <w:r>
              <w:t>4 · Prove value</w:t>
            </w:r>
          </w:p>
        </w:tc>
        <w:tc>
          <w:tcPr>
            <w:tcW w:type="dxa" w:w="1008"/>
            <w:shd w:fill="F1F8F7"/>
          </w:tcPr>
          <w:p>
            <w:r>
              <w:t>46–75</w:t>
            </w:r>
          </w:p>
        </w:tc>
        <w:tc>
          <w:tcPr>
            <w:tcW w:type="dxa" w:w="3312"/>
            <w:shd w:fill="F1F8F7"/>
          </w:tcPr>
          <w:p>
            <w:r>
              <w:t>Add HCC + HEDIS layers · start showing wins.</w:t>
            </w:r>
          </w:p>
        </w:tc>
        <w:tc>
          <w:tcPr>
            <w:tcW w:type="dxa" w:w="2736"/>
            <w:shd w:fill="F1F8F7"/>
          </w:tcPr>
          <w:p>
            <w:r>
              <w:t>First HCC recaptures · first quality gap closures.</w:t>
            </w:r>
          </w:p>
        </w:tc>
      </w:tr>
      <w:tr>
        <w:tc>
          <w:tcPr>
            <w:tcW w:type="dxa" w:w="2016"/>
          </w:tcPr>
          <w:p>
            <w:r>
              <w:t>5 · Present to leadership</w:t>
            </w:r>
          </w:p>
        </w:tc>
        <w:tc>
          <w:tcPr>
            <w:tcW w:type="dxa" w:w="1008"/>
          </w:tcPr>
          <w:p>
            <w:r>
              <w:t>76–90</w:t>
            </w:r>
          </w:p>
        </w:tc>
        <w:tc>
          <w:tcPr>
            <w:tcW w:type="dxa" w:w="3312"/>
          </w:tcPr>
          <w:p>
            <w:r>
              <w:t>Quarterly report + build the case for month 6.</w:t>
            </w:r>
          </w:p>
        </w:tc>
        <w:tc>
          <w:tcPr>
            <w:tcW w:type="dxa" w:w="2736"/>
          </w:tcPr>
          <w:p>
            <w:r>
              <w:t>Q1 report · month-6 milestone plan.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Phase 1 · Foundation  (days 1–7)</w:t>
      </w:r>
    </w:p>
    <w:p>
      <w:r>
        <w:t>Get the department on paper before doing any actual audit work. This week is about alignment, not activity.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Meet with your executive sponsor (CFO or Revenue Integrity lead). Confirm the department exists, its scope, and its reporting line.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One-page scope agreement signed by sponsor.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Bring the Coding_CDI_Year1_Work_Plan for reference.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Confirm the provider list you will audit. Get the medical director's endorsement so audits are seen as mandatory, not optional.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List of 3 providers to start with · medical director email confirming.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Start with the top 3 providers by MA / HCC volume.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3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Set up your workspace: shared drive folder for the workbook, KPI Tracker, HCC Recapture Tracker, and support docs. Turn on AutoSave if using SharePoint/OneDrive.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Folder structure · file access confirmed · AutoSave on.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Suggested folders: /Audits, /HCC, /KPI, /Reference, /Reports.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4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Request access to payer portals for MA/HCC lists (Humana, Aetna, Anthem, whichever plans your patients are on).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Login credentials for at least one payer portal.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Payer portals are the source of prior-year HCC lists — free intelligence.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5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Book your recurring calendar events: monthly audit block (days 5-15), monthly leadership check-in (day 25), quarterly report slot (end of Q1/Q2/Q3/Q4).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Calendar invites sent and accepted.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Recurring blocks protect your time · without them the work never happens.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Phase 2 · First audit cycle  (days 8–21)</w:t>
      </w:r>
    </w:p>
    <w:p>
      <w:r>
        <w:t>Run the tool for real. This produces your first data — the baseline every future improvement gets measured against.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6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Pull 10 charts per provider from the prior-month encounters (30 charts total for 3 providers).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Chart list logged on the Chart Sample Log tab (or in your Audit Log notes).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Follow the 3 Diabetes · 2 CKD · 2 AWV · 2 High-RAF · 1 Random mix.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7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Audit each chart on its Claim tab (Claim 01–10 for provider 1 · save-as archive · reset and repeat for providers 2 and 3).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30 completed Claim tabs · 30 rows on the Audit Log.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Aim for ~2 hours per provider. Don't get precious on the first cycle · consistency beats perfection.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8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Review the Provider Metrics tab for each provider to get their monthly compliance % and band.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3 provider scorecards with baseline data.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This is your first real data point · every future improvement gets measured against 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9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Draft a one-page scorecard email for each provider: their compliance %, top 2 deficiencies, one specific documentation tip.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3 scorecard emails ready to send.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Positive tone. Focus on one specific improvement, not a laundry list.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10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Send scorecards to providers. Copy the medical director. Offer a 15-min 1-on-1 to any provider who wants to discuss.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Provider feedback delivered · 1-on-1s booked if requested.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Providers respect specific, respectful feedback. Vague feedback earns pushback.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Phase 3 · Establish rhythm  (days 22–45)</w:t>
      </w:r>
    </w:p>
    <w:p>
      <w:r>
        <w:t>The first cycle proved it works. Now make it repeatable so you're not reinventing the process every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11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Write a 1-page monthly SOP: 'Days 1-4 wait, 5-15 audit, 15-20 scorecards, 20-25 HCC review, 25-28 leadership summary.'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Written SOP saved in /Reference folder.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Anchor it to the Audit Timing Calendar doc.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12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Do your second monthly audit cycle exactly the same way. Time yourself. Adjust the SOP based on what actually worked vs. what didn't.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60 total charts audited (30 baseline + 30 second cycle) · SOP v2.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By cycle 2 you'll know if 3 providers × 10 charts fits in your week or is too much.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13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Produce the first monthly leadership summary email — 5 bullets: charts audited, avg compliance %, providers in each band, top deficiency pattern, next-month focus.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First monthly summary sent to sponsor.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Keep it under 200 words. Executives skim.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14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Build your first provider education tip (one page): pick the deficiency that showed up most across the 60 charts, write a 1-page 'before/after' example.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Provider Education Tip #1 published.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Turn audit findings into teaching. This is where documentation actually improves.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Phase 4 · Prove value  (days 46–75)</w:t>
      </w:r>
    </w:p>
    <w:p>
      <w:r>
        <w:t>Time to layer HCC and HEDIS on top of the audit rhythm. This is where the department starts generating measurable dollar impact.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15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Pull the prior-year HCC list from the payer portal for each MA patient of your 3 providers.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MA panel with prior-year HCC report per patient.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Payers provide these lists for free. Use them.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16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For every chart you audit in cycle 3, cross-check the note against the patient's prior-year HCC list. Log each recapture and each miss on the HCC Recapture Tracker.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HCC Log populated · monthly summary shows recapture rate + RAF impact.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Every recapture is dollars back into the system. Track them.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17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Send provider queries for any HCC that appears to apply but was not documented (suspect conditions).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Query log · provider responses tracked in HCC Log.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Query template: neutral, specific, cite the chart evidence.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18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Add HEDIS / CPT II gap review to your monthly workflow — start with 3 measures (HbA1c control, BP control, BMI screening).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Gap list handed to the billing team.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You are surfacing opportunities · the billing team codes them.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19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Update the KPI Tracker Monthly Data tab with your first 3 months of data: providers on rotation, charts audited, avg compliance %, HCCs recaptured, etc.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KPI Dashboard shows real numbers.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This is what leadership will see in Phase 5.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Phase 5 · First quarterly leadership report  (days 76–90)</w:t>
      </w:r>
    </w:p>
    <w:p>
      <w:r>
        <w:t>Turn 90 days of work into a presentation that shows momentum, impact, and a specific ask.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20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Open the Quarterly Report tab on the audit workbook. Confirm KPIs are populated. Review the Provider Progression chart.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Data-ready quarterly report.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21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Draft the Q1 leadership summary. Structure: 'What we built' · 'What we measured' · 'What we learned' · 'What we recommend next.' Keep it to 1 page + 3 supporting charts.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Q1 report draft.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Use the KPI Tracker Dashboard and HCC Recapture Tracker Monthly Summary as source data.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22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Book the leadership presentation. Bring: the report, the audit workbook (live demo), the KPI Tracker, the HCC Recapture Tracker, the Audit Program Overview doc.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Meeting scheduled · presentation deck ready.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A live demo lands harder than any slide.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23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Present. Ask for: continued executive sponsorship, formal recognition of the department, monthly 30-min check-in, and permission to draft the month-6 hire business case.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Signed approval on the four asks.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Do NOT ask for the hire yet — that comes at month 6. Ask for permission to prepare 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720"/>
            <w:shd w:fill="0F6E6E"/>
            <w:vAlign w:val="center"/>
          </w:tcPr>
          <w:p>
            <w:pPr>
              <w:jc w:val="center"/>
            </w:pPr>
            <w:r>
              <w:rPr>
                <w:b/>
                <w:color w:val="FFFFFF"/>
                <w:sz w:val="28"/>
              </w:rPr>
              <w:t>24</w:t>
            </w:r>
          </w:p>
        </w:tc>
        <w:tc>
          <w:tcPr>
            <w:tcW w:type="dxa" w:w="8496"/>
            <w:vAlign w:val="center"/>
          </w:tcPr>
          <w:p>
            <w:pPr>
              <w:spacing w:after="40"/>
            </w:pPr>
            <w:r>
              <w:rPr>
                <w:b/>
                <w:color w:val="0F172A"/>
                <w:sz w:val="22"/>
              </w:rPr>
              <w:t>Publish everything to the shared drive: the report, the KPI dashboard PDF, the audit workbook, all 3 tool workbooks. Send a follow-up email to sponsor with links.</w:t>
            </w:r>
          </w:p>
          <w:p>
            <w:pPr>
              <w:spacing w:after="40"/>
            </w:pPr>
            <w:r>
              <w:rPr>
                <w:b/>
                <w:color w:val="0F6E6E"/>
                <w:sz w:val="19"/>
              </w:rPr>
              <w:t xml:space="preserve">Output: </w:t>
            </w:r>
            <w:r>
              <w:rPr>
                <w:color w:val="0F172A"/>
                <w:sz w:val="19"/>
              </w:rPr>
              <w:t>Documented paper trail leadership can reference later.</w:t>
            </w:r>
          </w:p>
          <w:p>
            <w:pPr>
              <w:spacing w:after="40"/>
            </w:pPr>
            <w:r>
              <w:rPr>
                <w:b/>
                <w:color w:val="555555"/>
                <w:sz w:val="19"/>
              </w:rPr>
              <w:t xml:space="preserve">Notes: </w:t>
            </w:r>
            <w:r>
              <w:rPr>
                <w:i/>
                <w:color w:val="555555"/>
                <w:sz w:val="19"/>
              </w:rPr>
              <w:t>Institutional memory · protects the program if you change roles.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From Day 90 forward · monthly / quarterly rhythm</w:t>
      </w:r>
    </w:p>
    <w:p>
      <w:r>
        <w:t>Once Phase 5 is complete, the department is officially launched. The recurring rhythm is now: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2016"/>
            <w:shd w:fill="0F6E6E"/>
          </w:tcPr>
          <w:p>
            <w:r>
              <w:rPr>
                <w:b/>
                <w:color w:val="FFFFFF"/>
              </w:rPr>
              <w:t>Cadence</w:t>
            </w:r>
          </w:p>
        </w:tc>
        <w:tc>
          <w:tcPr>
            <w:tcW w:type="dxa" w:w="7056"/>
            <w:shd w:fill="0F6E6E"/>
          </w:tcPr>
          <w:p>
            <w:r>
              <w:rPr>
                <w:b/>
                <w:color w:val="FFFFFF"/>
              </w:rPr>
              <w:t>Activity</w:t>
            </w:r>
          </w:p>
        </w:tc>
      </w:tr>
      <w:tr>
        <w:tc>
          <w:tcPr>
            <w:tcW w:type="dxa" w:w="2016"/>
          </w:tcPr>
          <w:p>
            <w:r>
              <w:t>Every week</w:t>
            </w:r>
          </w:p>
        </w:tc>
        <w:tc>
          <w:tcPr>
            <w:tcW w:type="dxa" w:w="7056"/>
          </w:tcPr>
          <w:p>
            <w:r>
              <w:t>Audit 5–8 charts · review HCC list · draft queries · one provider follow-up.</w:t>
            </w:r>
          </w:p>
        </w:tc>
      </w:tr>
      <w:tr>
        <w:tc>
          <w:tcPr>
            <w:tcW w:type="dxa" w:w="2016"/>
            <w:shd w:fill="F1F8F7"/>
          </w:tcPr>
          <w:p>
            <w:r>
              <w:t>Every month</w:t>
            </w:r>
          </w:p>
        </w:tc>
        <w:tc>
          <w:tcPr>
            <w:tcW w:type="dxa" w:w="7056"/>
            <w:shd w:fill="F1F8F7"/>
          </w:tcPr>
          <w:p>
            <w:r>
              <w:t>10 charts × 3-5 providers · scorecards · monthly leadership email · KPI Tracker update.</w:t>
            </w:r>
          </w:p>
        </w:tc>
      </w:tr>
      <w:tr>
        <w:tc>
          <w:tcPr>
            <w:tcW w:type="dxa" w:w="2016"/>
          </w:tcPr>
          <w:p>
            <w:r>
              <w:t>Every quarter</w:t>
            </w:r>
          </w:p>
        </w:tc>
        <w:tc>
          <w:tcPr>
            <w:tcW w:type="dxa" w:w="7056"/>
          </w:tcPr>
          <w:p>
            <w:r>
              <w:t>Full quarterly report · provider group education session · quarterly leadership presentation.</w:t>
            </w:r>
          </w:p>
        </w:tc>
      </w:tr>
      <w:tr>
        <w:tc>
          <w:tcPr>
            <w:tcW w:type="dxa" w:w="2016"/>
            <w:shd w:fill="F1F8F7"/>
          </w:tcPr>
          <w:p>
            <w:r>
              <w:t>Every 6 months</w:t>
            </w:r>
          </w:p>
        </w:tc>
        <w:tc>
          <w:tcPr>
            <w:tcW w:type="dxa" w:w="7056"/>
            <w:shd w:fill="F1F8F7"/>
          </w:tcPr>
          <w:p>
            <w:r>
              <w:t>Business case update · assess whether to request the CRC hire · policy review.</w:t>
            </w:r>
          </w:p>
        </w:tc>
      </w:tr>
      <w:tr>
        <w:tc>
          <w:tcPr>
            <w:tcW w:type="dxa" w:w="2016"/>
          </w:tcPr>
          <w:p>
            <w:r>
              <w:t>Annually</w:t>
            </w:r>
          </w:p>
        </w:tc>
        <w:tc>
          <w:tcPr>
            <w:tcW w:type="dxa" w:w="7056"/>
          </w:tcPr>
          <w:p>
            <w:r>
              <w:t>Full 12-month report · year-2 plan · budget cycle participation.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Decision checkpoints along the way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16"/>
            <w:shd w:fill="0F6E6E"/>
          </w:tcPr>
          <w:p>
            <w:r>
              <w:rPr>
                <w:b/>
                <w:color w:val="FFFFFF"/>
              </w:rPr>
              <w:t>When</w:t>
            </w:r>
          </w:p>
        </w:tc>
        <w:tc>
          <w:tcPr>
            <w:tcW w:type="dxa" w:w="2880"/>
            <w:shd w:fill="0F6E6E"/>
          </w:tcPr>
          <w:p>
            <w:r>
              <w:rPr>
                <w:b/>
                <w:color w:val="FFFFFF"/>
              </w:rPr>
              <w:t>Decision</w:t>
            </w:r>
          </w:p>
        </w:tc>
        <w:tc>
          <w:tcPr>
            <w:tcW w:type="dxa" w:w="2448"/>
            <w:shd w:fill="0F6E6E"/>
          </w:tcPr>
          <w:p>
            <w:r>
              <w:rPr>
                <w:b/>
                <w:color w:val="FFFFFF"/>
              </w:rPr>
              <w:t>If yes then...</w:t>
            </w:r>
          </w:p>
        </w:tc>
        <w:tc>
          <w:tcPr>
            <w:tcW w:type="dxa" w:w="2160"/>
            <w:shd w:fill="0F6E6E"/>
          </w:tcPr>
          <w:p>
            <w:r>
              <w:rPr>
                <w:b/>
                <w:color w:val="FFFFFF"/>
              </w:rPr>
              <w:t>If no then...</w:t>
            </w:r>
          </w:p>
        </w:tc>
      </w:tr>
      <w:tr>
        <w:tc>
          <w:tcPr>
            <w:tcW w:type="dxa" w:w="2016"/>
          </w:tcPr>
          <w:p>
            <w:r>
              <w:t>End of Phase 2</w:t>
            </w:r>
          </w:p>
        </w:tc>
        <w:tc>
          <w:tcPr>
            <w:tcW w:type="dxa" w:w="2880"/>
          </w:tcPr>
          <w:p>
            <w:r>
              <w:t>Did the first audit cycle finish in time?</w:t>
            </w:r>
          </w:p>
        </w:tc>
        <w:tc>
          <w:tcPr>
            <w:tcW w:type="dxa" w:w="2448"/>
          </w:tcPr>
          <w:p>
            <w:r>
              <w:t>Stay with 3 providers × 10 charts.</w:t>
            </w:r>
          </w:p>
        </w:tc>
        <w:tc>
          <w:tcPr>
            <w:tcW w:type="dxa" w:w="2160"/>
          </w:tcPr>
          <w:p>
            <w:r>
              <w:t>Reduce to 2 providers × 10 charts, revisit in Phase 4.</w:t>
            </w:r>
          </w:p>
        </w:tc>
      </w:tr>
      <w:tr>
        <w:tc>
          <w:tcPr>
            <w:tcW w:type="dxa" w:w="2016"/>
            <w:shd w:fill="F1F8F7"/>
          </w:tcPr>
          <w:p>
            <w:r>
              <w:t>End of Phase 3</w:t>
            </w:r>
          </w:p>
        </w:tc>
        <w:tc>
          <w:tcPr>
            <w:tcW w:type="dxa" w:w="2880"/>
            <w:shd w:fill="F1F8F7"/>
          </w:tcPr>
          <w:p>
            <w:r>
              <w:t>Are providers engaging with feedback?</w:t>
            </w:r>
          </w:p>
        </w:tc>
        <w:tc>
          <w:tcPr>
            <w:tcW w:type="dxa" w:w="2448"/>
            <w:shd w:fill="F1F8F7"/>
          </w:tcPr>
          <w:p>
            <w:r>
              <w:t>Add HCC review as planned.</w:t>
            </w:r>
          </w:p>
        </w:tc>
        <w:tc>
          <w:tcPr>
            <w:tcW w:type="dxa" w:w="2160"/>
            <w:shd w:fill="F1F8F7"/>
          </w:tcPr>
          <w:p>
            <w:r>
              <w:t>Pause on adding new layers; work on provider relationships first.</w:t>
            </w:r>
          </w:p>
        </w:tc>
      </w:tr>
      <w:tr>
        <w:tc>
          <w:tcPr>
            <w:tcW w:type="dxa" w:w="2016"/>
          </w:tcPr>
          <w:p>
            <w:r>
              <w:t>End of Phase 4</w:t>
            </w:r>
          </w:p>
        </w:tc>
        <w:tc>
          <w:tcPr>
            <w:tcW w:type="dxa" w:w="2880"/>
          </w:tcPr>
          <w:p>
            <w:r>
              <w:t>Are HCC recaptures producing measurable impact?</w:t>
            </w:r>
          </w:p>
        </w:tc>
        <w:tc>
          <w:tcPr>
            <w:tcW w:type="dxa" w:w="2448"/>
          </w:tcPr>
          <w:p>
            <w:r>
              <w:t>Include RAF impact prominently in Q1 report.</w:t>
            </w:r>
          </w:p>
        </w:tc>
        <w:tc>
          <w:tcPr>
            <w:tcW w:type="dxa" w:w="2160"/>
          </w:tcPr>
          <w:p>
            <w:r>
              <w:t>Focus Q1 report on documentation compliance improvements instead.</w:t>
            </w:r>
          </w:p>
        </w:tc>
      </w:tr>
      <w:tr>
        <w:tc>
          <w:tcPr>
            <w:tcW w:type="dxa" w:w="2016"/>
            <w:shd w:fill="F1F8F7"/>
          </w:tcPr>
          <w:p>
            <w:r>
              <w:t>End of Phase 5</w:t>
            </w:r>
          </w:p>
        </w:tc>
        <w:tc>
          <w:tcPr>
            <w:tcW w:type="dxa" w:w="2880"/>
            <w:shd w:fill="F1F8F7"/>
          </w:tcPr>
          <w:p>
            <w:r>
              <w:t>Did leadership approve the four asks?</w:t>
            </w:r>
          </w:p>
        </w:tc>
        <w:tc>
          <w:tcPr>
            <w:tcW w:type="dxa" w:w="2448"/>
            <w:shd w:fill="F1F8F7"/>
          </w:tcPr>
          <w:p>
            <w:r>
              <w:t>Follow the year-1 work plan as written.</w:t>
            </w:r>
          </w:p>
        </w:tc>
        <w:tc>
          <w:tcPr>
            <w:tcW w:type="dxa" w:w="2160"/>
            <w:shd w:fill="F1F8F7"/>
          </w:tcPr>
          <w:p>
            <w:r>
              <w:t>Adjust scope · document the constraint · re-present at month 6.</w:t>
            </w:r>
          </w:p>
        </w:tc>
      </w:tr>
    </w:tbl>
    <w:p>
      <w:pPr>
        <w:spacing w:before="320" w:after="120"/>
      </w:pPr>
      <w:r>
        <w:rPr>
          <w:b/>
          <w:color w:val="0F6E6E"/>
          <w:sz w:val="32"/>
        </w:rPr>
        <w:t>First 90 days · master checklist</w:t>
      </w:r>
    </w:p>
    <w:p>
      <w:r>
        <w:t>Copy this into a task tracker or print it. Check each step as you complete it.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Meet with executive sponsor · scope agreement signed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Provider list confirmed · medical director endorsement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Workspace set up · AutoSave on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Payer portal access requested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Recurring calendar events booked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10 charts × 3 providers pulled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30 charts audited on Claim tabs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3 provider scorecards sent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1-on-1s booked if requested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Monthly SOP written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Cycle 2 completed (60 total charts audited)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First monthly leadership summary sent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Provider Education Tip #1 published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MA HCC lists pulled from payer portal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HCC recapture cross-check on cycle 3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First HCC queries sent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HEDIS / CPT II gap review started (3 measures)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KPI Tracker populated with 3 months of data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Quarterly report drafted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Leadership presentation delivered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Four asks approved · month-6 hire prep permission granted</w:t>
      </w:r>
    </w:p>
    <w:p>
      <w:pPr>
        <w:spacing w:after="40"/>
        <w:ind w:left="216"/>
      </w:pPr>
      <w:r>
        <w:rPr>
          <w:color w:val="0F6E6E"/>
          <w:sz w:val="24"/>
        </w:rPr>
        <w:t xml:space="preserve">☐  </w:t>
      </w:r>
      <w:r>
        <w:rPr>
          <w:sz w:val="21"/>
        </w:rPr>
        <w:t>All artifacts published to shared drive</w:t>
      </w:r>
    </w:p>
    <w:p>
      <w:pPr>
        <w:spacing w:before="480"/>
      </w:pPr>
      <w:r>
        <w:rPr>
          <w:i/>
          <w:color w:val="555555"/>
        </w:rPr>
        <w:t>End of startup workflow · come back to this doc anytime.</w:t>
      </w:r>
    </w:p>
    <w:sectPr w:rsidR="00FC693F" w:rsidRPr="0006063C" w:rsidSect="00034616">
      <w:pgSz w:w="12240" w:h="15840"/>
      <w:pgMar w:top="964" w:right="1134" w:bottom="96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