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F172A"/>
          <w:sz w:val="40"/>
        </w:rPr>
        <w:t>Clinical Documentation Audit — Criteria at a Glance</w:t>
      </w:r>
    </w:p>
    <w:p>
      <w:pPr>
        <w:spacing w:after="200"/>
      </w:pPr>
      <w:r>
        <w:rPr>
          <w:i/>
          <w:color w:val="555555"/>
          <w:sz w:val="20"/>
        </w:rPr>
        <w:t>16 items across 5 weighted categories · what every audit is scored 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00"/>
            <w:shd w:fill="0F6E6E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152"/>
            <w:shd w:fill="0F6E6E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4320"/>
            <w:shd w:fill="0F6E6E"/>
          </w:tcPr>
          <w:p>
            <w:r>
              <w:rPr>
                <w:b/>
                <w:color w:val="FFFFFF"/>
              </w:rPr>
              <w:t># Items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 · Diagnosis Accuracy</w:t>
            </w:r>
          </w:p>
        </w:tc>
        <w:tc>
          <w:tcPr>
            <w:tcW w:type="dxa" w:w="1152"/>
          </w:tcPr>
          <w:p>
            <w:r>
              <w:t>30%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3600"/>
            <w:shd w:fill="F1F8F7"/>
          </w:tcPr>
          <w:p>
            <w:r>
              <w:rPr>
                <w:b/>
              </w:rPr>
              <w:t>B · Documentation Specificity</w:t>
            </w:r>
          </w:p>
        </w:tc>
        <w:tc>
          <w:tcPr>
            <w:tcW w:type="dxa" w:w="1152"/>
            <w:shd w:fill="F1F8F7"/>
          </w:tcPr>
          <w:p>
            <w:r>
              <w:t>25%</w:t>
            </w:r>
          </w:p>
        </w:tc>
        <w:tc>
          <w:tcPr>
            <w:tcW w:type="dxa" w:w="4320"/>
            <w:shd w:fill="F1F8F7"/>
          </w:tcPr>
          <w:p>
            <w:r>
              <w:t>4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 · SOAP Note Structure</w:t>
            </w:r>
          </w:p>
        </w:tc>
        <w:tc>
          <w:tcPr>
            <w:tcW w:type="dxa" w:w="1152"/>
          </w:tcPr>
          <w:p>
            <w:r>
              <w:t>25%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3600"/>
            <w:shd w:fill="F1F8F7"/>
          </w:tcPr>
          <w:p>
            <w:r>
              <w:rPr>
                <w:b/>
              </w:rPr>
              <w:t>D · HCC Capture</w:t>
            </w:r>
          </w:p>
        </w:tc>
        <w:tc>
          <w:tcPr>
            <w:tcW w:type="dxa" w:w="1152"/>
            <w:shd w:fill="F1F8F7"/>
          </w:tcPr>
          <w:p>
            <w:r>
              <w:t>10%</w:t>
            </w:r>
          </w:p>
        </w:tc>
        <w:tc>
          <w:tcPr>
            <w:tcW w:type="dxa" w:w="4320"/>
            <w:shd w:fill="F1F8F7"/>
          </w:tcPr>
          <w:p>
            <w:r>
              <w:t>2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E · Documentation Supporting Quality Measures</w:t>
            </w:r>
          </w:p>
        </w:tc>
        <w:tc>
          <w:tcPr>
            <w:tcW w:type="dxa" w:w="1152"/>
          </w:tcPr>
          <w:p>
            <w:r>
              <w:t>10%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A · Diagnosis Accuracy</w:t>
      </w:r>
      <w:r>
        <w:rPr>
          <w:color w:val="555555"/>
          <w:sz w:val="20"/>
        </w:rPr>
        <w:t xml:space="preserve">   ·   30% weight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A1</w:t>
            </w:r>
          </w:p>
        </w:tc>
        <w:tc>
          <w:tcPr>
            <w:tcW w:type="dxa" w:w="8352"/>
            <w:vAlign w:val="center"/>
          </w:tcPr>
          <w:p>
            <w:r>
              <w:t>All reported diagnoses are clinically supported in the note.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A2</w:t>
            </w:r>
          </w:p>
        </w:tc>
        <w:tc>
          <w:tcPr>
            <w:tcW w:type="dxa" w:w="8352"/>
            <w:vAlign w:val="center"/>
          </w:tcPr>
          <w:p>
            <w:r>
              <w:t>Chronic conditions actively addressed at this visit (not just carried forward).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A3</w:t>
            </w:r>
          </w:p>
        </w:tc>
        <w:tc>
          <w:tcPr>
            <w:tcW w:type="dxa" w:w="8352"/>
            <w:vAlign w:val="center"/>
          </w:tcPr>
          <w:p>
            <w:r>
              <w:t>No unsupported or resolved conditions billed as active.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A4</w:t>
            </w:r>
          </w:p>
        </w:tc>
        <w:tc>
          <w:tcPr>
            <w:tcW w:type="dxa" w:w="8352"/>
            <w:vAlign w:val="center"/>
          </w:tcPr>
          <w:p>
            <w:r>
              <w:t>Problem list matches today's assessment and plan.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B · Documentation Specificity</w:t>
      </w:r>
      <w:r>
        <w:rPr>
          <w:color w:val="555555"/>
          <w:sz w:val="20"/>
        </w:rPr>
        <w:t xml:space="preserve">   ·   25% weight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B1</w:t>
            </w:r>
          </w:p>
        </w:tc>
        <w:tc>
          <w:tcPr>
            <w:tcW w:type="dxa" w:w="8352"/>
            <w:vAlign w:val="center"/>
          </w:tcPr>
          <w:p>
            <w:r>
              <w:t>ICD-10 codes at highest available specificity (avoid 'unspecified').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B2</w:t>
            </w:r>
          </w:p>
        </w:tc>
        <w:tc>
          <w:tcPr>
            <w:tcW w:type="dxa" w:w="8352"/>
            <w:vAlign w:val="center"/>
          </w:tcPr>
          <w:p>
            <w:r>
              <w:t>Diabetes: type, complications, and control level specified.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B3</w:t>
            </w:r>
          </w:p>
        </w:tc>
        <w:tc>
          <w:tcPr>
            <w:tcW w:type="dxa" w:w="8352"/>
            <w:vAlign w:val="center"/>
          </w:tcPr>
          <w:p>
            <w:r>
              <w:t>S / O / A / P sections tell one consistent clinical story.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B4</w:t>
            </w:r>
          </w:p>
        </w:tc>
        <w:tc>
          <w:tcPr>
            <w:tcW w:type="dxa" w:w="8352"/>
            <w:vAlign w:val="center"/>
          </w:tcPr>
          <w:p>
            <w:r>
              <w:t>Note is signed, dated, and closed by the rendering provider.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C · SOAP Note Structure</w:t>
      </w:r>
      <w:r>
        <w:rPr>
          <w:color w:val="555555"/>
          <w:sz w:val="20"/>
        </w:rPr>
        <w:t xml:space="preserve">   ·   25% weight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C1</w:t>
            </w:r>
          </w:p>
        </w:tc>
        <w:tc>
          <w:tcPr>
            <w:tcW w:type="dxa" w:w="8352"/>
            <w:vAlign w:val="center"/>
          </w:tcPr>
          <w:p>
            <w:r>
              <w:t>Subjective — patient's history, symptoms, and concerns documented.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C2</w:t>
            </w:r>
          </w:p>
        </w:tc>
        <w:tc>
          <w:tcPr>
            <w:tcW w:type="dxa" w:w="8352"/>
            <w:vAlign w:val="center"/>
          </w:tcPr>
          <w:p>
            <w:r>
              <w:t>Objective — exam findings, vitals, and relevant test results documented.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C3</w:t>
            </w:r>
          </w:p>
        </w:tc>
        <w:tc>
          <w:tcPr>
            <w:tcW w:type="dxa" w:w="8352"/>
            <w:vAlign w:val="center"/>
          </w:tcPr>
          <w:p>
            <w:r>
              <w:t>Assessment — each diagnosis explicitly assessed with clinical reasoning.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C4</w:t>
            </w:r>
          </w:p>
        </w:tc>
        <w:tc>
          <w:tcPr>
            <w:tcW w:type="dxa" w:w="8352"/>
            <w:vAlign w:val="center"/>
          </w:tcPr>
          <w:p>
            <w:r>
              <w:t>Plan — treatment plan documented (medication / referral / testing / follow-up).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D · HCC Capture</w:t>
      </w:r>
      <w:r>
        <w:rPr>
          <w:color w:val="555555"/>
          <w:sz w:val="20"/>
        </w:rPr>
        <w:t xml:space="preserve">   ·   10% weight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D1</w:t>
            </w:r>
          </w:p>
        </w:tc>
        <w:tc>
          <w:tcPr>
            <w:tcW w:type="dxa" w:w="8352"/>
            <w:vAlign w:val="center"/>
          </w:tcPr>
          <w:p>
            <w:r>
              <w:t>Prior-year HCCs recaptured (or explicitly resolved with rationale).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D2</w:t>
            </w:r>
          </w:p>
        </w:tc>
        <w:tc>
          <w:tcPr>
            <w:tcW w:type="dxa" w:w="8352"/>
            <w:vAlign w:val="center"/>
          </w:tcPr>
          <w:p>
            <w:r>
              <w:t>Suspected undocumented chronic conditions captured with support.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E · Documentation Supporting Quality Measures</w:t>
      </w:r>
      <w:r>
        <w:rPr>
          <w:color w:val="555555"/>
          <w:sz w:val="20"/>
        </w:rPr>
        <w:t xml:space="preserve">   ·   10% weight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E1</w:t>
            </w:r>
          </w:p>
        </w:tc>
        <w:tc>
          <w:tcPr>
            <w:tcW w:type="dxa" w:w="8352"/>
            <w:vAlign w:val="center"/>
          </w:tcPr>
          <w:p>
            <w:r>
              <w:t>Screening / measure results documented with specific values (PHQ-9, GAD-7, BMI, BP, HbA1c) — not 'screened' or 'normal'.</w:t>
            </w:r>
          </w:p>
        </w:tc>
      </w:tr>
      <w:tr>
        <w:tc>
          <w:tcPr>
            <w:tcW w:type="dxa" w:w="720"/>
            <w:shd w:fill="E6F4F1"/>
            <w:vAlign w:val="center"/>
          </w:tcPr>
          <w:p>
            <w:r>
              <w:rPr>
                <w:b/>
                <w:color w:val="0F6E6E"/>
              </w:rPr>
              <w:t>E2</w:t>
            </w:r>
          </w:p>
        </w:tc>
        <w:tc>
          <w:tcPr>
            <w:tcW w:type="dxa" w:w="8352"/>
            <w:vAlign w:val="center"/>
          </w:tcPr>
          <w:p>
            <w:r>
              <w:t>Follow-up plan documented when a screening is positive or a result is abnormal.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Rating scale</w:t>
      </w:r>
      <w:r>
        <w:rPr>
          <w:color w:val="555555"/>
          <w:sz w:val="20"/>
        </w:rPr>
        <w:t xml:space="preserve">   ·   how each item scores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fill="F1F8F7"/>
          </w:tcPr>
          <w:p>
            <w:r>
              <w:rPr>
                <w:b/>
              </w:rPr>
              <w:t>✓ Met  (1 pt)</w:t>
            </w:r>
          </w:p>
        </w:tc>
        <w:tc>
          <w:tcPr>
            <w:tcW w:type="dxa" w:w="2016"/>
            <w:shd w:fill="F1F8F7"/>
          </w:tcPr>
          <w:p>
            <w:r>
              <w:rPr>
                <w:b/>
              </w:rPr>
              <w:t>△ Partial  (0.5)</w:t>
            </w:r>
          </w:p>
        </w:tc>
        <w:tc>
          <w:tcPr>
            <w:tcW w:type="dxa" w:w="2016"/>
            <w:shd w:fill="F1F8F7"/>
          </w:tcPr>
          <w:p>
            <w:r>
              <w:rPr>
                <w:b/>
              </w:rPr>
              <w:t>✗ Not Met  (0)</w:t>
            </w:r>
          </w:p>
        </w:tc>
        <w:tc>
          <w:tcPr>
            <w:tcW w:type="dxa" w:w="2448"/>
            <w:shd w:fill="F1F8F7"/>
          </w:tcPr>
          <w:p>
            <w:r>
              <w:rPr>
                <w:b/>
              </w:rPr>
              <w:t>N/A  (excluded)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Performance bands</w:t>
      </w:r>
      <w:r>
        <w:rPr>
          <w:color w:val="555555"/>
          <w:sz w:val="20"/>
        </w:rPr>
        <w:t xml:space="preserve">   ·   based on Overall Compliance 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fill="0F6E6E"/>
          </w:tcPr>
          <w:p>
            <w:r>
              <w:rPr>
                <w:b/>
                <w:color w:val="FFFFFF"/>
              </w:rPr>
              <w:t>Band</w:t>
            </w:r>
          </w:p>
        </w:tc>
        <w:tc>
          <w:tcPr>
            <w:tcW w:type="dxa" w:w="1296"/>
            <w:shd w:fill="0F6E6E"/>
          </w:tcPr>
          <w:p>
            <w:r>
              <w:rPr>
                <w:b/>
                <w:color w:val="FFFFFF"/>
              </w:rPr>
              <w:t>Range</w:t>
            </w:r>
          </w:p>
        </w:tc>
        <w:tc>
          <w:tcPr>
            <w:tcW w:type="dxa" w:w="4752"/>
            <w:shd w:fill="0F6E6E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880"/>
            <w:shd w:fill="D6EAF8"/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1296"/>
          </w:tcPr>
          <w:p>
            <w:r>
              <w:t>≥ 95%</w:t>
            </w:r>
          </w:p>
        </w:tc>
        <w:tc>
          <w:tcPr>
            <w:tcW w:type="dxa" w:w="4752"/>
          </w:tcPr>
          <w:p>
            <w:r>
              <w:t>Recognize provider.</w:t>
            </w:r>
          </w:p>
        </w:tc>
      </w:tr>
      <w:tr>
        <w:tc>
          <w:tcPr>
            <w:tcW w:type="dxa" w:w="2880"/>
            <w:shd w:fill="C7F0D2"/>
          </w:tcPr>
          <w:p>
            <w:r>
              <w:rPr>
                <w:b/>
              </w:rPr>
              <w:t>Meets Expectations</w:t>
            </w:r>
          </w:p>
        </w:tc>
        <w:tc>
          <w:tcPr>
            <w:tcW w:type="dxa" w:w="1296"/>
          </w:tcPr>
          <w:p>
            <w:r>
              <w:t>90–94%</w:t>
            </w:r>
          </w:p>
        </w:tc>
        <w:tc>
          <w:tcPr>
            <w:tcW w:type="dxa" w:w="4752"/>
          </w:tcPr>
          <w:p>
            <w:r>
              <w:t>Standard feedback, no action.</w:t>
            </w:r>
          </w:p>
        </w:tc>
      </w:tr>
      <w:tr>
        <w:tc>
          <w:tcPr>
            <w:tcW w:type="dxa" w:w="2880"/>
            <w:shd w:fill="FDE9C0"/>
          </w:tcPr>
          <w:p>
            <w:r>
              <w:rPr>
                <w:b/>
              </w:rPr>
              <w:t>Needs Improvement</w:t>
            </w:r>
          </w:p>
        </w:tc>
        <w:tc>
          <w:tcPr>
            <w:tcW w:type="dxa" w:w="1296"/>
          </w:tcPr>
          <w:p>
            <w:r>
              <w:t>80–89%</w:t>
            </w:r>
          </w:p>
        </w:tc>
        <w:tc>
          <w:tcPr>
            <w:tcW w:type="dxa" w:w="4752"/>
          </w:tcPr>
          <w:p>
            <w:r>
              <w:t>Targeted education next cycle.</w:t>
            </w:r>
          </w:p>
        </w:tc>
      </w:tr>
      <w:tr>
        <w:tc>
          <w:tcPr>
            <w:tcW w:type="dxa" w:w="2880"/>
            <w:shd w:fill="F8C9C9"/>
          </w:tcPr>
          <w:p>
            <w:r>
              <w:rPr>
                <w:b/>
              </w:rPr>
              <w:t>Corrective Education Required</w:t>
            </w:r>
          </w:p>
        </w:tc>
        <w:tc>
          <w:tcPr>
            <w:tcW w:type="dxa" w:w="1296"/>
          </w:tcPr>
          <w:p>
            <w:r>
              <w:t>&lt; 80%</w:t>
            </w:r>
          </w:p>
        </w:tc>
        <w:tc>
          <w:tcPr>
            <w:tcW w:type="dxa" w:w="4752"/>
          </w:tcPr>
          <w:p>
            <w:r>
              <w:t>Structured plan + re-audit 60–90 d.</w:t>
            </w:r>
          </w:p>
        </w:tc>
      </w:tr>
    </w:tbl>
    <w:p>
      <w:pPr>
        <w:spacing w:before="280"/>
      </w:pPr>
      <w:r>
        <w:rPr>
          <w:i/>
          <w:color w:val="555555"/>
        </w:rPr>
        <w:t>End of quick reference.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