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52"/>
        </w:rPr>
        <w:t>Coding &amp; CDI Department</w:t>
      </w:r>
    </w:p>
    <w:p>
      <w:pPr>
        <w:spacing w:after="280"/>
      </w:pPr>
      <w:r>
        <w:rPr>
          <w:i/>
          <w:color w:val="555555"/>
          <w:sz w:val="22"/>
        </w:rPr>
        <w:t>One-year work plan · solo track · presented to leadership</w:t>
      </w:r>
    </w:p>
    <w:tbl>
      <w:tblPr>
        <w:tblW w:type="auto" w:w="0"/>
        <w:tblLayout w:type="fixed"/>
        <w:tblLook w:firstColumn="1" w:firstRow="1" w:lastColumn="0" w:lastRow="0" w:noHBand="0" w:noVBand="1" w:val="04A0"/>
      </w:tblPr>
      <w:tblGrid>
        <w:gridCol w:w="4986"/>
        <w:gridCol w:w="4986"/>
      </w:tblGrid>
      <w:tr>
        <w:tc>
          <w:tcPr>
            <w:tcW w:type="dxa" w:w="2448"/>
            <w:shd w:fill="E6F4F1"/>
            <w:vAlign w:val="center"/>
          </w:tcPr>
          <w:p>
            <w:r>
              <w:rPr>
                <w:b/>
              </w:rPr>
              <w:t>Prepared by</w:t>
            </w:r>
          </w:p>
        </w:tc>
        <w:tc>
          <w:tcPr>
            <w:tcW w:type="dxa" w:w="6480"/>
            <w:vAlign w:val="center"/>
          </w:tcPr>
          <w:p>
            <w:r>
              <w:t>Coding &amp; CDI Lead (department of one)</w:t>
            </w:r>
          </w:p>
        </w:tc>
      </w:tr>
      <w:tr>
        <w:tc>
          <w:tcPr>
            <w:tcW w:type="dxa" w:w="2448"/>
            <w:shd w:fill="E6F4F1"/>
            <w:vAlign w:val="center"/>
          </w:tcPr>
          <w:p>
            <w:r>
              <w:rPr>
                <w:b/>
              </w:rPr>
              <w:t>Reporting to</w:t>
            </w:r>
          </w:p>
        </w:tc>
        <w:tc>
          <w:tcPr>
            <w:tcW w:type="dxa" w:w="6480"/>
            <w:vAlign w:val="center"/>
          </w:tcPr>
          <w:p>
            <w:r>
              <w:t>Revenue Integrity · dotted line to Compliance</w:t>
            </w:r>
          </w:p>
        </w:tc>
      </w:tr>
      <w:tr>
        <w:tc>
          <w:tcPr>
            <w:tcW w:type="dxa" w:w="2448"/>
            <w:shd w:fill="E6F4F1"/>
            <w:vAlign w:val="center"/>
          </w:tcPr>
          <w:p>
            <w:r>
              <w:rPr>
                <w:b/>
              </w:rPr>
              <w:t>Period</w:t>
            </w:r>
          </w:p>
        </w:tc>
        <w:tc>
          <w:tcPr>
            <w:tcW w:type="dxa" w:w="6480"/>
            <w:vAlign w:val="center"/>
          </w:tcPr>
          <w:p>
            <w:r>
              <w:t>12 months from launch</w:t>
            </w:r>
          </w:p>
        </w:tc>
      </w:tr>
      <w:tr>
        <w:tc>
          <w:tcPr>
            <w:tcW w:type="dxa" w:w="2448"/>
            <w:shd w:fill="E6F4F1"/>
            <w:vAlign w:val="center"/>
          </w:tcPr>
          <w:p>
            <w:r>
              <w:rPr>
                <w:b/>
              </w:rPr>
              <w:t>Current status</w:t>
            </w:r>
          </w:p>
        </w:tc>
        <w:tc>
          <w:tcPr>
            <w:tcW w:type="dxa" w:w="6480"/>
            <w:vAlign w:val="center"/>
          </w:tcPr>
          <w:p>
            <w:r>
              <w:t>Provider documentation audits underway (CDI focus)</w:t>
            </w:r>
          </w:p>
        </w:tc>
      </w:tr>
      <w:tr>
        <w:tc>
          <w:tcPr>
            <w:tcW w:type="dxa" w:w="2448"/>
            <w:shd w:fill="E6F4F1"/>
            <w:vAlign w:val="center"/>
          </w:tcPr>
          <w:p>
            <w:r>
              <w:rPr>
                <w:b/>
              </w:rPr>
              <w:t>Program goal</w:t>
            </w:r>
          </w:p>
        </w:tc>
        <w:tc>
          <w:tcPr>
            <w:tcW w:type="dxa" w:w="6480"/>
            <w:vAlign w:val="center"/>
          </w:tcPr>
          <w:p>
            <w:r>
              <w:t>Establish an internal Coding &amp; CDI function that measurably improves documentation quality, HCC/RAF capture, and quality-measure compliance.</w:t>
            </w:r>
          </w:p>
        </w:tc>
      </w:tr>
    </w:tbl>
    <w:p/>
    <w:p>
      <w:pPr>
        <w:spacing w:before="320" w:after="120"/>
      </w:pPr>
      <w:r>
        <w:rPr>
          <w:b/>
          <w:color w:val="0F6E6E"/>
          <w:sz w:val="32"/>
        </w:rPr>
        <w:t>1. Executive summary</w:t>
      </w:r>
    </w:p>
    <w:p>
      <w:r>
        <w:t>The Coding &amp; Clinical Documentation Improvement (CDI) function is being built by a single lead. Provider documentation audits have already begun using an internal audit workbook aligned to ICD-10 Official Guidelines, CMS-HCC, MEAT criteria, HEDIS/Stars, HRSA/UDS, and OIG compliance guidance.</w:t>
      </w:r>
    </w:p>
    <w:p>
      <w:r>
        <w:t>Early wins already delivered by the department:</w:t>
      </w:r>
    </w:p>
    <w:p>
      <w:pPr>
        <w:pStyle w:val="ListBullet"/>
        <w:spacing w:after="60"/>
        <w:ind w:left="360"/>
      </w:pPr>
      <w:r>
        <w:t>Improved the billing process for BMI capture — provided support on the actual process and made corrections to reduce the volume of provider-facing action items that were previously routine.</w:t>
      </w:r>
    </w:p>
    <w:p>
      <w:pPr>
        <w:pStyle w:val="ListBullet"/>
        <w:spacing w:after="60"/>
        <w:ind w:left="360"/>
      </w:pPr>
      <w:r>
        <w:t>Reduced the number of actions returned to providers by resolving documentation ambiguities upstream at the coding review stage rather than sending them back for clarification.</w:t>
      </w:r>
    </w:p>
    <w:p>
      <w:pPr>
        <w:pStyle w:val="ListBullet"/>
        <w:spacing w:after="60"/>
        <w:ind w:left="360"/>
      </w:pPr>
      <w:r>
        <w:t>Produced educational documentation for the billing team covering the SOAP note structure — what each section carries, why it matters for accurate coding, and how to read the note when supporting a claim.</w:t>
      </w:r>
    </w:p>
    <w:p>
      <w:pPr>
        <w:pStyle w:val="ListBullet"/>
        <w:spacing w:after="60"/>
        <w:ind w:left="360"/>
      </w:pPr>
      <w:r>
        <w:t>Produced a pediatric BMI reference table for the billing team with a step-by-step guide for locating the BMI value in the note, converting age-based percentiles when needed, and confirming the correct CPT II / diagnostic code.</w:t>
      </w:r>
    </w:p>
    <w:p>
      <w:pPr>
        <w:pStyle w:val="ListBullet"/>
        <w:spacing w:after="60"/>
        <w:ind w:left="360"/>
      </w:pPr>
      <w:r>
        <w:t>Built an internal audit workbook for Clinical Documentation Improvement — 5 weighted categories, 16 audit elements, per-claim scoring, provider-level metrics rollup, and quarterly reporting all in one tool.</w:t>
      </w:r>
    </w:p>
    <w:p>
      <w:pPr>
        <w:pStyle w:val="ListBullet"/>
        <w:spacing w:after="60"/>
        <w:ind w:left="360"/>
      </w:pPr>
      <w:r>
        <w:t>Drafted this formal 12-month work plan defining scope, cadence, KPIs, and the hire trigger — giving leadership a predictable roadmap rather than an ad-hoc effort.</w:t>
      </w:r>
    </w:p>
    <w:p>
      <w:pPr>
        <w:pStyle w:val="ListBullet"/>
        <w:spacing w:after="60"/>
        <w:ind w:left="360"/>
      </w:pPr>
      <w:r>
        <w:t>Prepared an educational PowerPoint for providers on CDI — covering documentation expectations, common findings, and how audit feedback will be delivered.</w:t>
      </w:r>
    </w:p>
    <w:p>
      <w:r>
        <w:t>This plan defines the 12-month build path — what will be delivered each quarter, the recurring weekly and monthly cadence, the KPIs leadership will see, and the trigger point for the first hire. It is written to be realistic for one person, not a full team, while producing measurable impact on documentation, revenue integrity, and quality reporting.</w:t>
      </w:r>
    </w:p>
    <w:p>
      <w:pPr>
        <w:spacing w:before="320" w:after="120"/>
      </w:pPr>
      <w:r>
        <w:rPr>
          <w:b/>
          <w:color w:val="0F6E6E"/>
          <w:sz w:val="32"/>
        </w:rPr>
        <w:t>2. Current state · what is already in place</w:t>
      </w:r>
    </w:p>
    <w:p>
      <w:pPr>
        <w:pStyle w:val="ListBullet"/>
        <w:spacing w:after="60"/>
        <w:ind w:left="360"/>
      </w:pPr>
      <w:r>
        <w:t>Monthly documentation audit process launched with an internal audit workbook (5 weighted categories, 16 elements).</w:t>
      </w:r>
    </w:p>
    <w:p>
      <w:pPr>
        <w:pStyle w:val="ListBullet"/>
        <w:spacing w:after="60"/>
        <w:ind w:left="360"/>
      </w:pPr>
      <w:r>
        <w:t>First provider audits completed; scorecards and Provider Metrics rollup functional.</w:t>
      </w:r>
    </w:p>
    <w:p>
      <w:pPr>
        <w:pStyle w:val="ListBullet"/>
        <w:spacing w:after="60"/>
        <w:ind w:left="360"/>
      </w:pPr>
      <w:r>
        <w:t>Audit Log capturing every claim reviewed; Quarterly Report ready.</w:t>
      </w:r>
    </w:p>
    <w:p>
      <w:pPr>
        <w:pStyle w:val="ListBullet"/>
        <w:spacing w:after="60"/>
        <w:ind w:left="360"/>
      </w:pPr>
      <w:r>
        <w:t>Written guides for auditor use, coder onboarding, criteria reference, and audit timing calendar.</w:t>
      </w:r>
    </w:p>
    <w:p>
      <w:pPr>
        <w:pStyle w:val="ListBullet"/>
        <w:spacing w:after="60"/>
        <w:ind w:left="360"/>
      </w:pPr>
      <w:r>
        <w:t>Alignment established with published standards (ICD-10, CMS-HCC, MEAT, HEDIS, HRSA/UDS, OIG).</w:t>
      </w:r>
    </w:p>
    <w:p>
      <w:pPr>
        <w:spacing w:before="320" w:after="120"/>
      </w:pPr>
      <w:r>
        <w:rPr>
          <w:b/>
          <w:color w:val="0F6E6E"/>
          <w:sz w:val="32"/>
        </w:rPr>
        <w:t>3. Scope of the department · what stays with me, what does not</w:t>
      </w:r>
    </w:p>
    <w:p>
      <w:pPr>
        <w:spacing w:before="200" w:after="80"/>
      </w:pPr>
      <w:r>
        <w:rPr>
          <w:b/>
          <w:color w:val="0F172A"/>
          <w:sz w:val="26"/>
        </w:rPr>
        <w:t>What I do (solo)</w:t>
      </w:r>
    </w:p>
    <w:tbl>
      <w:tblPr>
        <w:tblW w:type="auto" w:w="0"/>
        <w:tblLayout w:type="fixed"/>
        <w:tblLook w:firstColumn="1" w:firstRow="1" w:lastColumn="0" w:lastRow="0" w:noHBand="0" w:noVBand="1" w:val="04A0"/>
      </w:tblPr>
      <w:tblGrid>
        <w:gridCol w:w="3324"/>
        <w:gridCol w:w="3324"/>
        <w:gridCol w:w="3324"/>
      </w:tblGrid>
      <w:tr>
        <w:tc>
          <w:tcPr>
            <w:tcW w:type="dxa" w:w="3168"/>
            <w:shd w:fill="0F6E6E"/>
          </w:tcPr>
          <w:p>
            <w:r>
              <w:rPr>
                <w:b/>
                <w:color w:val="FFFFFF"/>
              </w:rPr>
              <w:t>Function</w:t>
            </w:r>
          </w:p>
        </w:tc>
        <w:tc>
          <w:tcPr>
            <w:tcW w:type="dxa" w:w="2880"/>
            <w:shd w:fill="0F6E6E"/>
          </w:tcPr>
          <w:p>
            <w:r>
              <w:rPr>
                <w:b/>
                <w:color w:val="FFFFFF"/>
              </w:rPr>
              <w:t>Cadence</w:t>
            </w:r>
          </w:p>
        </w:tc>
        <w:tc>
          <w:tcPr>
            <w:tcW w:type="dxa" w:w="3024"/>
            <w:shd w:fill="0F6E6E"/>
          </w:tcPr>
          <w:p>
            <w:r>
              <w:rPr>
                <w:b/>
                <w:color w:val="FFFFFF"/>
              </w:rPr>
              <w:t>Deliverable</w:t>
            </w:r>
          </w:p>
        </w:tc>
      </w:tr>
      <w:tr>
        <w:tc>
          <w:tcPr>
            <w:tcW w:type="dxa" w:w="3168"/>
          </w:tcPr>
          <w:p>
            <w:r>
              <w:t>Documentation audits (CDI)</w:t>
            </w:r>
          </w:p>
        </w:tc>
        <w:tc>
          <w:tcPr>
            <w:tcW w:type="dxa" w:w="2880"/>
          </w:tcPr>
          <w:p>
            <w:r>
              <w:t>Monthly · 10 charts × 3–5 providers</w:t>
            </w:r>
          </w:p>
        </w:tc>
        <w:tc>
          <w:tcPr>
            <w:tcW w:type="dxa" w:w="3024"/>
          </w:tcPr>
          <w:p>
            <w:r>
              <w:t>Provider scorecards, corrective actions</w:t>
            </w:r>
          </w:p>
        </w:tc>
      </w:tr>
      <w:tr>
        <w:tc>
          <w:tcPr>
            <w:tcW w:type="dxa" w:w="3168"/>
            <w:shd w:fill="F1F8F7"/>
          </w:tcPr>
          <w:p>
            <w:r>
              <w:t>HCC / RAF review</w:t>
            </w:r>
          </w:p>
        </w:tc>
        <w:tc>
          <w:tcPr>
            <w:tcW w:type="dxa" w:w="2880"/>
            <w:shd w:fill="F1F8F7"/>
          </w:tcPr>
          <w:p>
            <w:r>
              <w:t>Weekly, prioritized by MA panel</w:t>
            </w:r>
          </w:p>
        </w:tc>
        <w:tc>
          <w:tcPr>
            <w:tcW w:type="dxa" w:w="3024"/>
            <w:shd w:fill="F1F8F7"/>
          </w:tcPr>
          <w:p>
            <w:r>
              <w:t>Recapture list, suspect-condition queries</w:t>
            </w:r>
          </w:p>
        </w:tc>
      </w:tr>
      <w:tr>
        <w:tc>
          <w:tcPr>
            <w:tcW w:type="dxa" w:w="3168"/>
          </w:tcPr>
          <w:p>
            <w:r>
              <w:t>HEDIS / CPT II documentation gap review</w:t>
            </w:r>
          </w:p>
        </w:tc>
        <w:tc>
          <w:tcPr>
            <w:tcW w:type="dxa" w:w="2880"/>
          </w:tcPr>
          <w:p>
            <w:r>
              <w:t>Monthly, top 3 measures</w:t>
            </w:r>
          </w:p>
        </w:tc>
        <w:tc>
          <w:tcPr>
            <w:tcW w:type="dxa" w:w="3024"/>
          </w:tcPr>
          <w:p>
            <w:r>
              <w:t>Gap list to biller, provider tips</w:t>
            </w:r>
          </w:p>
        </w:tc>
      </w:tr>
      <w:tr>
        <w:tc>
          <w:tcPr>
            <w:tcW w:type="dxa" w:w="3168"/>
            <w:shd w:fill="F1F8F7"/>
          </w:tcPr>
          <w:p>
            <w:r>
              <w:t>Provider education</w:t>
            </w:r>
          </w:p>
        </w:tc>
        <w:tc>
          <w:tcPr>
            <w:tcW w:type="dxa" w:w="2880"/>
            <w:shd w:fill="F1F8F7"/>
          </w:tcPr>
          <w:p>
            <w:r>
              <w:t>Monthly per provider · quarterly group session</w:t>
            </w:r>
          </w:p>
        </w:tc>
        <w:tc>
          <w:tcPr>
            <w:tcW w:type="dxa" w:w="3024"/>
            <w:shd w:fill="F1F8F7"/>
          </w:tcPr>
          <w:p>
            <w:r>
              <w:t>One-page tips, live 30-min quarterly session</w:t>
            </w:r>
          </w:p>
        </w:tc>
      </w:tr>
      <w:tr>
        <w:tc>
          <w:tcPr>
            <w:tcW w:type="dxa" w:w="3168"/>
          </w:tcPr>
          <w:p>
            <w:r>
              <w:t>Query management on complex cases</w:t>
            </w:r>
          </w:p>
        </w:tc>
        <w:tc>
          <w:tcPr>
            <w:tcW w:type="dxa" w:w="2880"/>
          </w:tcPr>
          <w:p>
            <w:r>
              <w:t>Ad hoc, only ambiguous or high-value</w:t>
            </w:r>
          </w:p>
        </w:tc>
        <w:tc>
          <w:tcPr>
            <w:tcW w:type="dxa" w:w="3024"/>
          </w:tcPr>
          <w:p>
            <w:r>
              <w:t>In-EHR queries, audit trail</w:t>
            </w:r>
          </w:p>
        </w:tc>
      </w:tr>
      <w:tr>
        <w:tc>
          <w:tcPr>
            <w:tcW w:type="dxa" w:w="3168"/>
            <w:shd w:fill="F1F8F7"/>
          </w:tcPr>
          <w:p>
            <w:r>
              <w:t>Reporting to leadership</w:t>
            </w:r>
          </w:p>
        </w:tc>
        <w:tc>
          <w:tcPr>
            <w:tcW w:type="dxa" w:w="2880"/>
            <w:shd w:fill="F1F8F7"/>
          </w:tcPr>
          <w:p>
            <w:r>
              <w:t>Monthly summary · quarterly full report</w:t>
            </w:r>
          </w:p>
        </w:tc>
        <w:tc>
          <w:tcPr>
            <w:tcW w:type="dxa" w:w="3024"/>
            <w:shd w:fill="F1F8F7"/>
          </w:tcPr>
          <w:p>
            <w:r>
              <w:t>KPI dashboard + trends</w:t>
            </w:r>
          </w:p>
        </w:tc>
      </w:tr>
    </w:tbl>
    <w:p>
      <w:pPr>
        <w:spacing w:before="200" w:after="80"/>
      </w:pPr>
      <w:r>
        <w:rPr>
          <w:b/>
          <w:color w:val="0F172A"/>
          <w:sz w:val="26"/>
        </w:rPr>
        <w:t>What stays with providers / billing / vendor for now</w:t>
      </w:r>
    </w:p>
    <w:p>
      <w:pPr>
        <w:pStyle w:val="ListBullet"/>
        <w:spacing w:after="60"/>
        <w:ind w:left="360"/>
      </w:pPr>
      <w:r>
        <w:t>Day-to-day CPT and E/M code selection (provider-driven) or vendor coding for volume.</w:t>
      </w:r>
    </w:p>
    <w:p>
      <w:pPr>
        <w:pStyle w:val="ListBullet"/>
        <w:spacing w:after="60"/>
        <w:ind w:left="360"/>
      </w:pPr>
      <w:r>
        <w:t>Front-end claim scrubbing (billing team / clearinghouse).</w:t>
      </w:r>
    </w:p>
    <w:p>
      <w:pPr>
        <w:pStyle w:val="ListBullet"/>
        <w:spacing w:after="60"/>
        <w:ind w:left="360"/>
      </w:pPr>
      <w:r>
        <w:t>Denial rework and appeals (billing team).</w:t>
      </w:r>
    </w:p>
    <w:p>
      <w:pPr>
        <w:pStyle w:val="ListBullet"/>
        <w:spacing w:after="60"/>
        <w:ind w:left="360"/>
      </w:pPr>
      <w:r>
        <w:t>Full HEDIS abstraction across every measure (leverage payer-supplied lists).</w:t>
      </w:r>
    </w:p>
    <w:p>
      <w:pPr>
        <w:pStyle w:val="ListBullet"/>
        <w:spacing w:after="60"/>
        <w:ind w:left="360"/>
      </w:pPr>
      <w:r>
        <w:t>Enterprise-grade CDI software (not needed at year-one scale).</w:t>
      </w:r>
    </w:p>
    <w:p>
      <w:pPr>
        <w:spacing w:before="320" w:after="120"/>
      </w:pPr>
      <w:r>
        <w:rPr>
          <w:b/>
          <w:color w:val="0F6E6E"/>
          <w:sz w:val="32"/>
        </w:rPr>
        <w:t>4. 12-month milestones by quarter</w:t>
      </w:r>
    </w:p>
    <w:tbl>
      <w:tblPr>
        <w:tblW w:type="auto" w:w="0"/>
        <w:tblLayout w:type="fixed"/>
        <w:tblLook w:firstColumn="1" w:firstRow="1" w:lastColumn="0" w:lastRow="0" w:noHBand="0" w:noVBand="1" w:val="04A0"/>
      </w:tblPr>
      <w:tblGrid>
        <w:gridCol w:w="3324"/>
        <w:gridCol w:w="3324"/>
        <w:gridCol w:w="3324"/>
      </w:tblGrid>
      <w:tr>
        <w:tc>
          <w:tcPr>
            <w:tcW w:type="dxa" w:w="2304"/>
            <w:shd w:fill="0F6E6E"/>
          </w:tcPr>
          <w:p>
            <w:r>
              <w:rPr>
                <w:b/>
                <w:color w:val="FFFFFF"/>
              </w:rPr>
              <w:t>Quarter</w:t>
            </w:r>
          </w:p>
        </w:tc>
        <w:tc>
          <w:tcPr>
            <w:tcW w:type="dxa" w:w="2304"/>
            <w:shd w:fill="0F6E6E"/>
          </w:tcPr>
          <w:p>
            <w:r>
              <w:rPr>
                <w:b/>
                <w:color w:val="FFFFFF"/>
              </w:rPr>
              <w:t>Focus</w:t>
            </w:r>
          </w:p>
        </w:tc>
        <w:tc>
          <w:tcPr>
            <w:tcW w:type="dxa" w:w="4464"/>
            <w:shd w:fill="0F6E6E"/>
          </w:tcPr>
          <w:p>
            <w:r>
              <w:rPr>
                <w:b/>
                <w:color w:val="FFFFFF"/>
              </w:rPr>
              <w:t>Key milestones</w:t>
            </w:r>
          </w:p>
        </w:tc>
      </w:tr>
      <w:tr>
        <w:tc>
          <w:tcPr>
            <w:tcW w:type="dxa" w:w="2304"/>
          </w:tcPr>
          <w:p>
            <w:r>
              <w:t>Q1  (months 1–3)</w:t>
            </w:r>
          </w:p>
        </w:tc>
        <w:tc>
          <w:tcPr>
            <w:tcW w:type="dxa" w:w="2304"/>
          </w:tcPr>
          <w:p>
            <w:r>
              <w:t>Baseline &amp; rhythm</w:t>
            </w:r>
          </w:p>
        </w:tc>
        <w:tc>
          <w:tcPr>
            <w:tcW w:type="dxa" w:w="4464"/>
          </w:tcPr>
          <w:p>
            <w:r>
              <w:t>Audit 3 providers monthly · document baseline compliance · complete first quarterly report · publish provider feedback template.</w:t>
            </w:r>
          </w:p>
        </w:tc>
      </w:tr>
      <w:tr>
        <w:tc>
          <w:tcPr>
            <w:tcW w:type="dxa" w:w="2304"/>
            <w:shd w:fill="F1F8F7"/>
          </w:tcPr>
          <w:p>
            <w:r>
              <w:t>Q2  (months 4–6)</w:t>
            </w:r>
          </w:p>
        </w:tc>
        <w:tc>
          <w:tcPr>
            <w:tcW w:type="dxa" w:w="2304"/>
            <w:shd w:fill="F1F8F7"/>
          </w:tcPr>
          <w:p>
            <w:r>
              <w:t>Expand &amp; prove value</w:t>
            </w:r>
          </w:p>
        </w:tc>
        <w:tc>
          <w:tcPr>
            <w:tcW w:type="dxa" w:w="4464"/>
            <w:shd w:fill="F1F8F7"/>
          </w:tcPr>
          <w:p>
            <w:r>
              <w:t>Add 2 providers to audit rotation (5 total) · begin formal HCC recapture list · deliver first quarterly education session · build business case for first hire.</w:t>
            </w:r>
          </w:p>
        </w:tc>
      </w:tr>
      <w:tr>
        <w:tc>
          <w:tcPr>
            <w:tcW w:type="dxa" w:w="2304"/>
          </w:tcPr>
          <w:p>
            <w:r>
              <w:t>Q3  (months 7–9)</w:t>
            </w:r>
          </w:p>
        </w:tc>
        <w:tc>
          <w:tcPr>
            <w:tcW w:type="dxa" w:w="2304"/>
          </w:tcPr>
          <w:p>
            <w:r>
              <w:t>Deepen impact</w:t>
            </w:r>
          </w:p>
        </w:tc>
        <w:tc>
          <w:tcPr>
            <w:tcW w:type="dxa" w:w="4464"/>
          </w:tcPr>
          <w:p>
            <w:r>
              <w:t>Add HEDIS/CPT II gap review as recurring monthly work · publish provider trends year-to-date · target 90% audit completion rate · draft policies &amp; procedures manual.</w:t>
            </w:r>
          </w:p>
        </w:tc>
      </w:tr>
      <w:tr>
        <w:tc>
          <w:tcPr>
            <w:tcW w:type="dxa" w:w="2304"/>
            <w:shd w:fill="F1F8F7"/>
          </w:tcPr>
          <w:p>
            <w:r>
              <w:t>Q4  (months 10–12)</w:t>
            </w:r>
          </w:p>
        </w:tc>
        <w:tc>
          <w:tcPr>
            <w:tcW w:type="dxa" w:w="2304"/>
            <w:shd w:fill="F1F8F7"/>
          </w:tcPr>
          <w:p>
            <w:r>
              <w:t>Formalize &amp; scale</w:t>
            </w:r>
          </w:p>
        </w:tc>
        <w:tc>
          <w:tcPr>
            <w:tcW w:type="dxa" w:w="4464"/>
            <w:shd w:fill="F1F8F7"/>
          </w:tcPr>
          <w:p>
            <w:r>
              <w:t>Deliver 12-month program report to leadership · present hiring proposal · finalize year-2 plan · establish compliance committee liaison cadence.</w:t>
            </w:r>
          </w:p>
        </w:tc>
      </w:tr>
    </w:tbl>
    <w:p>
      <w:pPr>
        <w:spacing w:before="320" w:after="120"/>
      </w:pPr>
      <w:r>
        <w:rPr>
          <w:b/>
          <w:color w:val="0F6E6E"/>
          <w:sz w:val="32"/>
        </w:rPr>
        <w:t>5. Weekly schedule · typical week (40 hours)</w:t>
      </w:r>
    </w:p>
    <w:tbl>
      <w:tblPr>
        <w:tblW w:type="auto" w:w="0"/>
        <w:tblLayout w:type="fixed"/>
        <w:tblLook w:firstColumn="1" w:firstRow="1" w:lastColumn="0" w:lastRow="0" w:noHBand="0" w:noVBand="1" w:val="04A0"/>
      </w:tblPr>
      <w:tblGrid>
        <w:gridCol w:w="3324"/>
        <w:gridCol w:w="3324"/>
        <w:gridCol w:w="3324"/>
      </w:tblGrid>
      <w:tr>
        <w:tc>
          <w:tcPr>
            <w:tcW w:type="dxa" w:w="1440"/>
            <w:shd w:fill="0F6E6E"/>
          </w:tcPr>
          <w:p>
            <w:r>
              <w:rPr>
                <w:b/>
                <w:color w:val="FFFFFF"/>
              </w:rPr>
              <w:t>Day</w:t>
            </w:r>
          </w:p>
        </w:tc>
        <w:tc>
          <w:tcPr>
            <w:tcW w:type="dxa" w:w="2592"/>
            <w:shd w:fill="0F6E6E"/>
          </w:tcPr>
          <w:p>
            <w:r>
              <w:rPr>
                <w:b/>
                <w:color w:val="FFFFFF"/>
              </w:rPr>
              <w:t>Focus</w:t>
            </w:r>
          </w:p>
        </w:tc>
        <w:tc>
          <w:tcPr>
            <w:tcW w:type="dxa" w:w="5040"/>
            <w:shd w:fill="0F6E6E"/>
          </w:tcPr>
          <w:p>
            <w:r>
              <w:rPr>
                <w:b/>
                <w:color w:val="FFFFFF"/>
              </w:rPr>
              <w:t>Activities</w:t>
            </w:r>
          </w:p>
        </w:tc>
      </w:tr>
      <w:tr>
        <w:tc>
          <w:tcPr>
            <w:tcW w:type="dxa" w:w="1440"/>
          </w:tcPr>
          <w:p>
            <w:r>
              <w:t>Monday</w:t>
            </w:r>
          </w:p>
        </w:tc>
        <w:tc>
          <w:tcPr>
            <w:tcW w:type="dxa" w:w="2592"/>
          </w:tcPr>
          <w:p>
            <w:r>
              <w:t>Audit block</w:t>
            </w:r>
          </w:p>
        </w:tc>
        <w:tc>
          <w:tcPr>
            <w:tcW w:type="dxa" w:w="5040"/>
          </w:tcPr>
          <w:p>
            <w:r>
              <w:t>Chart audit (3–4 charts) · morning of prior-month encounters.</w:t>
            </w:r>
          </w:p>
        </w:tc>
      </w:tr>
      <w:tr>
        <w:tc>
          <w:tcPr>
            <w:tcW w:type="dxa" w:w="1440"/>
            <w:shd w:fill="F1F8F7"/>
          </w:tcPr>
          <w:p>
            <w:r>
              <w:t>Tuesday</w:t>
            </w:r>
          </w:p>
        </w:tc>
        <w:tc>
          <w:tcPr>
            <w:tcW w:type="dxa" w:w="2592"/>
            <w:shd w:fill="F1F8F7"/>
          </w:tcPr>
          <w:p>
            <w:r>
              <w:t>Audit + HCC review</w:t>
            </w:r>
          </w:p>
        </w:tc>
        <w:tc>
          <w:tcPr>
            <w:tcW w:type="dxa" w:w="5040"/>
            <w:shd w:fill="F1F8F7"/>
          </w:tcPr>
          <w:p>
            <w:r>
              <w:t>2 charts · HCC recapture list for MA panel · queries drafted.</w:t>
            </w:r>
          </w:p>
        </w:tc>
      </w:tr>
      <w:tr>
        <w:tc>
          <w:tcPr>
            <w:tcW w:type="dxa" w:w="1440"/>
          </w:tcPr>
          <w:p>
            <w:r>
              <w:t>Wednesday</w:t>
            </w:r>
          </w:p>
        </w:tc>
        <w:tc>
          <w:tcPr>
            <w:tcW w:type="dxa" w:w="2592"/>
          </w:tcPr>
          <w:p>
            <w:r>
              <w:t>HEDIS / quality measures</w:t>
            </w:r>
          </w:p>
        </w:tc>
        <w:tc>
          <w:tcPr>
            <w:tcW w:type="dxa" w:w="5040"/>
          </w:tcPr>
          <w:p>
            <w:r>
              <w:t>CPT II gap review · payer portal work · provider queries.</w:t>
            </w:r>
          </w:p>
        </w:tc>
      </w:tr>
      <w:tr>
        <w:tc>
          <w:tcPr>
            <w:tcW w:type="dxa" w:w="1440"/>
            <w:shd w:fill="F1F8F7"/>
          </w:tcPr>
          <w:p>
            <w:r>
              <w:t>Thursday</w:t>
            </w:r>
          </w:p>
        </w:tc>
        <w:tc>
          <w:tcPr>
            <w:tcW w:type="dxa" w:w="2592"/>
            <w:shd w:fill="F1F8F7"/>
          </w:tcPr>
          <w:p>
            <w:r>
              <w:t>Audit + provider follow-up</w:t>
            </w:r>
          </w:p>
        </w:tc>
        <w:tc>
          <w:tcPr>
            <w:tcW w:type="dxa" w:w="5040"/>
            <w:shd w:fill="F1F8F7"/>
          </w:tcPr>
          <w:p>
            <w:r>
              <w:t>2 charts · deliver monthly scorecards · 1-on-1 with any provider in Corrective band.</w:t>
            </w:r>
          </w:p>
        </w:tc>
      </w:tr>
      <w:tr>
        <w:tc>
          <w:tcPr>
            <w:tcW w:type="dxa" w:w="1440"/>
          </w:tcPr>
          <w:p>
            <w:r>
              <w:t>Friday</w:t>
            </w:r>
          </w:p>
        </w:tc>
        <w:tc>
          <w:tcPr>
            <w:tcW w:type="dxa" w:w="2592"/>
          </w:tcPr>
          <w:p>
            <w:r>
              <w:t>Admin, reporting, education</w:t>
            </w:r>
          </w:p>
        </w:tc>
        <w:tc>
          <w:tcPr>
            <w:tcW w:type="dxa" w:w="5040"/>
          </w:tcPr>
          <w:p>
            <w:r>
              <w:t>Update logs · draft provider tip of the month · leadership check-in · buffer for anything spilling over.</w:t>
            </w:r>
          </w:p>
        </w:tc>
      </w:tr>
    </w:tbl>
    <w:p>
      <w:r>
        <w:t>Time allocation across the week:</w:t>
      </w:r>
    </w:p>
    <w:tbl>
      <w:tblPr>
        <w:tblW w:type="auto" w:w="0"/>
        <w:tblLayout w:type="fixed"/>
        <w:tblLook w:firstColumn="1" w:firstRow="1" w:lastColumn="0" w:lastRow="0" w:noHBand="0" w:noVBand="1" w:val="04A0"/>
      </w:tblPr>
      <w:tblGrid>
        <w:gridCol w:w="4986"/>
        <w:gridCol w:w="4986"/>
      </w:tblGrid>
      <w:tr>
        <w:tc>
          <w:tcPr>
            <w:tcW w:type="dxa" w:w="2448"/>
            <w:shd w:fill="E6F4F1"/>
            <w:vAlign w:val="center"/>
          </w:tcPr>
          <w:p>
            <w:r>
              <w:rPr>
                <w:b/>
              </w:rPr>
              <w:t>Chart audit + queries</w:t>
            </w:r>
          </w:p>
        </w:tc>
        <w:tc>
          <w:tcPr>
            <w:tcW w:type="dxa" w:w="6480"/>
            <w:vAlign w:val="center"/>
          </w:tcPr>
          <w:p>
            <w:r>
              <w:t>~15 hours (37%)</w:t>
            </w:r>
          </w:p>
        </w:tc>
      </w:tr>
      <w:tr>
        <w:tc>
          <w:tcPr>
            <w:tcW w:type="dxa" w:w="2448"/>
            <w:shd w:fill="E6F4F1"/>
            <w:vAlign w:val="center"/>
          </w:tcPr>
          <w:p>
            <w:r>
              <w:rPr>
                <w:b/>
              </w:rPr>
              <w:t>HCC recapture review</w:t>
            </w:r>
          </w:p>
        </w:tc>
        <w:tc>
          <w:tcPr>
            <w:tcW w:type="dxa" w:w="6480"/>
            <w:vAlign w:val="center"/>
          </w:tcPr>
          <w:p>
            <w:r>
              <w:t>~6 hours (15%)</w:t>
            </w:r>
          </w:p>
        </w:tc>
      </w:tr>
      <w:tr>
        <w:tc>
          <w:tcPr>
            <w:tcW w:type="dxa" w:w="2448"/>
            <w:shd w:fill="E6F4F1"/>
            <w:vAlign w:val="center"/>
          </w:tcPr>
          <w:p>
            <w:r>
              <w:rPr>
                <w:b/>
              </w:rPr>
              <w:t>HEDIS / CPT II gap review</w:t>
            </w:r>
          </w:p>
        </w:tc>
        <w:tc>
          <w:tcPr>
            <w:tcW w:type="dxa" w:w="6480"/>
            <w:vAlign w:val="center"/>
          </w:tcPr>
          <w:p>
            <w:r>
              <w:t>~5 hours (13%)</w:t>
            </w:r>
          </w:p>
        </w:tc>
      </w:tr>
      <w:tr>
        <w:tc>
          <w:tcPr>
            <w:tcW w:type="dxa" w:w="2448"/>
            <w:shd w:fill="E6F4F1"/>
            <w:vAlign w:val="center"/>
          </w:tcPr>
          <w:p>
            <w:r>
              <w:rPr>
                <w:b/>
              </w:rPr>
              <w:t>Provider education &amp; feedback</w:t>
            </w:r>
          </w:p>
        </w:tc>
        <w:tc>
          <w:tcPr>
            <w:tcW w:type="dxa" w:w="6480"/>
            <w:vAlign w:val="center"/>
          </w:tcPr>
          <w:p>
            <w:r>
              <w:t>~5 hours (13%)</w:t>
            </w:r>
          </w:p>
        </w:tc>
      </w:tr>
      <w:tr>
        <w:tc>
          <w:tcPr>
            <w:tcW w:type="dxa" w:w="2448"/>
            <w:shd w:fill="E6F4F1"/>
            <w:vAlign w:val="center"/>
          </w:tcPr>
          <w:p>
            <w:r>
              <w:rPr>
                <w:b/>
              </w:rPr>
              <w:t>Reporting, admin, meetings</w:t>
            </w:r>
          </w:p>
        </w:tc>
        <w:tc>
          <w:tcPr>
            <w:tcW w:type="dxa" w:w="6480"/>
            <w:vAlign w:val="center"/>
          </w:tcPr>
          <w:p>
            <w:r>
              <w:t>~6 hours (15%)</w:t>
            </w:r>
          </w:p>
        </w:tc>
      </w:tr>
      <w:tr>
        <w:tc>
          <w:tcPr>
            <w:tcW w:type="dxa" w:w="2448"/>
            <w:shd w:fill="E6F4F1"/>
            <w:vAlign w:val="center"/>
          </w:tcPr>
          <w:p>
            <w:r>
              <w:rPr>
                <w:b/>
              </w:rPr>
              <w:t>Buffer / catch-up</w:t>
            </w:r>
          </w:p>
        </w:tc>
        <w:tc>
          <w:tcPr>
            <w:tcW w:type="dxa" w:w="6480"/>
            <w:vAlign w:val="center"/>
          </w:tcPr>
          <w:p>
            <w:r>
              <w:t>~3 hours (7%)</w:t>
            </w:r>
          </w:p>
        </w:tc>
      </w:tr>
    </w:tbl>
    <w:p>
      <w:pPr>
        <w:spacing w:before="320" w:after="120"/>
      </w:pPr>
      <w:r>
        <w:rPr>
          <w:b/>
          <w:color w:val="0F6E6E"/>
          <w:sz w:val="32"/>
        </w:rPr>
        <w:t>6. Monthly rhythm</w:t>
      </w:r>
    </w:p>
    <w:tbl>
      <w:tblPr>
        <w:tblW w:type="auto" w:w="0"/>
        <w:tblLayout w:type="fixed"/>
        <w:tblLook w:firstColumn="1" w:firstRow="1" w:lastColumn="0" w:lastRow="0" w:noHBand="0" w:noVBand="1" w:val="04A0"/>
      </w:tblPr>
      <w:tblGrid>
        <w:gridCol w:w="4986"/>
        <w:gridCol w:w="4986"/>
      </w:tblGrid>
      <w:tr>
        <w:tc>
          <w:tcPr>
            <w:tcW w:type="dxa" w:w="2880"/>
            <w:shd w:fill="0F6E6E"/>
          </w:tcPr>
          <w:p>
            <w:r>
              <w:rPr>
                <w:b/>
                <w:color w:val="FFFFFF"/>
              </w:rPr>
              <w:t>Days of the month</w:t>
            </w:r>
          </w:p>
        </w:tc>
        <w:tc>
          <w:tcPr>
            <w:tcW w:type="dxa" w:w="6192"/>
            <w:shd w:fill="0F6E6E"/>
          </w:tcPr>
          <w:p>
            <w:r>
              <w:rPr>
                <w:b/>
                <w:color w:val="FFFFFF"/>
              </w:rPr>
              <w:t>What happens</w:t>
            </w:r>
          </w:p>
        </w:tc>
      </w:tr>
      <w:tr>
        <w:tc>
          <w:tcPr>
            <w:tcW w:type="dxa" w:w="2880"/>
          </w:tcPr>
          <w:p>
            <w:r>
              <w:t>Days 1–4</w:t>
            </w:r>
          </w:p>
        </w:tc>
        <w:tc>
          <w:tcPr>
            <w:tcW w:type="dxa" w:w="6192"/>
          </w:tcPr>
          <w:p>
            <w:r>
              <w:t>Wait for providers to finalize prior-month notes (timely-completion window).</w:t>
            </w:r>
          </w:p>
        </w:tc>
      </w:tr>
      <w:tr>
        <w:tc>
          <w:tcPr>
            <w:tcW w:type="dxa" w:w="2880"/>
            <w:shd w:fill="F1F8F7"/>
          </w:tcPr>
          <w:p>
            <w:r>
              <w:t>Days 5–15</w:t>
            </w:r>
          </w:p>
        </w:tc>
        <w:tc>
          <w:tcPr>
            <w:tcW w:type="dxa" w:w="6192"/>
            <w:shd w:fill="F1F8F7"/>
          </w:tcPr>
          <w:p>
            <w:r>
              <w:t>Monthly audit for prior-month encounters (10 charts × active providers).</w:t>
            </w:r>
          </w:p>
        </w:tc>
      </w:tr>
      <w:tr>
        <w:tc>
          <w:tcPr>
            <w:tcW w:type="dxa" w:w="2880"/>
          </w:tcPr>
          <w:p>
            <w:r>
              <w:t>Days 15–20</w:t>
            </w:r>
          </w:p>
        </w:tc>
        <w:tc>
          <w:tcPr>
            <w:tcW w:type="dxa" w:w="6192"/>
          </w:tcPr>
          <w:p>
            <w:r>
              <w:t>Provider scorecards sent · corrective actions logged · 1-on-1s scheduled.</w:t>
            </w:r>
          </w:p>
        </w:tc>
      </w:tr>
      <w:tr>
        <w:tc>
          <w:tcPr>
            <w:tcW w:type="dxa" w:w="2880"/>
            <w:shd w:fill="F1F8F7"/>
          </w:tcPr>
          <w:p>
            <w:r>
              <w:t>Days 20–25</w:t>
            </w:r>
          </w:p>
        </w:tc>
        <w:tc>
          <w:tcPr>
            <w:tcW w:type="dxa" w:w="6192"/>
            <w:shd w:fill="F1F8F7"/>
          </w:tcPr>
          <w:p>
            <w:r>
              <w:t>HCC recapture list refreshed · HEDIS gap list refreshed · queries closed out.</w:t>
            </w:r>
          </w:p>
        </w:tc>
      </w:tr>
      <w:tr>
        <w:tc>
          <w:tcPr>
            <w:tcW w:type="dxa" w:w="2880"/>
          </w:tcPr>
          <w:p>
            <w:r>
              <w:t>Days 25–28</w:t>
            </w:r>
          </w:p>
        </w:tc>
        <w:tc>
          <w:tcPr>
            <w:tcW w:type="dxa" w:w="6192"/>
          </w:tcPr>
          <w:p>
            <w:r>
              <w:t>Monthly leadership summary email · department metrics updated.</w:t>
            </w:r>
          </w:p>
        </w:tc>
      </w:tr>
      <w:tr>
        <w:tc>
          <w:tcPr>
            <w:tcW w:type="dxa" w:w="2880"/>
            <w:shd w:fill="F1F8F7"/>
          </w:tcPr>
          <w:p>
            <w:r>
              <w:t>End of quarter (Mar / Jun / Sep / Dec)</w:t>
            </w:r>
          </w:p>
        </w:tc>
        <w:tc>
          <w:tcPr>
            <w:tcW w:type="dxa" w:w="6192"/>
            <w:shd w:fill="F1F8F7"/>
          </w:tcPr>
          <w:p>
            <w:r>
              <w:t>Full Quarterly Report delivered · quarterly provider education session.</w:t>
            </w:r>
          </w:p>
        </w:tc>
      </w:tr>
    </w:tbl>
    <w:p>
      <w:pPr>
        <w:spacing w:before="320" w:after="120"/>
      </w:pPr>
      <w:r>
        <w:rPr>
          <w:b/>
          <w:color w:val="0F6E6E"/>
          <w:sz w:val="32"/>
        </w:rPr>
        <w:t>7. Month-by-month plan</w:t>
      </w:r>
    </w:p>
    <w:tbl>
      <w:tblPr>
        <w:tblW w:type="auto" w:w="0"/>
        <w:tblLayout w:type="fixed"/>
        <w:tblLook w:firstColumn="1" w:firstRow="1" w:lastColumn="0" w:lastRow="0" w:noHBand="0" w:noVBand="1" w:val="04A0"/>
      </w:tblPr>
      <w:tblGrid>
        <w:gridCol w:w="3324"/>
        <w:gridCol w:w="3324"/>
        <w:gridCol w:w="3324"/>
      </w:tblGrid>
      <w:tr>
        <w:tc>
          <w:tcPr>
            <w:tcW w:type="dxa" w:w="1296"/>
            <w:shd w:fill="0F6E6E"/>
          </w:tcPr>
          <w:p>
            <w:r>
              <w:rPr>
                <w:b/>
                <w:color w:val="FFFFFF"/>
              </w:rPr>
              <w:t>Month</w:t>
            </w:r>
          </w:p>
        </w:tc>
        <w:tc>
          <w:tcPr>
            <w:tcW w:type="dxa" w:w="2736"/>
            <w:shd w:fill="0F6E6E"/>
          </w:tcPr>
          <w:p>
            <w:r>
              <w:rPr>
                <w:b/>
                <w:color w:val="FFFFFF"/>
              </w:rPr>
              <w:t>Focus</w:t>
            </w:r>
          </w:p>
        </w:tc>
        <w:tc>
          <w:tcPr>
            <w:tcW w:type="dxa" w:w="5040"/>
            <w:shd w:fill="0F6E6E"/>
          </w:tcPr>
          <w:p>
            <w:r>
              <w:rPr>
                <w:b/>
                <w:color w:val="FFFFFF"/>
              </w:rPr>
              <w:t>Deliverables</w:t>
            </w:r>
          </w:p>
        </w:tc>
      </w:tr>
      <w:tr>
        <w:tc>
          <w:tcPr>
            <w:tcW w:type="dxa" w:w="1296"/>
          </w:tcPr>
          <w:p>
            <w:r>
              <w:t>Month 1</w:t>
            </w:r>
          </w:p>
        </w:tc>
        <w:tc>
          <w:tcPr>
            <w:tcW w:type="dxa" w:w="2736"/>
          </w:tcPr>
          <w:p>
            <w:r>
              <w:t>Kickoff</w:t>
            </w:r>
          </w:p>
        </w:tc>
        <w:tc>
          <w:tcPr>
            <w:tcW w:type="dxa" w:w="5040"/>
          </w:tcPr>
          <w:p>
            <w:r>
              <w:t>Kickoff meeting with leadership · confirm reporting line · finalize workbook · confirm first 3 providers · baseline audit complete.</w:t>
            </w:r>
          </w:p>
        </w:tc>
      </w:tr>
      <w:tr>
        <w:tc>
          <w:tcPr>
            <w:tcW w:type="dxa" w:w="1296"/>
            <w:shd w:fill="F1F8F7"/>
          </w:tcPr>
          <w:p>
            <w:r>
              <w:t>Month 2</w:t>
            </w:r>
          </w:p>
        </w:tc>
        <w:tc>
          <w:tcPr>
            <w:tcW w:type="dxa" w:w="2736"/>
            <w:shd w:fill="F1F8F7"/>
          </w:tcPr>
          <w:p>
            <w:r>
              <w:t>First rhythm</w:t>
            </w:r>
          </w:p>
        </w:tc>
        <w:tc>
          <w:tcPr>
            <w:tcW w:type="dxa" w:w="5040"/>
            <w:shd w:fill="F1F8F7"/>
          </w:tcPr>
          <w:p>
            <w:r>
              <w:t>Second audit cycle · first provider scorecards delivered · first monthly leadership summary.</w:t>
            </w:r>
          </w:p>
        </w:tc>
      </w:tr>
      <w:tr>
        <w:tc>
          <w:tcPr>
            <w:tcW w:type="dxa" w:w="1296"/>
          </w:tcPr>
          <w:p>
            <w:r>
              <w:t>Month 3</w:t>
            </w:r>
          </w:p>
        </w:tc>
        <w:tc>
          <w:tcPr>
            <w:tcW w:type="dxa" w:w="2736"/>
          </w:tcPr>
          <w:p>
            <w:r>
              <w:t>First quarterly report</w:t>
            </w:r>
          </w:p>
        </w:tc>
        <w:tc>
          <w:tcPr>
            <w:tcW w:type="dxa" w:w="5040"/>
          </w:tcPr>
          <w:p>
            <w:r>
              <w:t>Q1 report to leadership (baseline compliance %, top deficiencies, provider bands, HCC/HEDIS opportunities identified).</w:t>
            </w:r>
          </w:p>
        </w:tc>
      </w:tr>
      <w:tr>
        <w:tc>
          <w:tcPr>
            <w:tcW w:type="dxa" w:w="1296"/>
            <w:shd w:fill="F1F8F7"/>
          </w:tcPr>
          <w:p>
            <w:r>
              <w:t>Month 4</w:t>
            </w:r>
          </w:p>
        </w:tc>
        <w:tc>
          <w:tcPr>
            <w:tcW w:type="dxa" w:w="2736"/>
            <w:shd w:fill="F1F8F7"/>
          </w:tcPr>
          <w:p>
            <w:r>
              <w:t>Add HCC review</w:t>
            </w:r>
          </w:p>
        </w:tc>
        <w:tc>
          <w:tcPr>
            <w:tcW w:type="dxa" w:w="5040"/>
            <w:shd w:fill="F1F8F7"/>
          </w:tcPr>
          <w:p>
            <w:r>
              <w:t>Start formal HCC recapture on MA panel using payer portal lists · document process in writing.</w:t>
            </w:r>
          </w:p>
        </w:tc>
      </w:tr>
      <w:tr>
        <w:tc>
          <w:tcPr>
            <w:tcW w:type="dxa" w:w="1296"/>
          </w:tcPr>
          <w:p>
            <w:r>
              <w:t>Month 5</w:t>
            </w:r>
          </w:p>
        </w:tc>
        <w:tc>
          <w:tcPr>
            <w:tcW w:type="dxa" w:w="2736"/>
          </w:tcPr>
          <w:p>
            <w:r>
              <w:t>Expand audit rotation</w:t>
            </w:r>
          </w:p>
        </w:tc>
        <w:tc>
          <w:tcPr>
            <w:tcW w:type="dxa" w:w="5040"/>
          </w:tcPr>
          <w:p>
            <w:r>
              <w:t>Add 2 more providers to monthly audit (total 5) · publish provider-education tip #1.</w:t>
            </w:r>
          </w:p>
        </w:tc>
      </w:tr>
      <w:tr>
        <w:tc>
          <w:tcPr>
            <w:tcW w:type="dxa" w:w="1296"/>
            <w:shd w:fill="F1F8F7"/>
          </w:tcPr>
          <w:p>
            <w:r>
              <w:t>Month 6</w:t>
            </w:r>
          </w:p>
        </w:tc>
        <w:tc>
          <w:tcPr>
            <w:tcW w:type="dxa" w:w="2736"/>
            <w:shd w:fill="F1F8F7"/>
          </w:tcPr>
          <w:p>
            <w:r>
              <w:t>Six-month review</w:t>
            </w:r>
          </w:p>
        </w:tc>
        <w:tc>
          <w:tcPr>
            <w:tcW w:type="dxa" w:w="5040"/>
            <w:shd w:fill="F1F8F7"/>
          </w:tcPr>
          <w:p>
            <w:r>
              <w:t>Half-year report with measurable wins · draft hiring business case for CRC (Certified Risk Adjustment Coder).</w:t>
            </w:r>
          </w:p>
        </w:tc>
      </w:tr>
      <w:tr>
        <w:tc>
          <w:tcPr>
            <w:tcW w:type="dxa" w:w="1296"/>
          </w:tcPr>
          <w:p>
            <w:r>
              <w:t>Month 7</w:t>
            </w:r>
          </w:p>
        </w:tc>
        <w:tc>
          <w:tcPr>
            <w:tcW w:type="dxa" w:w="2736"/>
          </w:tcPr>
          <w:p>
            <w:r>
              <w:t>Add HEDIS gap review</w:t>
            </w:r>
          </w:p>
        </w:tc>
        <w:tc>
          <w:tcPr>
            <w:tcW w:type="dxa" w:w="5040"/>
          </w:tcPr>
          <w:p>
            <w:r>
              <w:t>Start monthly HEDIS/CPT II documentation gap review, top 3 measures · continue audit + HCC work.</w:t>
            </w:r>
          </w:p>
        </w:tc>
      </w:tr>
      <w:tr>
        <w:tc>
          <w:tcPr>
            <w:tcW w:type="dxa" w:w="1296"/>
            <w:shd w:fill="F1F8F7"/>
          </w:tcPr>
          <w:p>
            <w:r>
              <w:t>Month 8</w:t>
            </w:r>
          </w:p>
        </w:tc>
        <w:tc>
          <w:tcPr>
            <w:tcW w:type="dxa" w:w="2736"/>
            <w:shd w:fill="F1F8F7"/>
          </w:tcPr>
          <w:p>
            <w:r>
              <w:t>Quarterly education session #2</w:t>
            </w:r>
          </w:p>
        </w:tc>
        <w:tc>
          <w:tcPr>
            <w:tcW w:type="dxa" w:w="5040"/>
            <w:shd w:fill="F1F8F7"/>
          </w:tcPr>
          <w:p>
            <w:r>
              <w:t>30-min group provider session on top 2 documentation gaps YTD.</w:t>
            </w:r>
          </w:p>
        </w:tc>
      </w:tr>
      <w:tr>
        <w:tc>
          <w:tcPr>
            <w:tcW w:type="dxa" w:w="1296"/>
          </w:tcPr>
          <w:p>
            <w:r>
              <w:t>Month 9</w:t>
            </w:r>
          </w:p>
        </w:tc>
        <w:tc>
          <w:tcPr>
            <w:tcW w:type="dxa" w:w="2736"/>
          </w:tcPr>
          <w:p>
            <w:r>
              <w:t>Q3 report</w:t>
            </w:r>
          </w:p>
        </w:tc>
        <w:tc>
          <w:tcPr>
            <w:tcW w:type="dxa" w:w="5040"/>
          </w:tcPr>
          <w:p>
            <w:r>
              <w:t>Q3 report · updated hiring proposal with 6-month ROI data · policies/procedures draft complete.</w:t>
            </w:r>
          </w:p>
        </w:tc>
      </w:tr>
      <w:tr>
        <w:tc>
          <w:tcPr>
            <w:tcW w:type="dxa" w:w="1296"/>
            <w:shd w:fill="F1F8F7"/>
          </w:tcPr>
          <w:p>
            <w:r>
              <w:t>Month 10</w:t>
            </w:r>
          </w:p>
        </w:tc>
        <w:tc>
          <w:tcPr>
            <w:tcW w:type="dxa" w:w="2736"/>
            <w:shd w:fill="F1F8F7"/>
          </w:tcPr>
          <w:p>
            <w:r>
              <w:t>Compliance liaison</w:t>
            </w:r>
          </w:p>
        </w:tc>
        <w:tc>
          <w:tcPr>
            <w:tcW w:type="dxa" w:w="5040"/>
            <w:shd w:fill="F1F8F7"/>
          </w:tcPr>
          <w:p>
            <w:r>
              <w:t>Formal cadence with compliance committee established · audit function officially recognized as element #4 of OIG program.</w:t>
            </w:r>
          </w:p>
        </w:tc>
      </w:tr>
      <w:tr>
        <w:tc>
          <w:tcPr>
            <w:tcW w:type="dxa" w:w="1296"/>
          </w:tcPr>
          <w:p>
            <w:r>
              <w:t>Month 11</w:t>
            </w:r>
          </w:p>
        </w:tc>
        <w:tc>
          <w:tcPr>
            <w:tcW w:type="dxa" w:w="2736"/>
          </w:tcPr>
          <w:p>
            <w:r>
              <w:t>Year-2 plan</w:t>
            </w:r>
          </w:p>
        </w:tc>
        <w:tc>
          <w:tcPr>
            <w:tcW w:type="dxa" w:w="5040"/>
          </w:tcPr>
          <w:p>
            <w:r>
              <w:t>Draft year-2 plan · define first-hire onboarding path · document all recurring processes.</w:t>
            </w:r>
          </w:p>
        </w:tc>
      </w:tr>
      <w:tr>
        <w:tc>
          <w:tcPr>
            <w:tcW w:type="dxa" w:w="1296"/>
            <w:shd w:fill="F1F8F7"/>
          </w:tcPr>
          <w:p>
            <w:r>
              <w:t>Month 12</w:t>
            </w:r>
          </w:p>
        </w:tc>
        <w:tc>
          <w:tcPr>
            <w:tcW w:type="dxa" w:w="2736"/>
            <w:shd w:fill="F1F8F7"/>
          </w:tcPr>
          <w:p>
            <w:r>
              <w:t>Annual report</w:t>
            </w:r>
          </w:p>
        </w:tc>
        <w:tc>
          <w:tcPr>
            <w:tcW w:type="dxa" w:w="5040"/>
            <w:shd w:fill="F1F8F7"/>
          </w:tcPr>
          <w:p>
            <w:r>
              <w:t>Full 12-month program report to leadership · KPI trends · dollar impact · headcount ask · year-2 roadmap.</w:t>
            </w:r>
          </w:p>
        </w:tc>
      </w:tr>
    </w:tbl>
    <w:p>
      <w:pPr>
        <w:spacing w:before="320" w:after="120"/>
      </w:pPr>
      <w:r>
        <w:rPr>
          <w:b/>
          <w:color w:val="0F6E6E"/>
          <w:sz w:val="32"/>
        </w:rPr>
        <w:t>8. KPIs · what leadership will see</w:t>
      </w:r>
    </w:p>
    <w:tbl>
      <w:tblPr>
        <w:tblW w:type="auto" w:w="0"/>
        <w:tblLayout w:type="fixed"/>
        <w:tblLook w:firstColumn="1" w:firstRow="1" w:lastColumn="0" w:lastRow="0" w:noHBand="0" w:noVBand="1" w:val="04A0"/>
      </w:tblPr>
      <w:tblGrid>
        <w:gridCol w:w="2493"/>
        <w:gridCol w:w="2493"/>
        <w:gridCol w:w="2493"/>
        <w:gridCol w:w="2493"/>
      </w:tblGrid>
      <w:tr>
        <w:tc>
          <w:tcPr>
            <w:tcW w:type="dxa" w:w="4320"/>
            <w:shd w:fill="0F6E6E"/>
          </w:tcPr>
          <w:p>
            <w:r>
              <w:rPr>
                <w:b/>
                <w:color w:val="FFFFFF"/>
              </w:rPr>
              <w:t>Metric</w:t>
            </w:r>
          </w:p>
        </w:tc>
        <w:tc>
          <w:tcPr>
            <w:tcW w:type="dxa" w:w="1440"/>
            <w:shd w:fill="0F6E6E"/>
          </w:tcPr>
          <w:p>
            <w:r>
              <w:rPr>
                <w:b/>
                <w:color w:val="FFFFFF"/>
              </w:rPr>
              <w:t>Baseline</w:t>
            </w:r>
          </w:p>
        </w:tc>
        <w:tc>
          <w:tcPr>
            <w:tcW w:type="dxa" w:w="1584"/>
            <w:shd w:fill="0F6E6E"/>
          </w:tcPr>
          <w:p>
            <w:r>
              <w:rPr>
                <w:b/>
                <w:color w:val="FFFFFF"/>
              </w:rPr>
              <w:t>Q1 target</w:t>
            </w:r>
          </w:p>
        </w:tc>
        <w:tc>
          <w:tcPr>
            <w:tcW w:type="dxa" w:w="1728"/>
            <w:shd w:fill="0F6E6E"/>
          </w:tcPr>
          <w:p>
            <w:r>
              <w:rPr>
                <w:b/>
                <w:color w:val="FFFFFF"/>
              </w:rPr>
              <w:t>Q4 target</w:t>
            </w:r>
          </w:p>
        </w:tc>
      </w:tr>
      <w:tr>
        <w:tc>
          <w:tcPr>
            <w:tcW w:type="dxa" w:w="4320"/>
          </w:tcPr>
          <w:p>
            <w:r>
              <w:t>Providers on audit rotation</w:t>
            </w:r>
          </w:p>
        </w:tc>
        <w:tc>
          <w:tcPr>
            <w:tcW w:type="dxa" w:w="1440"/>
          </w:tcPr>
          <w:p>
            <w:r>
              <w:t>3</w:t>
            </w:r>
          </w:p>
        </w:tc>
        <w:tc>
          <w:tcPr>
            <w:tcW w:type="dxa" w:w="1584"/>
          </w:tcPr>
          <w:p>
            <w:r>
              <w:t>3</w:t>
            </w:r>
          </w:p>
        </w:tc>
        <w:tc>
          <w:tcPr>
            <w:tcW w:type="dxa" w:w="1728"/>
          </w:tcPr>
          <w:p>
            <w:r>
              <w:t>5+</w:t>
            </w:r>
          </w:p>
        </w:tc>
      </w:tr>
      <w:tr>
        <w:tc>
          <w:tcPr>
            <w:tcW w:type="dxa" w:w="4320"/>
            <w:shd w:fill="F1F8F7"/>
          </w:tcPr>
          <w:p>
            <w:r>
              <w:t>Charts audited per month</w:t>
            </w:r>
          </w:p>
        </w:tc>
        <w:tc>
          <w:tcPr>
            <w:tcW w:type="dxa" w:w="1440"/>
            <w:shd w:fill="F1F8F7"/>
          </w:tcPr>
          <w:p>
            <w:r>
              <w:t>30</w:t>
            </w:r>
          </w:p>
        </w:tc>
        <w:tc>
          <w:tcPr>
            <w:tcW w:type="dxa" w:w="1584"/>
            <w:shd w:fill="F1F8F7"/>
          </w:tcPr>
          <w:p>
            <w:r>
              <w:t>30</w:t>
            </w:r>
          </w:p>
        </w:tc>
        <w:tc>
          <w:tcPr>
            <w:tcW w:type="dxa" w:w="1728"/>
            <w:shd w:fill="F1F8F7"/>
          </w:tcPr>
          <w:p>
            <w:r>
              <w:t>50+</w:t>
            </w:r>
          </w:p>
        </w:tc>
      </w:tr>
      <w:tr>
        <w:tc>
          <w:tcPr>
            <w:tcW w:type="dxa" w:w="4320"/>
          </w:tcPr>
          <w:p>
            <w:r>
              <w:t>Audit completion rate</w:t>
            </w:r>
          </w:p>
        </w:tc>
        <w:tc>
          <w:tcPr>
            <w:tcW w:type="dxa" w:w="1440"/>
          </w:tcPr>
          <w:p>
            <w:r>
              <w:t>TBD</w:t>
            </w:r>
          </w:p>
        </w:tc>
        <w:tc>
          <w:tcPr>
            <w:tcW w:type="dxa" w:w="1584"/>
          </w:tcPr>
          <w:p>
            <w:r>
              <w:t>≥80%</w:t>
            </w:r>
          </w:p>
        </w:tc>
        <w:tc>
          <w:tcPr>
            <w:tcW w:type="dxa" w:w="1728"/>
          </w:tcPr>
          <w:p>
            <w:r>
              <w:t>100%</w:t>
            </w:r>
          </w:p>
        </w:tc>
      </w:tr>
      <w:tr>
        <w:tc>
          <w:tcPr>
            <w:tcW w:type="dxa" w:w="4320"/>
            <w:shd w:fill="F1F8F7"/>
          </w:tcPr>
          <w:p>
            <w:r>
              <w:t>Average provider compliance %</w:t>
            </w:r>
          </w:p>
        </w:tc>
        <w:tc>
          <w:tcPr>
            <w:tcW w:type="dxa" w:w="1440"/>
            <w:shd w:fill="F1F8F7"/>
          </w:tcPr>
          <w:p>
            <w:r>
              <w:t>TBD</w:t>
            </w:r>
          </w:p>
        </w:tc>
        <w:tc>
          <w:tcPr>
            <w:tcW w:type="dxa" w:w="1584"/>
            <w:shd w:fill="F1F8F7"/>
          </w:tcPr>
          <w:p>
            <w:r>
              <w:t>≥85%</w:t>
            </w:r>
          </w:p>
        </w:tc>
        <w:tc>
          <w:tcPr>
            <w:tcW w:type="dxa" w:w="1728"/>
            <w:shd w:fill="F1F8F7"/>
          </w:tcPr>
          <w:p>
            <w:r>
              <w:t>≥90%</w:t>
            </w:r>
          </w:p>
        </w:tc>
      </w:tr>
      <w:tr>
        <w:tc>
          <w:tcPr>
            <w:tcW w:type="dxa" w:w="4320"/>
          </w:tcPr>
          <w:p>
            <w:r>
              <w:t>Providers scoring Meets Expectations (≥90%)</w:t>
            </w:r>
          </w:p>
        </w:tc>
        <w:tc>
          <w:tcPr>
            <w:tcW w:type="dxa" w:w="1440"/>
          </w:tcPr>
          <w:p>
            <w:r>
              <w:t>TBD</w:t>
            </w:r>
          </w:p>
        </w:tc>
        <w:tc>
          <w:tcPr>
            <w:tcW w:type="dxa" w:w="1584"/>
          </w:tcPr>
          <w:p>
            <w:r>
              <w:t>≥50%</w:t>
            </w:r>
          </w:p>
        </w:tc>
        <w:tc>
          <w:tcPr>
            <w:tcW w:type="dxa" w:w="1728"/>
          </w:tcPr>
          <w:p>
            <w:r>
              <w:t>≥70%</w:t>
            </w:r>
          </w:p>
        </w:tc>
      </w:tr>
      <w:tr>
        <w:tc>
          <w:tcPr>
            <w:tcW w:type="dxa" w:w="4320"/>
            <w:shd w:fill="F1F8F7"/>
          </w:tcPr>
          <w:p>
            <w:r>
              <w:t>Prior-year HCCs recaptured</w:t>
            </w:r>
          </w:p>
        </w:tc>
        <w:tc>
          <w:tcPr>
            <w:tcW w:type="dxa" w:w="1440"/>
            <w:shd w:fill="F1F8F7"/>
          </w:tcPr>
          <w:p>
            <w:r>
              <w:t>0</w:t>
            </w:r>
          </w:p>
        </w:tc>
        <w:tc>
          <w:tcPr>
            <w:tcW w:type="dxa" w:w="1584"/>
            <w:shd w:fill="F1F8F7"/>
          </w:tcPr>
          <w:p>
            <w:r>
              <w:t>10+</w:t>
            </w:r>
          </w:p>
        </w:tc>
        <w:tc>
          <w:tcPr>
            <w:tcW w:type="dxa" w:w="1728"/>
            <w:shd w:fill="F1F8F7"/>
          </w:tcPr>
          <w:p>
            <w:r>
              <w:t>50+</w:t>
            </w:r>
          </w:p>
        </w:tc>
      </w:tr>
      <w:tr>
        <w:tc>
          <w:tcPr>
            <w:tcW w:type="dxa" w:w="4320"/>
          </w:tcPr>
          <w:p>
            <w:r>
              <w:t>Suspect HCCs surfaced (queries)</w:t>
            </w:r>
          </w:p>
        </w:tc>
        <w:tc>
          <w:tcPr>
            <w:tcW w:type="dxa" w:w="1440"/>
          </w:tcPr>
          <w:p>
            <w:r>
              <w:t>0</w:t>
            </w:r>
          </w:p>
        </w:tc>
        <w:tc>
          <w:tcPr>
            <w:tcW w:type="dxa" w:w="1584"/>
          </w:tcPr>
          <w:p>
            <w:r>
              <w:t>5+</w:t>
            </w:r>
          </w:p>
        </w:tc>
        <w:tc>
          <w:tcPr>
            <w:tcW w:type="dxa" w:w="1728"/>
          </w:tcPr>
          <w:p>
            <w:r>
              <w:t>25+</w:t>
            </w:r>
          </w:p>
        </w:tc>
      </w:tr>
      <w:tr>
        <w:tc>
          <w:tcPr>
            <w:tcW w:type="dxa" w:w="4320"/>
            <w:shd w:fill="F1F8F7"/>
          </w:tcPr>
          <w:p>
            <w:r>
              <w:t>HEDIS/CPT II documentation gaps closed</w:t>
            </w:r>
          </w:p>
        </w:tc>
        <w:tc>
          <w:tcPr>
            <w:tcW w:type="dxa" w:w="1440"/>
            <w:shd w:fill="F1F8F7"/>
          </w:tcPr>
          <w:p>
            <w:r>
              <w:t>0</w:t>
            </w:r>
          </w:p>
        </w:tc>
        <w:tc>
          <w:tcPr>
            <w:tcW w:type="dxa" w:w="1584"/>
            <w:shd w:fill="F1F8F7"/>
          </w:tcPr>
          <w:p>
            <w:r>
              <w:t>5+</w:t>
            </w:r>
          </w:p>
        </w:tc>
        <w:tc>
          <w:tcPr>
            <w:tcW w:type="dxa" w:w="1728"/>
            <w:shd w:fill="F1F8F7"/>
          </w:tcPr>
          <w:p>
            <w:r>
              <w:t>30+</w:t>
            </w:r>
          </w:p>
        </w:tc>
      </w:tr>
      <w:tr>
        <w:tc>
          <w:tcPr>
            <w:tcW w:type="dxa" w:w="4320"/>
          </w:tcPr>
          <w:p>
            <w:r>
              <w:t>Provider education tips delivered</w:t>
            </w:r>
          </w:p>
        </w:tc>
        <w:tc>
          <w:tcPr>
            <w:tcW w:type="dxa" w:w="1440"/>
          </w:tcPr>
          <w:p>
            <w:r>
              <w:t>0</w:t>
            </w:r>
          </w:p>
        </w:tc>
        <w:tc>
          <w:tcPr>
            <w:tcW w:type="dxa" w:w="1584"/>
          </w:tcPr>
          <w:p>
            <w:r>
              <w:t>3</w:t>
            </w:r>
          </w:p>
        </w:tc>
        <w:tc>
          <w:tcPr>
            <w:tcW w:type="dxa" w:w="1728"/>
          </w:tcPr>
          <w:p>
            <w:r>
              <w:t>12</w:t>
            </w:r>
          </w:p>
        </w:tc>
      </w:tr>
      <w:tr>
        <w:tc>
          <w:tcPr>
            <w:tcW w:type="dxa" w:w="4320"/>
            <w:shd w:fill="F1F8F7"/>
          </w:tcPr>
          <w:p>
            <w:r>
              <w:t>Corrective plans opened / re-audit passed</w:t>
            </w:r>
          </w:p>
        </w:tc>
        <w:tc>
          <w:tcPr>
            <w:tcW w:type="dxa" w:w="1440"/>
            <w:shd w:fill="F1F8F7"/>
          </w:tcPr>
          <w:p>
            <w:r>
              <w:t>0</w:t>
            </w:r>
          </w:p>
        </w:tc>
        <w:tc>
          <w:tcPr>
            <w:tcW w:type="dxa" w:w="1584"/>
            <w:shd w:fill="F1F8F7"/>
          </w:tcPr>
          <w:p>
            <w:r>
              <w:t>n/a</w:t>
            </w:r>
          </w:p>
        </w:tc>
        <w:tc>
          <w:tcPr>
            <w:tcW w:type="dxa" w:w="1728"/>
            <w:shd w:fill="F1F8F7"/>
          </w:tcPr>
          <w:p>
            <w:r>
              <w:t>≥1 / ≥1</w:t>
            </w:r>
          </w:p>
        </w:tc>
      </w:tr>
    </w:tbl>
    <w:p>
      <w:pPr>
        <w:spacing w:before="320" w:after="120"/>
      </w:pPr>
      <w:r>
        <w:rPr>
          <w:b/>
          <w:color w:val="0F6E6E"/>
          <w:sz w:val="32"/>
        </w:rPr>
        <w:t>9. Resources requested</w:t>
      </w:r>
    </w:p>
    <w:p>
      <w:pPr>
        <w:spacing w:before="200" w:after="80"/>
      </w:pPr>
      <w:r>
        <w:rPr>
          <w:b/>
          <w:color w:val="0F172A"/>
          <w:sz w:val="26"/>
        </w:rPr>
        <w:t>Immediate (available today)</w:t>
      </w:r>
    </w:p>
    <w:p>
      <w:pPr>
        <w:pStyle w:val="ListBullet"/>
        <w:spacing w:after="60"/>
        <w:ind w:left="360"/>
      </w:pPr>
      <w:r>
        <w:t>Excel + audit workbook (in place).</w:t>
      </w:r>
    </w:p>
    <w:p>
      <w:pPr>
        <w:pStyle w:val="ListBullet"/>
        <w:spacing w:after="60"/>
        <w:ind w:left="360"/>
      </w:pPr>
      <w:r>
        <w:t>Access to EHR reporting and payer portals for HCC/HEDIS lists.</w:t>
      </w:r>
    </w:p>
    <w:p>
      <w:pPr>
        <w:pStyle w:val="ListBullet"/>
        <w:spacing w:after="60"/>
        <w:ind w:left="360"/>
      </w:pPr>
      <w:r>
        <w:t>Approved shared drive / SharePoint folder with AutoSave.</w:t>
      </w:r>
    </w:p>
    <w:p>
      <w:pPr>
        <w:pStyle w:val="ListBullet"/>
        <w:spacing w:after="60"/>
        <w:ind w:left="360"/>
      </w:pPr>
      <w:r>
        <w:t>Time on providers' calendars for monthly feedback + quarterly sessions.</w:t>
      </w:r>
    </w:p>
    <w:p>
      <w:pPr>
        <w:spacing w:before="200" w:after="80"/>
      </w:pPr>
      <w:r>
        <w:rPr>
          <w:b/>
          <w:color w:val="0F172A"/>
          <w:sz w:val="26"/>
        </w:rPr>
        <w:t>Within 3 months</w:t>
      </w:r>
    </w:p>
    <w:p>
      <w:pPr>
        <w:pStyle w:val="ListBullet"/>
        <w:spacing w:after="60"/>
        <w:ind w:left="360"/>
      </w:pPr>
      <w:r>
        <w:t>Formal reporting line established (RI / Compliance).</w:t>
      </w:r>
    </w:p>
    <w:p>
      <w:pPr>
        <w:pStyle w:val="ListBullet"/>
        <w:spacing w:after="60"/>
        <w:ind w:left="360"/>
      </w:pPr>
      <w:r>
        <w:t>Introduction to compliance committee.</w:t>
      </w:r>
    </w:p>
    <w:p>
      <w:pPr>
        <w:pStyle w:val="ListBullet"/>
        <w:spacing w:after="60"/>
        <w:ind w:left="360"/>
      </w:pPr>
      <w:r>
        <w:t>Approval of the audit criteria and scoring model.</w:t>
      </w:r>
    </w:p>
    <w:p>
      <w:pPr>
        <w:pStyle w:val="ListBullet"/>
        <w:spacing w:after="60"/>
        <w:ind w:left="360"/>
      </w:pPr>
      <w:r>
        <w:t>Provider list finalized and communicated by leadership.</w:t>
      </w:r>
    </w:p>
    <w:p>
      <w:pPr>
        <w:spacing w:before="200" w:after="80"/>
      </w:pPr>
      <w:r>
        <w:rPr>
          <w:b/>
          <w:color w:val="0F172A"/>
          <w:sz w:val="26"/>
        </w:rPr>
        <w:t>Within 6–12 months</w:t>
      </w:r>
    </w:p>
    <w:p>
      <w:pPr>
        <w:pStyle w:val="ListBullet"/>
        <w:spacing w:after="60"/>
        <w:ind w:left="360"/>
      </w:pPr>
      <w:r>
        <w:t>Budget approval for first hire — Certified Risk Adjustment Coder (CRC).</w:t>
      </w:r>
    </w:p>
    <w:p>
      <w:pPr>
        <w:pStyle w:val="ListBullet"/>
        <w:spacing w:after="60"/>
        <w:ind w:left="360"/>
      </w:pPr>
      <w:r>
        <w:t>Evaluation of a low-cost encoder / CDI query tool once hire is in place.</w:t>
      </w:r>
    </w:p>
    <w:p>
      <w:pPr>
        <w:pStyle w:val="ListBullet"/>
        <w:spacing w:after="60"/>
        <w:ind w:left="360"/>
      </w:pPr>
      <w:r>
        <w:t>Continuing education budget for certifications (CPC / CPMA / CRC / CDEO).</w:t>
      </w:r>
    </w:p>
    <w:p>
      <w:pPr>
        <w:spacing w:before="320" w:after="120"/>
      </w:pPr>
      <w:r>
        <w:rPr>
          <w:b/>
          <w:color w:val="0F6E6E"/>
          <w:sz w:val="32"/>
        </w:rPr>
        <w:t>10. Risks and mitigation</w:t>
      </w:r>
    </w:p>
    <w:tbl>
      <w:tblPr>
        <w:tblW w:type="auto" w:w="0"/>
        <w:tblLayout w:type="fixed"/>
        <w:tblLook w:firstColumn="1" w:firstRow="1" w:lastColumn="0" w:lastRow="0" w:noHBand="0" w:noVBand="1" w:val="04A0"/>
      </w:tblPr>
      <w:tblGrid>
        <w:gridCol w:w="4986"/>
        <w:gridCol w:w="4986"/>
      </w:tblGrid>
      <w:tr>
        <w:tc>
          <w:tcPr>
            <w:tcW w:type="dxa" w:w="3600"/>
            <w:shd w:fill="0F6E6E"/>
          </w:tcPr>
          <w:p>
            <w:r>
              <w:rPr>
                <w:b/>
                <w:color w:val="FFFFFF"/>
              </w:rPr>
              <w:t>Risk</w:t>
            </w:r>
          </w:p>
        </w:tc>
        <w:tc>
          <w:tcPr>
            <w:tcW w:type="dxa" w:w="5472"/>
            <w:shd w:fill="0F6E6E"/>
          </w:tcPr>
          <w:p>
            <w:r>
              <w:rPr>
                <w:b/>
                <w:color w:val="FFFFFF"/>
              </w:rPr>
              <w:t>Mitigation</w:t>
            </w:r>
          </w:p>
        </w:tc>
      </w:tr>
      <w:tr>
        <w:tc>
          <w:tcPr>
            <w:tcW w:type="dxa" w:w="3600"/>
          </w:tcPr>
          <w:p>
            <w:r>
              <w:t>Single-person department burnout</w:t>
            </w:r>
          </w:p>
        </w:tc>
        <w:tc>
          <w:tcPr>
            <w:tcW w:type="dxa" w:w="5472"/>
          </w:tcPr>
          <w:p>
            <w:r>
              <w:t>Realistic weekly time budget · defer FFS coding · leverage payer-supplied lists · document everything for scaling.</w:t>
            </w:r>
          </w:p>
        </w:tc>
      </w:tr>
      <w:tr>
        <w:tc>
          <w:tcPr>
            <w:tcW w:type="dxa" w:w="3600"/>
            <w:shd w:fill="F1F8F7"/>
          </w:tcPr>
          <w:p>
            <w:r>
              <w:t>Provider resistance to feedback</w:t>
            </w:r>
          </w:p>
        </w:tc>
        <w:tc>
          <w:tcPr>
            <w:tcW w:type="dxa" w:w="5472"/>
            <w:shd w:fill="F1F8F7"/>
          </w:tcPr>
          <w:p>
            <w:r>
              <w:t>Educational tone · start with highest performers as peer examples · involve medical director in escalations.</w:t>
            </w:r>
          </w:p>
        </w:tc>
      </w:tr>
      <w:tr>
        <w:tc>
          <w:tcPr>
            <w:tcW w:type="dxa" w:w="3600"/>
          </w:tcPr>
          <w:p>
            <w:r>
              <w:t>Metrics not moving fast enough</w:t>
            </w:r>
          </w:p>
        </w:tc>
        <w:tc>
          <w:tcPr>
            <w:tcW w:type="dxa" w:w="5472"/>
          </w:tcPr>
          <w:p>
            <w:r>
              <w:t>Focus Q1 on baseline (no expectation of improvement yet) · quarterly rebalancing of audit focus based on findings.</w:t>
            </w:r>
          </w:p>
        </w:tc>
      </w:tr>
      <w:tr>
        <w:tc>
          <w:tcPr>
            <w:tcW w:type="dxa" w:w="3600"/>
            <w:shd w:fill="F1F8F7"/>
          </w:tcPr>
          <w:p>
            <w:r>
              <w:t>Regulatory changes (ICD-10 updates, HEDIS spec changes)</w:t>
            </w:r>
          </w:p>
        </w:tc>
        <w:tc>
          <w:tcPr>
            <w:tcW w:type="dxa" w:w="5472"/>
            <w:shd w:fill="F1F8F7"/>
          </w:tcPr>
          <w:p>
            <w:r>
              <w:t>Annual review of workbook criteria · subscribe to CMS, AAPC, AHIMA updates.</w:t>
            </w:r>
          </w:p>
        </w:tc>
      </w:tr>
      <w:tr>
        <w:tc>
          <w:tcPr>
            <w:tcW w:type="dxa" w:w="3600"/>
          </w:tcPr>
          <w:p>
            <w:r>
              <w:t>Turnover / continuity risk (department of one)</w:t>
            </w:r>
          </w:p>
        </w:tc>
        <w:tc>
          <w:tcPr>
            <w:tcW w:type="dxa" w:w="5472"/>
          </w:tcPr>
          <w:p>
            <w:r>
              <w:t>Written policies, workbook standardization, and process documentation from Month 1 · succession-ready by end of Year 1.</w:t>
            </w:r>
          </w:p>
        </w:tc>
      </w:tr>
    </w:tbl>
    <w:p>
      <w:pPr>
        <w:spacing w:before="320" w:after="120"/>
      </w:pPr>
      <w:r>
        <w:rPr>
          <w:b/>
          <w:color w:val="0F6E6E"/>
          <w:sz w:val="32"/>
        </w:rPr>
        <w:t>11. Year-2 outlook · the first hire</w:t>
      </w:r>
    </w:p>
    <w:p>
      <w:r>
        <w:t>At the 6-month checkpoint I will present a business case for the first hire: a Certified Risk Adjustment Coder (CRC). Rationale — CRC work has the clearest and fastest ROI (recaptured HCCs = measurable dollar impact per patient per year), takes the highest-volume repetitive task off my plate, and specializes the department beyond a one-person operation.</w:t>
      </w:r>
    </w:p>
    <w:p>
      <w:r>
        <w:t>With one additional CRC on the team in Year 2, the department can double its audit throughput, close HEDIS gaps at scale, and begin evaluating a second hire (QA/Audit Coder or HEDIS specialist) based on where the biggest remaining gap is.</w:t>
      </w:r>
    </w:p>
    <w:p>
      <w:pPr>
        <w:spacing w:before="320" w:after="120"/>
      </w:pPr>
      <w:r>
        <w:rPr>
          <w:b/>
          <w:color w:val="0F6E6E"/>
          <w:sz w:val="32"/>
        </w:rPr>
        <w:t>12. Ask of leadership</w:t>
      </w:r>
    </w:p>
    <w:p>
      <w:r>
        <w:t>To support the successful launch of this department, I am requesting:</w:t>
      </w:r>
    </w:p>
    <w:p>
      <w:pPr>
        <w:pStyle w:val="ListNumber"/>
        <w:spacing w:after="60"/>
        <w:ind w:left="360"/>
      </w:pPr>
      <w:r>
        <w:t>Formal approval of the department scope, audit criteria, and reporting line documented in this plan.</w:t>
      </w:r>
    </w:p>
    <w:p>
      <w:pPr>
        <w:pStyle w:val="ListNumber"/>
        <w:spacing w:after="60"/>
        <w:ind w:left="360"/>
      </w:pPr>
      <w:r>
        <w:t>Monthly 30-minute check-in with the executive sponsor (Revenue Integrity or CFO).</w:t>
      </w:r>
    </w:p>
    <w:p>
      <w:pPr>
        <w:pStyle w:val="ListNumber"/>
        <w:spacing w:after="60"/>
        <w:ind w:left="360"/>
      </w:pPr>
      <w:r>
        <w:t>Quarterly presentation slot on the leadership agenda.</w:t>
      </w:r>
    </w:p>
    <w:p>
      <w:pPr>
        <w:pStyle w:val="ListNumber"/>
        <w:spacing w:after="60"/>
        <w:ind w:left="360"/>
      </w:pPr>
      <w:r>
        <w:t>Introduction to the compliance committee and quarterly participation.</w:t>
      </w:r>
    </w:p>
    <w:p>
      <w:pPr>
        <w:pStyle w:val="ListNumber"/>
        <w:spacing w:after="60"/>
        <w:ind w:left="360"/>
      </w:pPr>
      <w:r>
        <w:t>Provider list confirmation and communication (medical director support to make audits mandatory participation).</w:t>
      </w:r>
    </w:p>
    <w:p>
      <w:pPr>
        <w:pStyle w:val="ListNumber"/>
        <w:spacing w:after="60"/>
        <w:ind w:left="360"/>
      </w:pPr>
      <w:r>
        <w:t>Approval to begin drafting the CRC hire business case at month 6.</w:t>
      </w:r>
    </w:p>
    <w:p>
      <w:r>
        <w:t>Approving this plan lets me execute with focus, and gives leadership a predictable rhythm of scorecards, quarterly reports, and business-case milestones — so the department's impact is visible from month one.</w:t>
      </w:r>
    </w:p>
    <w:p>
      <w:pPr>
        <w:spacing w:before="480"/>
      </w:pPr>
      <w:r>
        <w:rPr>
          <w:i/>
          <w:color w:val="555555"/>
        </w:rPr>
        <w:t>End of plan.</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