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0F172A"/>
          <w:sz w:val="40"/>
        </w:rPr>
        <w:t>Audit Timing Calendar</w:t>
      </w:r>
    </w:p>
    <w:p>
      <w:pPr>
        <w:spacing w:after="200"/>
      </w:pPr>
      <w:r>
        <w:rPr>
          <w:i/>
          <w:color w:val="555555"/>
          <w:sz w:val="20"/>
        </w:rPr>
        <w:t>When to pull charts, when to audit, when to give feedback</w:t>
      </w:r>
    </w:p>
    <w:p>
      <w:pPr>
        <w:spacing w:before="200" w:after="60"/>
      </w:pPr>
      <w:r>
        <w:rPr>
          <w:b/>
          <w:color w:val="0F6E6E"/>
          <w:sz w:val="24"/>
        </w:rPr>
        <w:t>Recommended monthly window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36"/>
            <w:shd w:fill="0F6E6E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6336"/>
            <w:shd w:fill="0F6E6E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2736"/>
          </w:tcPr>
          <w:p>
            <w:r>
              <w:t>Encounter date range</w:t>
            </w:r>
          </w:p>
        </w:tc>
        <w:tc>
          <w:tcPr>
            <w:tcW w:type="dxa" w:w="6336"/>
          </w:tcPr>
          <w:p>
            <w:r>
              <w:t>Prior calendar month (e.g., July audits use June encounters).</w:t>
            </w:r>
          </w:p>
        </w:tc>
      </w:tr>
      <w:tr>
        <w:tc>
          <w:tcPr>
            <w:tcW w:type="dxa" w:w="2736"/>
            <w:shd w:fill="F1F8F7"/>
          </w:tcPr>
          <w:p>
            <w:r>
              <w:t>Start the audit</w:t>
            </w:r>
          </w:p>
        </w:tc>
        <w:tc>
          <w:tcPr>
            <w:tcW w:type="dxa" w:w="6336"/>
            <w:shd w:fill="F1F8F7"/>
          </w:tcPr>
          <w:p>
            <w:r>
              <w:t>Between the 5th and 15th of the following month.</w:t>
            </w:r>
          </w:p>
        </w:tc>
      </w:tr>
      <w:tr>
        <w:tc>
          <w:tcPr>
            <w:tcW w:type="dxa" w:w="2736"/>
          </w:tcPr>
          <w:p>
            <w:r>
              <w:t>Finish the audit</w:t>
            </w:r>
          </w:p>
        </w:tc>
        <w:tc>
          <w:tcPr>
            <w:tcW w:type="dxa" w:w="6336"/>
          </w:tcPr>
          <w:p>
            <w:r>
              <w:t>By the 25th so feedback lands before month-end.</w:t>
            </w:r>
          </w:p>
        </w:tc>
      </w:tr>
      <w:tr>
        <w:tc>
          <w:tcPr>
            <w:tcW w:type="dxa" w:w="2736"/>
            <w:shd w:fill="F1F8F7"/>
          </w:tcPr>
          <w:p>
            <w:r>
              <w:t>Frequency</w:t>
            </w:r>
          </w:p>
        </w:tc>
        <w:tc>
          <w:tcPr>
            <w:tcW w:type="dxa" w:w="6336"/>
            <w:shd w:fill="F1F8F7"/>
          </w:tcPr>
          <w:p>
            <w:r>
              <w:t>Every month · no exceptions.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>Why the prior calendar month works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68"/>
            <w:shd w:fill="0F6E6E"/>
          </w:tcPr>
          <w:p>
            <w:r>
              <w:rPr>
                <w:b/>
                <w:color w:val="FFFFFF"/>
              </w:rPr>
              <w:t>Reason</w:t>
            </w:r>
          </w:p>
        </w:tc>
        <w:tc>
          <w:tcPr>
            <w:tcW w:type="dxa" w:w="5904"/>
            <w:shd w:fill="0F6E6E"/>
          </w:tcPr>
          <w:p>
            <w:r>
              <w:rPr>
                <w:b/>
                <w:color w:val="FFFFFF"/>
              </w:rPr>
              <w:t>Why it matters</w:t>
            </w:r>
          </w:p>
        </w:tc>
      </w:tr>
      <w:tr>
        <w:tc>
          <w:tcPr>
            <w:tcW w:type="dxa" w:w="3168"/>
          </w:tcPr>
          <w:p>
            <w:r>
              <w:t>Notes are actually closed</w:t>
            </w:r>
          </w:p>
        </w:tc>
        <w:tc>
          <w:tcPr>
            <w:tcW w:type="dxa" w:w="5904"/>
          </w:tcPr>
          <w:p>
            <w:r>
              <w:t>By day 5, every prior-month note should be signed per timely-completion policy.</w:t>
            </w:r>
          </w:p>
        </w:tc>
      </w:tr>
      <w:tr>
        <w:tc>
          <w:tcPr>
            <w:tcW w:type="dxa" w:w="3168"/>
            <w:shd w:fill="F1F8F7"/>
          </w:tcPr>
          <w:p>
            <w:r>
              <w:t>Documentation is still fresh</w:t>
            </w:r>
          </w:p>
        </w:tc>
        <w:tc>
          <w:tcPr>
            <w:tcW w:type="dxa" w:w="5904"/>
            <w:shd w:fill="F1F8F7"/>
          </w:tcPr>
          <w:p>
            <w:r>
              <w:t>The provider can still recall the encounter if you need clarification.</w:t>
            </w:r>
          </w:p>
        </w:tc>
      </w:tr>
      <w:tr>
        <w:tc>
          <w:tcPr>
            <w:tcW w:type="dxa" w:w="3168"/>
          </w:tcPr>
          <w:p>
            <w:r>
              <w:t>Fits the monthly reporting rhythm</w:t>
            </w:r>
          </w:p>
        </w:tc>
        <w:tc>
          <w:tcPr>
            <w:tcW w:type="dxa" w:w="5904"/>
          </w:tcPr>
          <w:p>
            <w:r>
              <w:t>Compliance and revenue-integrity meetings run monthly — your data aligns.</w:t>
            </w:r>
          </w:p>
        </w:tc>
      </w:tr>
      <w:tr>
        <w:tc>
          <w:tcPr>
            <w:tcW w:type="dxa" w:w="3168"/>
            <w:shd w:fill="F1F8F7"/>
          </w:tcPr>
          <w:p>
            <w:r>
              <w:t>Corrective action is still relevant</w:t>
            </w:r>
          </w:p>
        </w:tc>
        <w:tc>
          <w:tcPr>
            <w:tcW w:type="dxa" w:w="5904"/>
            <w:shd w:fill="F1F8F7"/>
          </w:tcPr>
          <w:p>
            <w:r>
              <w:t>Feedback given in August can be acted on in September before the pattern compounds.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>Strategic overlay — the HCC calendar year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shd w:fill="0F6E6E"/>
          </w:tcPr>
          <w:p>
            <w:r>
              <w:rPr>
                <w:b/>
                <w:color w:val="FFFFFF"/>
              </w:rPr>
              <w:t>Quarter</w:t>
            </w:r>
          </w:p>
        </w:tc>
        <w:tc>
          <w:tcPr>
            <w:tcW w:type="dxa" w:w="2592"/>
            <w:shd w:fill="0F6E6E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4752"/>
            <w:shd w:fill="0F6E6E"/>
          </w:tcPr>
          <w:p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1728"/>
          </w:tcPr>
          <w:p>
            <w:r>
              <w:t>Q1  (Jan–Mar)</w:t>
            </w:r>
          </w:p>
        </w:tc>
        <w:tc>
          <w:tcPr>
            <w:tcW w:type="dxa" w:w="2592"/>
          </w:tcPr>
          <w:p>
            <w:r>
              <w:t>Set the tone</w:t>
            </w:r>
          </w:p>
        </w:tc>
        <w:tc>
          <w:tcPr>
            <w:tcW w:type="dxa" w:w="4752"/>
          </w:tcPr>
          <w:p>
            <w:r>
              <w:t>Catch bad habits from the prior year · reset early so the whole year benefits.</w:t>
            </w:r>
          </w:p>
        </w:tc>
      </w:tr>
      <w:tr>
        <w:tc>
          <w:tcPr>
            <w:tcW w:type="dxa" w:w="1728"/>
            <w:shd w:fill="F1F8F7"/>
          </w:tcPr>
          <w:p>
            <w:r>
              <w:t>Q2  (Apr–Jun)</w:t>
            </w:r>
          </w:p>
        </w:tc>
        <w:tc>
          <w:tcPr>
            <w:tcW w:type="dxa" w:w="2592"/>
            <w:shd w:fill="F1F8F7"/>
          </w:tcPr>
          <w:p>
            <w:r>
              <w:t>Highest RAF impact</w:t>
            </w:r>
          </w:p>
        </w:tc>
        <w:tc>
          <w:tcPr>
            <w:tcW w:type="dxa" w:w="4752"/>
            <w:shd w:fill="F1F8F7"/>
          </w:tcPr>
          <w:p>
            <w:r>
              <w:t>6+ months left to recapture missed HCCs · biggest window to move the needle.</w:t>
            </w:r>
          </w:p>
        </w:tc>
      </w:tr>
      <w:tr>
        <w:tc>
          <w:tcPr>
            <w:tcW w:type="dxa" w:w="1728"/>
          </w:tcPr>
          <w:p>
            <w:r>
              <w:t>Q3  (Jul–Sep)</w:t>
            </w:r>
          </w:p>
        </w:tc>
        <w:tc>
          <w:tcPr>
            <w:tcW w:type="dxa" w:w="2592"/>
          </w:tcPr>
          <w:p>
            <w:r>
              <w:t>Last effective window</w:t>
            </w:r>
          </w:p>
        </w:tc>
        <w:tc>
          <w:tcPr>
            <w:tcW w:type="dxa" w:w="4752"/>
          </w:tcPr>
          <w:p>
            <w:r>
              <w:t>Feedback given in September can still land before Dec 31.</w:t>
            </w:r>
          </w:p>
        </w:tc>
      </w:tr>
      <w:tr>
        <w:tc>
          <w:tcPr>
            <w:tcW w:type="dxa" w:w="1728"/>
            <w:shd w:fill="F1F8F7"/>
          </w:tcPr>
          <w:p>
            <w:r>
              <w:t>Q4  (Oct–Dec)</w:t>
            </w:r>
          </w:p>
        </w:tc>
        <w:tc>
          <w:tcPr>
            <w:tcW w:type="dxa" w:w="2592"/>
            <w:shd w:fill="F1F8F7"/>
          </w:tcPr>
          <w:p>
            <w:r>
              <w:t>Mostly retrospective</w:t>
            </w:r>
          </w:p>
        </w:tc>
        <w:tc>
          <w:tcPr>
            <w:tcW w:type="dxa" w:w="4752"/>
            <w:shd w:fill="F1F8F7"/>
          </w:tcPr>
          <w:p>
            <w:r>
              <w:t>Focus on next-year habits · anything missed by November is hard to recover.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>Escalation — when monthly isn't enough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00"/>
            <w:shd w:fill="0F6E6E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5472"/>
            <w:shd w:fill="0F6E6E"/>
          </w:tcPr>
          <w:p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3600"/>
          </w:tcPr>
          <w:p>
            <w:r>
              <w:t>Corrective Education Required (&lt; 80%)</w:t>
            </w:r>
          </w:p>
        </w:tc>
        <w:tc>
          <w:tcPr>
            <w:tcW w:type="dxa" w:w="5472"/>
          </w:tcPr>
          <w:p>
            <w:r>
              <w:t>Re-audit within 60–90 days · pull a fresh 10-chart sample from the interval.</w:t>
            </w:r>
          </w:p>
        </w:tc>
      </w:tr>
      <w:tr>
        <w:tc>
          <w:tcPr>
            <w:tcW w:type="dxa" w:w="3600"/>
            <w:shd w:fill="F1F8F7"/>
          </w:tcPr>
          <w:p>
            <w:r>
              <w:t>Fails the re-audit</w:t>
            </w:r>
          </w:p>
        </w:tc>
        <w:tc>
          <w:tcPr>
            <w:tcW w:type="dxa" w:w="5472"/>
            <w:shd w:fill="F1F8F7"/>
          </w:tcPr>
          <w:p>
            <w:r>
              <w:t>Escalate to the compliance committee · consider formal corrective plan.</w:t>
            </w:r>
          </w:p>
        </w:tc>
      </w:tr>
      <w:tr>
        <w:tc>
          <w:tcPr>
            <w:tcW w:type="dxa" w:w="3600"/>
          </w:tcPr>
          <w:p>
            <w:r>
              <w:t>Repeated Needs Improvement over 3 cycles</w:t>
            </w:r>
          </w:p>
        </w:tc>
        <w:tc>
          <w:tcPr>
            <w:tcW w:type="dxa" w:w="5472"/>
          </w:tcPr>
          <w:p>
            <w:r>
              <w:t>Move provider onto a targeted weekly documentation-tip cadence.</w:t>
            </w:r>
          </w:p>
        </w:tc>
      </w:tr>
    </w:tbl>
    <w:p>
      <w:pPr>
        <w:spacing w:before="200" w:after="60"/>
      </w:pPr>
      <w:r>
        <w:rPr>
          <w:b/>
          <w:color w:val="0F6E6E"/>
          <w:sz w:val="24"/>
        </w:rPr>
        <w:t>Monthly cheat sheet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448"/>
            <w:shd w:fill="0F6E6E"/>
          </w:tcPr>
          <w:p>
            <w:r>
              <w:rPr>
                <w:b/>
                <w:color w:val="FFFFFF"/>
              </w:rPr>
              <w:t>Days of the month</w:t>
            </w:r>
          </w:p>
        </w:tc>
        <w:tc>
          <w:tcPr>
            <w:tcW w:type="dxa" w:w="6624"/>
            <w:shd w:fill="0F6E6E"/>
          </w:tcPr>
          <w:p>
            <w:r>
              <w:rPr>
                <w:b/>
                <w:color w:val="FFFFFF"/>
              </w:rPr>
              <w:t>What you're doing</w:t>
            </w:r>
          </w:p>
        </w:tc>
      </w:tr>
      <w:tr>
        <w:tc>
          <w:tcPr>
            <w:tcW w:type="dxa" w:w="2448"/>
          </w:tcPr>
          <w:p>
            <w:r>
              <w:t>Days 1 – 4</w:t>
            </w:r>
          </w:p>
        </w:tc>
        <w:tc>
          <w:tcPr>
            <w:tcW w:type="dxa" w:w="6624"/>
          </w:tcPr>
          <w:p>
            <w:r>
              <w:t>Wait — let providers finalize prior-month notes.</w:t>
            </w:r>
          </w:p>
        </w:tc>
      </w:tr>
      <w:tr>
        <w:tc>
          <w:tcPr>
            <w:tcW w:type="dxa" w:w="2448"/>
            <w:shd w:fill="F1F8F7"/>
          </w:tcPr>
          <w:p>
            <w:r>
              <w:t>Days 5 – 15</w:t>
            </w:r>
          </w:p>
        </w:tc>
        <w:tc>
          <w:tcPr>
            <w:tcW w:type="dxa" w:w="6624"/>
            <w:shd w:fill="F1F8F7"/>
          </w:tcPr>
          <w:p>
            <w:r>
              <w:t>Run the monthly audit for prior-month encounters.</w:t>
            </w:r>
          </w:p>
        </w:tc>
      </w:tr>
      <w:tr>
        <w:tc>
          <w:tcPr>
            <w:tcW w:type="dxa" w:w="2448"/>
          </w:tcPr>
          <w:p>
            <w:r>
              <w:t>Days 15 – 20</w:t>
            </w:r>
          </w:p>
        </w:tc>
        <w:tc>
          <w:tcPr>
            <w:tcW w:type="dxa" w:w="6624"/>
          </w:tcPr>
          <w:p>
            <w:r>
              <w:t>Send provider feedback · log corrective actions.</w:t>
            </w:r>
          </w:p>
        </w:tc>
      </w:tr>
      <w:tr>
        <w:tc>
          <w:tcPr>
            <w:tcW w:type="dxa" w:w="2448"/>
            <w:shd w:fill="F1F8F7"/>
          </w:tcPr>
          <w:p>
            <w:r>
              <w:t>Days 20 – 25</w:t>
            </w:r>
          </w:p>
        </w:tc>
        <w:tc>
          <w:tcPr>
            <w:tcW w:type="dxa" w:w="6624"/>
            <w:shd w:fill="F1F8F7"/>
          </w:tcPr>
          <w:p>
            <w:r>
              <w:t>Quarterly report (only in Mar / Jun / Sep / Dec).</w:t>
            </w:r>
          </w:p>
        </w:tc>
      </w:tr>
      <w:tr>
        <w:tc>
          <w:tcPr>
            <w:tcW w:type="dxa" w:w="2448"/>
          </w:tcPr>
          <w:p>
            <w:r>
              <w:t>Days 25 – 31</w:t>
            </w:r>
          </w:p>
        </w:tc>
        <w:tc>
          <w:tcPr>
            <w:tcW w:type="dxa" w:w="6624"/>
          </w:tcPr>
          <w:p>
            <w:r>
              <w:t>Buffer · catch-up · provider education sessions.</w:t>
            </w:r>
          </w:p>
        </w:tc>
      </w:tr>
    </w:tbl>
    <w:p>
      <w:pPr>
        <w:spacing w:before="280"/>
      </w:pPr>
      <w:r>
        <w:rPr>
          <w:i/>
          <w:color w:val="555555"/>
        </w:rPr>
        <w:t>End of quick reference.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