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0F172A"/>
          <w:sz w:val="44"/>
        </w:rPr>
        <w:t>Anatomy &amp; Physiology — Baseline Assessment</w:t>
      </w:r>
    </w:p>
    <w:p>
      <w:pPr>
        <w:spacing w:after="240"/>
      </w:pPr>
      <w:r>
        <w:rPr>
          <w:i/>
          <w:color w:val="555555"/>
          <w:sz w:val="22"/>
        </w:rPr>
        <w:t>Billing Team · HealthProMed · Coding &amp; CDI Department</w:t>
      </w:r>
    </w:p>
    <w:tbl>
      <w:tblPr>
        <w:tblW w:type="auto" w:w="0"/>
        <w:tblLayout w:type="fixed"/>
        <w:tblLook w:firstColumn="1" w:firstRow="1" w:lastColumn="0" w:lastRow="0" w:noHBand="0" w:noVBand="1" w:val="04A0"/>
      </w:tblPr>
      <w:tblGrid>
        <w:gridCol w:w="4986"/>
        <w:gridCol w:w="4986"/>
      </w:tblGrid>
      <w:tr>
        <w:tc>
          <w:tcPr>
            <w:tcW w:type="dxa" w:w="2160"/>
            <w:shd w:fill="E6F4F1"/>
          </w:tcPr>
          <w:p>
            <w:r>
              <w:rPr>
                <w:b/>
                <w:sz w:val="22"/>
              </w:rPr>
              <w:t>Name</w:t>
            </w:r>
          </w:p>
        </w:tc>
        <w:tc>
          <w:tcPr>
            <w:tcW w:type="dxa" w:w="7056"/>
            <w:shd w:fill="FFF9C4"/>
          </w:tcPr>
          <w:p/>
        </w:tc>
      </w:tr>
      <w:tr>
        <w:tc>
          <w:tcPr>
            <w:tcW w:type="dxa" w:w="2160"/>
            <w:shd w:fill="E6F4F1"/>
          </w:tcPr>
          <w:p>
            <w:r>
              <w:rPr>
                <w:b/>
                <w:sz w:val="22"/>
              </w:rPr>
              <w:t>Date</w:t>
            </w:r>
          </w:p>
        </w:tc>
        <w:tc>
          <w:tcPr>
            <w:tcW w:type="dxa" w:w="7056"/>
            <w:shd w:fill="FFF9C4"/>
          </w:tcPr>
          <w:p/>
        </w:tc>
      </w:tr>
      <w:tr>
        <w:tc>
          <w:tcPr>
            <w:tcW w:type="dxa" w:w="2160"/>
            <w:shd w:fill="E6F4F1"/>
          </w:tcPr>
          <w:p>
            <w:r>
              <w:rPr>
                <w:b/>
                <w:sz w:val="22"/>
              </w:rPr>
              <w:t>Auditor / Grader</w:t>
            </w:r>
          </w:p>
        </w:tc>
        <w:tc>
          <w:tcPr>
            <w:tcW w:type="dxa" w:w="7056"/>
            <w:shd w:fill="FFF9C4"/>
          </w:tcPr>
          <w:p/>
        </w:tc>
      </w:tr>
      <w:tr>
        <w:tc>
          <w:tcPr>
            <w:tcW w:type="dxa" w:w="2160"/>
            <w:shd w:fill="E6F4F1"/>
          </w:tcPr>
          <w:p>
            <w:r>
              <w:rPr>
                <w:b/>
                <w:sz w:val="22"/>
              </w:rPr>
              <w:t>Score</w:t>
            </w:r>
          </w:p>
        </w:tc>
        <w:tc>
          <w:tcPr>
            <w:tcW w:type="dxa" w:w="7056"/>
            <w:shd w:fill="FFF9C4"/>
          </w:tcPr>
          <w:p/>
        </w:tc>
      </w:tr>
    </w:tbl>
    <w:p>
      <w:pPr>
        <w:spacing w:before="280" w:after="120"/>
      </w:pPr>
      <w:r>
        <w:rPr>
          <w:b/>
          <w:color w:val="0F6E6E"/>
          <w:sz w:val="28"/>
        </w:rPr>
        <w:t>Instructions</w:t>
      </w:r>
    </w:p>
    <w:p>
      <w:r>
        <w:rPr>
          <w:sz w:val="22"/>
        </w:rPr>
        <w:t>• Answer each of the 10 questions by checking (☑) the box next to the best answer.</w:t>
      </w:r>
    </w:p>
    <w:p>
      <w:r>
        <w:rPr>
          <w:sz w:val="22"/>
        </w:rPr>
        <w:t>• Do NOT use references or the Billing Team Training Manual — this is a baseline check.</w:t>
      </w:r>
    </w:p>
    <w:p>
      <w:r>
        <w:rPr>
          <w:sz w:val="22"/>
        </w:rPr>
        <w:t>• Estimated time: 10-15 minutes.</w:t>
      </w:r>
    </w:p>
    <w:p>
      <w:r>
        <w:rPr>
          <w:sz w:val="22"/>
        </w:rPr>
        <w:t>• This is a knowledge check, not a punishment. Answer honestly.</w:t>
      </w:r>
    </w:p>
    <w:p>
      <w:r>
        <w:rPr>
          <w:sz w:val="22"/>
        </w:rPr>
        <w:t>• Return this quiz to your grader when complete.</w:t>
      </w:r>
    </w:p>
    <w:p>
      <w:pPr>
        <w:spacing w:before="280" w:after="120"/>
      </w:pPr>
      <w:r>
        <w:rPr>
          <w:b/>
          <w:color w:val="0F6E6E"/>
          <w:sz w:val="28"/>
        </w:rPr>
        <w:t>Questions</w:t>
      </w:r>
    </w:p>
    <w:p>
      <w:pPr>
        <w:spacing w:before="240" w:after="120"/>
      </w:pPr>
      <w:r>
        <w:rPr>
          <w:b/>
          <w:color w:val="0F6E6E"/>
          <w:sz w:val="24"/>
        </w:rPr>
        <w:t xml:space="preserve">1.  </w:t>
      </w:r>
      <w:r>
        <w:rPr>
          <w:b/>
          <w:color w:val="0F172A"/>
          <w:sz w:val="22"/>
        </w:rPr>
        <w:t>A patient's chart shows Type 2 Diabetes Mellitus (E11.9). Which organ is primarily responsible for producing insulin?</w:t>
      </w:r>
    </w:p>
    <w:p>
      <w:pPr>
        <w:spacing w:after="60"/>
        <w:ind w:left="576"/>
      </w:pPr>
      <w:r>
        <w:rPr>
          <w:color w:val="0F172A"/>
          <w:sz w:val="24"/>
        </w:rPr>
        <w:t xml:space="preserve">☐  </w:t>
      </w:r>
      <w:r>
        <w:rPr>
          <w:b/>
          <w:color w:val="0F6E6E"/>
          <w:sz w:val="22"/>
        </w:rPr>
        <w:t xml:space="preserve">A.  </w:t>
      </w:r>
      <w:r>
        <w:rPr>
          <w:color w:val="0F172A"/>
          <w:sz w:val="22"/>
        </w:rPr>
        <w:t>Liver</w:t>
      </w:r>
    </w:p>
    <w:p>
      <w:pPr>
        <w:spacing w:after="60"/>
        <w:ind w:left="576"/>
      </w:pPr>
      <w:r>
        <w:rPr>
          <w:color w:val="0F172A"/>
          <w:sz w:val="24"/>
        </w:rPr>
        <w:t xml:space="preserve">☐  </w:t>
      </w:r>
      <w:r>
        <w:rPr>
          <w:b/>
          <w:color w:val="0F6E6E"/>
          <w:sz w:val="22"/>
        </w:rPr>
        <w:t xml:space="preserve">B.  </w:t>
      </w:r>
      <w:r>
        <w:rPr>
          <w:color w:val="0F172A"/>
          <w:sz w:val="22"/>
        </w:rPr>
        <w:t>Kidney</w:t>
      </w:r>
    </w:p>
    <w:p>
      <w:pPr>
        <w:spacing w:after="60"/>
        <w:ind w:left="576"/>
      </w:pPr>
      <w:r>
        <w:rPr>
          <w:color w:val="0F172A"/>
          <w:sz w:val="24"/>
        </w:rPr>
        <w:t xml:space="preserve">☐  </w:t>
      </w:r>
      <w:r>
        <w:rPr>
          <w:b/>
          <w:color w:val="0F6E6E"/>
          <w:sz w:val="22"/>
        </w:rPr>
        <w:t xml:space="preserve">C.  </w:t>
      </w:r>
      <w:r>
        <w:rPr>
          <w:color w:val="0F172A"/>
          <w:sz w:val="22"/>
        </w:rPr>
        <w:t>Pancreas</w:t>
      </w:r>
    </w:p>
    <w:p>
      <w:pPr>
        <w:spacing w:after="60"/>
        <w:ind w:left="576"/>
      </w:pPr>
      <w:r>
        <w:rPr>
          <w:color w:val="0F172A"/>
          <w:sz w:val="24"/>
        </w:rPr>
        <w:t xml:space="preserve">☐  </w:t>
      </w:r>
      <w:r>
        <w:rPr>
          <w:b/>
          <w:color w:val="0F6E6E"/>
          <w:sz w:val="22"/>
        </w:rPr>
        <w:t xml:space="preserve">D.  </w:t>
      </w:r>
      <w:r>
        <w:rPr>
          <w:color w:val="0F172A"/>
          <w:sz w:val="22"/>
        </w:rPr>
        <w:t>Thyroid gland</w:t>
      </w:r>
    </w:p>
    <w:p>
      <w:pPr>
        <w:spacing w:before="240" w:after="120"/>
      </w:pPr>
      <w:r>
        <w:rPr>
          <w:b/>
          <w:color w:val="0F6E6E"/>
          <w:sz w:val="24"/>
        </w:rPr>
        <w:t xml:space="preserve">2.  </w:t>
      </w:r>
      <w:r>
        <w:rPr>
          <w:b/>
          <w:color w:val="0F172A"/>
          <w:sz w:val="22"/>
        </w:rPr>
        <w:t>Hypertension (I10) is a condition of which body system?</w:t>
      </w:r>
    </w:p>
    <w:p>
      <w:pPr>
        <w:spacing w:after="60"/>
        <w:ind w:left="576"/>
      </w:pPr>
      <w:r>
        <w:rPr>
          <w:color w:val="0F172A"/>
          <w:sz w:val="24"/>
        </w:rPr>
        <w:t xml:space="preserve">☐  </w:t>
      </w:r>
      <w:r>
        <w:rPr>
          <w:b/>
          <w:color w:val="0F6E6E"/>
          <w:sz w:val="22"/>
        </w:rPr>
        <w:t xml:space="preserve">A.  </w:t>
      </w:r>
      <w:r>
        <w:rPr>
          <w:color w:val="0F172A"/>
          <w:sz w:val="22"/>
        </w:rPr>
        <w:t>Respiratory system</w:t>
      </w:r>
    </w:p>
    <w:p>
      <w:pPr>
        <w:spacing w:after="60"/>
        <w:ind w:left="576"/>
      </w:pPr>
      <w:r>
        <w:rPr>
          <w:color w:val="0F172A"/>
          <w:sz w:val="24"/>
        </w:rPr>
        <w:t xml:space="preserve">☐  </w:t>
      </w:r>
      <w:r>
        <w:rPr>
          <w:b/>
          <w:color w:val="0F6E6E"/>
          <w:sz w:val="22"/>
        </w:rPr>
        <w:t xml:space="preserve">B.  </w:t>
      </w:r>
      <w:r>
        <w:rPr>
          <w:color w:val="0F172A"/>
          <w:sz w:val="22"/>
        </w:rPr>
        <w:t>Cardiovascular system</w:t>
      </w:r>
    </w:p>
    <w:p>
      <w:pPr>
        <w:spacing w:after="60"/>
        <w:ind w:left="576"/>
      </w:pPr>
      <w:r>
        <w:rPr>
          <w:color w:val="0F172A"/>
          <w:sz w:val="24"/>
        </w:rPr>
        <w:t xml:space="preserve">☐  </w:t>
      </w:r>
      <w:r>
        <w:rPr>
          <w:b/>
          <w:color w:val="0F6E6E"/>
          <w:sz w:val="22"/>
        </w:rPr>
        <w:t xml:space="preserve">C.  </w:t>
      </w:r>
      <w:r>
        <w:rPr>
          <w:color w:val="0F172A"/>
          <w:sz w:val="22"/>
        </w:rPr>
        <w:t>Digestive system</w:t>
      </w:r>
    </w:p>
    <w:p>
      <w:pPr>
        <w:spacing w:after="60"/>
        <w:ind w:left="576"/>
      </w:pPr>
      <w:r>
        <w:rPr>
          <w:color w:val="0F172A"/>
          <w:sz w:val="24"/>
        </w:rPr>
        <w:t xml:space="preserve">☐  </w:t>
      </w:r>
      <w:r>
        <w:rPr>
          <w:b/>
          <w:color w:val="0F6E6E"/>
          <w:sz w:val="22"/>
        </w:rPr>
        <w:t xml:space="preserve">D.  </w:t>
      </w:r>
      <w:r>
        <w:rPr>
          <w:color w:val="0F172A"/>
          <w:sz w:val="22"/>
        </w:rPr>
        <w:t>Nervous system</w:t>
      </w:r>
    </w:p>
    <w:p>
      <w:pPr>
        <w:spacing w:before="240" w:after="120"/>
      </w:pPr>
      <w:r>
        <w:rPr>
          <w:b/>
          <w:color w:val="0F6E6E"/>
          <w:sz w:val="24"/>
        </w:rPr>
        <w:t xml:space="preserve">3.  </w:t>
      </w:r>
      <w:r>
        <w:rPr>
          <w:b/>
          <w:color w:val="0F172A"/>
          <w:sz w:val="22"/>
        </w:rPr>
        <w:t>Chronic Kidney Disease (CKD) is staged from 1 through 5 based on which lab value?</w:t>
      </w:r>
    </w:p>
    <w:p>
      <w:pPr>
        <w:spacing w:after="60"/>
        <w:ind w:left="576"/>
      </w:pPr>
      <w:r>
        <w:rPr>
          <w:color w:val="0F172A"/>
          <w:sz w:val="24"/>
        </w:rPr>
        <w:t xml:space="preserve">☐  </w:t>
      </w:r>
      <w:r>
        <w:rPr>
          <w:b/>
          <w:color w:val="0F6E6E"/>
          <w:sz w:val="22"/>
        </w:rPr>
        <w:t xml:space="preserve">A.  </w:t>
      </w:r>
      <w:r>
        <w:rPr>
          <w:color w:val="0F172A"/>
          <w:sz w:val="22"/>
        </w:rPr>
        <w:t>HbA1c</w:t>
      </w:r>
    </w:p>
    <w:p>
      <w:pPr>
        <w:spacing w:after="60"/>
        <w:ind w:left="576"/>
      </w:pPr>
      <w:r>
        <w:rPr>
          <w:color w:val="0F172A"/>
          <w:sz w:val="24"/>
        </w:rPr>
        <w:t xml:space="preserve">☐  </w:t>
      </w:r>
      <w:r>
        <w:rPr>
          <w:b/>
          <w:color w:val="0F6E6E"/>
          <w:sz w:val="22"/>
        </w:rPr>
        <w:t xml:space="preserve">B.  </w:t>
      </w:r>
      <w:r>
        <w:rPr>
          <w:color w:val="0F172A"/>
          <w:sz w:val="22"/>
        </w:rPr>
        <w:t>Serum creatinine only</w:t>
      </w:r>
    </w:p>
    <w:p>
      <w:pPr>
        <w:spacing w:after="60"/>
        <w:ind w:left="576"/>
      </w:pPr>
      <w:r>
        <w:rPr>
          <w:color w:val="0F172A"/>
          <w:sz w:val="24"/>
        </w:rPr>
        <w:t xml:space="preserve">☐  </w:t>
      </w:r>
      <w:r>
        <w:rPr>
          <w:b/>
          <w:color w:val="0F6E6E"/>
          <w:sz w:val="22"/>
        </w:rPr>
        <w:t xml:space="preserve">C.  </w:t>
      </w:r>
      <w:r>
        <w:rPr>
          <w:color w:val="0F172A"/>
          <w:sz w:val="22"/>
        </w:rPr>
        <w:t>eGFR (estimated Glomerular Filtration Rate)</w:t>
      </w:r>
    </w:p>
    <w:p>
      <w:pPr>
        <w:spacing w:after="60"/>
        <w:ind w:left="576"/>
      </w:pPr>
      <w:r>
        <w:rPr>
          <w:color w:val="0F172A"/>
          <w:sz w:val="24"/>
        </w:rPr>
        <w:t xml:space="preserve">☐  </w:t>
      </w:r>
      <w:r>
        <w:rPr>
          <w:b/>
          <w:color w:val="0F6E6E"/>
          <w:sz w:val="22"/>
        </w:rPr>
        <w:t xml:space="preserve">D.  </w:t>
      </w:r>
      <w:r>
        <w:rPr>
          <w:color w:val="0F172A"/>
          <w:sz w:val="22"/>
        </w:rPr>
        <w:t>Urine specific gravity</w:t>
      </w:r>
    </w:p>
    <w:p>
      <w:pPr>
        <w:spacing w:before="240" w:after="120"/>
      </w:pPr>
      <w:r>
        <w:rPr>
          <w:b/>
          <w:color w:val="0F6E6E"/>
          <w:sz w:val="24"/>
        </w:rPr>
        <w:t xml:space="preserve">4.  </w:t>
      </w:r>
      <w:r>
        <w:rPr>
          <w:b/>
          <w:color w:val="0F172A"/>
          <w:sz w:val="22"/>
        </w:rPr>
        <w:t>A patient's chart shows Hypothyroidism (E03.9). Which gland is not producing enough hormone?</w:t>
      </w:r>
    </w:p>
    <w:p>
      <w:pPr>
        <w:spacing w:after="60"/>
        <w:ind w:left="576"/>
      </w:pPr>
      <w:r>
        <w:rPr>
          <w:color w:val="0F172A"/>
          <w:sz w:val="24"/>
        </w:rPr>
        <w:t xml:space="preserve">☐  </w:t>
      </w:r>
      <w:r>
        <w:rPr>
          <w:b/>
          <w:color w:val="0F6E6E"/>
          <w:sz w:val="22"/>
        </w:rPr>
        <w:t xml:space="preserve">A.  </w:t>
      </w:r>
      <w:r>
        <w:rPr>
          <w:color w:val="0F172A"/>
          <w:sz w:val="22"/>
        </w:rPr>
        <w:t>Pituitary gland</w:t>
      </w:r>
    </w:p>
    <w:p>
      <w:pPr>
        <w:spacing w:after="60"/>
        <w:ind w:left="576"/>
      </w:pPr>
      <w:r>
        <w:rPr>
          <w:color w:val="0F172A"/>
          <w:sz w:val="24"/>
        </w:rPr>
        <w:t xml:space="preserve">☐  </w:t>
      </w:r>
      <w:r>
        <w:rPr>
          <w:b/>
          <w:color w:val="0F6E6E"/>
          <w:sz w:val="22"/>
        </w:rPr>
        <w:t xml:space="preserve">B.  </w:t>
      </w:r>
      <w:r>
        <w:rPr>
          <w:color w:val="0F172A"/>
          <w:sz w:val="22"/>
        </w:rPr>
        <w:t>Adrenal gland</w:t>
      </w:r>
    </w:p>
    <w:p>
      <w:pPr>
        <w:spacing w:after="60"/>
        <w:ind w:left="576"/>
      </w:pPr>
      <w:r>
        <w:rPr>
          <w:color w:val="0F172A"/>
          <w:sz w:val="24"/>
        </w:rPr>
        <w:t xml:space="preserve">☐  </w:t>
      </w:r>
      <w:r>
        <w:rPr>
          <w:b/>
          <w:color w:val="0F6E6E"/>
          <w:sz w:val="22"/>
        </w:rPr>
        <w:t xml:space="preserve">C.  </w:t>
      </w:r>
      <w:r>
        <w:rPr>
          <w:color w:val="0F172A"/>
          <w:sz w:val="22"/>
        </w:rPr>
        <w:t>Thyroid gland</w:t>
      </w:r>
    </w:p>
    <w:p>
      <w:pPr>
        <w:spacing w:after="60"/>
        <w:ind w:left="576"/>
      </w:pPr>
      <w:r>
        <w:rPr>
          <w:color w:val="0F172A"/>
          <w:sz w:val="24"/>
        </w:rPr>
        <w:t xml:space="preserve">☐  </w:t>
      </w:r>
      <w:r>
        <w:rPr>
          <w:b/>
          <w:color w:val="0F6E6E"/>
          <w:sz w:val="22"/>
        </w:rPr>
        <w:t xml:space="preserve">D.  </w:t>
      </w:r>
      <w:r>
        <w:rPr>
          <w:color w:val="0F172A"/>
          <w:sz w:val="22"/>
        </w:rPr>
        <w:t>Parathyroid gland</w:t>
      </w:r>
    </w:p>
    <w:p>
      <w:pPr>
        <w:spacing w:before="240" w:after="120"/>
      </w:pPr>
      <w:r>
        <w:rPr>
          <w:b/>
          <w:color w:val="0F6E6E"/>
          <w:sz w:val="24"/>
        </w:rPr>
        <w:t xml:space="preserve">5.  </w:t>
      </w:r>
      <w:r>
        <w:rPr>
          <w:b/>
          <w:color w:val="0F172A"/>
          <w:sz w:val="22"/>
        </w:rPr>
        <w:t>When coding a diabetic patient, which lab value best reflects the patient's blood sugar control over the past 2–3 months?</w:t>
      </w:r>
    </w:p>
    <w:p>
      <w:pPr>
        <w:spacing w:after="60"/>
        <w:ind w:left="576"/>
      </w:pPr>
      <w:r>
        <w:rPr>
          <w:color w:val="0F172A"/>
          <w:sz w:val="24"/>
        </w:rPr>
        <w:t xml:space="preserve">☐  </w:t>
      </w:r>
      <w:r>
        <w:rPr>
          <w:b/>
          <w:color w:val="0F6E6E"/>
          <w:sz w:val="22"/>
        </w:rPr>
        <w:t xml:space="preserve">A.  </w:t>
      </w:r>
      <w:r>
        <w:rPr>
          <w:color w:val="0F172A"/>
          <w:sz w:val="22"/>
        </w:rPr>
        <w:t>Fasting glucose</w:t>
      </w:r>
    </w:p>
    <w:p>
      <w:pPr>
        <w:spacing w:after="60"/>
        <w:ind w:left="576"/>
      </w:pPr>
      <w:r>
        <w:rPr>
          <w:color w:val="0F172A"/>
          <w:sz w:val="24"/>
        </w:rPr>
        <w:t xml:space="preserve">☐  </w:t>
      </w:r>
      <w:r>
        <w:rPr>
          <w:b/>
          <w:color w:val="0F6E6E"/>
          <w:sz w:val="22"/>
        </w:rPr>
        <w:t xml:space="preserve">B.  </w:t>
      </w:r>
      <w:r>
        <w:rPr>
          <w:color w:val="0F172A"/>
          <w:sz w:val="22"/>
        </w:rPr>
        <w:t>Random glucose</w:t>
      </w:r>
    </w:p>
    <w:p>
      <w:pPr>
        <w:spacing w:after="60"/>
        <w:ind w:left="576"/>
      </w:pPr>
      <w:r>
        <w:rPr>
          <w:color w:val="0F172A"/>
          <w:sz w:val="24"/>
        </w:rPr>
        <w:t xml:space="preserve">☐  </w:t>
      </w:r>
      <w:r>
        <w:rPr>
          <w:b/>
          <w:color w:val="0F6E6E"/>
          <w:sz w:val="22"/>
        </w:rPr>
        <w:t xml:space="preserve">C.  </w:t>
      </w:r>
      <w:r>
        <w:rPr>
          <w:color w:val="0F172A"/>
          <w:sz w:val="22"/>
        </w:rPr>
        <w:t>HbA1c (Hemoglobin A1c)</w:t>
      </w:r>
    </w:p>
    <w:p>
      <w:pPr>
        <w:spacing w:after="60"/>
        <w:ind w:left="576"/>
      </w:pPr>
      <w:r>
        <w:rPr>
          <w:color w:val="0F172A"/>
          <w:sz w:val="24"/>
        </w:rPr>
        <w:t xml:space="preserve">☐  </w:t>
      </w:r>
      <w:r>
        <w:rPr>
          <w:b/>
          <w:color w:val="0F6E6E"/>
          <w:sz w:val="22"/>
        </w:rPr>
        <w:t xml:space="preserve">D.  </w:t>
      </w:r>
      <w:r>
        <w:rPr>
          <w:color w:val="0F172A"/>
          <w:sz w:val="22"/>
        </w:rPr>
        <w:t>Postprandial glucose</w:t>
      </w:r>
    </w:p>
    <w:p>
      <w:pPr>
        <w:spacing w:before="240" w:after="120"/>
      </w:pPr>
      <w:r>
        <w:rPr>
          <w:b/>
          <w:color w:val="0F6E6E"/>
          <w:sz w:val="24"/>
        </w:rPr>
        <w:t xml:space="preserve">6.  </w:t>
      </w:r>
      <w:r>
        <w:rPr>
          <w:b/>
          <w:color w:val="0F172A"/>
          <w:sz w:val="22"/>
        </w:rPr>
        <w:t>When coding obesity (E66.-), which additional code is ALWAYS required to specify the BMI category?</w:t>
      </w:r>
    </w:p>
    <w:p>
      <w:pPr>
        <w:spacing w:after="60"/>
        <w:ind w:left="576"/>
      </w:pPr>
      <w:r>
        <w:rPr>
          <w:color w:val="0F172A"/>
          <w:sz w:val="24"/>
        </w:rPr>
        <w:t xml:space="preserve">☐  </w:t>
      </w:r>
      <w:r>
        <w:rPr>
          <w:b/>
          <w:color w:val="0F6E6E"/>
          <w:sz w:val="22"/>
        </w:rPr>
        <w:t xml:space="preserve">A.  </w:t>
      </w:r>
      <w:r>
        <w:rPr>
          <w:color w:val="0F172A"/>
          <w:sz w:val="22"/>
        </w:rPr>
        <w:t>R92.x</w:t>
      </w:r>
    </w:p>
    <w:p>
      <w:pPr>
        <w:spacing w:after="60"/>
        <w:ind w:left="576"/>
      </w:pPr>
      <w:r>
        <w:rPr>
          <w:color w:val="0F172A"/>
          <w:sz w:val="24"/>
        </w:rPr>
        <w:t xml:space="preserve">☐  </w:t>
      </w:r>
      <w:r>
        <w:rPr>
          <w:b/>
          <w:color w:val="0F6E6E"/>
          <w:sz w:val="22"/>
        </w:rPr>
        <w:t xml:space="preserve">B.  </w:t>
      </w:r>
      <w:r>
        <w:rPr>
          <w:color w:val="0F172A"/>
          <w:sz w:val="22"/>
        </w:rPr>
        <w:t>Z68.x</w:t>
      </w:r>
    </w:p>
    <w:p>
      <w:pPr>
        <w:spacing w:after="60"/>
        <w:ind w:left="576"/>
      </w:pPr>
      <w:r>
        <w:rPr>
          <w:color w:val="0F172A"/>
          <w:sz w:val="24"/>
        </w:rPr>
        <w:t xml:space="preserve">☐  </w:t>
      </w:r>
      <w:r>
        <w:rPr>
          <w:b/>
          <w:color w:val="0F6E6E"/>
          <w:sz w:val="22"/>
        </w:rPr>
        <w:t xml:space="preserve">C.  </w:t>
      </w:r>
      <w:r>
        <w:rPr>
          <w:color w:val="0F172A"/>
          <w:sz w:val="22"/>
        </w:rPr>
        <w:t>Z79.x</w:t>
      </w:r>
    </w:p>
    <w:p>
      <w:pPr>
        <w:spacing w:after="60"/>
        <w:ind w:left="576"/>
      </w:pPr>
      <w:r>
        <w:rPr>
          <w:color w:val="0F172A"/>
          <w:sz w:val="24"/>
        </w:rPr>
        <w:t xml:space="preserve">☐  </w:t>
      </w:r>
      <w:r>
        <w:rPr>
          <w:b/>
          <w:color w:val="0F6E6E"/>
          <w:sz w:val="22"/>
        </w:rPr>
        <w:t xml:space="preserve">D.  </w:t>
      </w:r>
      <w:r>
        <w:rPr>
          <w:color w:val="0F172A"/>
          <w:sz w:val="22"/>
        </w:rPr>
        <w:t>No additional code is required</w:t>
      </w:r>
    </w:p>
    <w:p>
      <w:pPr>
        <w:spacing w:before="240" w:after="120"/>
      </w:pPr>
      <w:r>
        <w:rPr>
          <w:b/>
          <w:color w:val="0F6E6E"/>
          <w:sz w:val="24"/>
        </w:rPr>
        <w:t xml:space="preserve">7.  </w:t>
      </w:r>
      <w:r>
        <w:rPr>
          <w:b/>
          <w:color w:val="0F172A"/>
          <w:sz w:val="22"/>
        </w:rPr>
        <w:t>In Asthma (J45), what physiological change causes the shortness of breath and wheezing?</w:t>
      </w:r>
    </w:p>
    <w:p>
      <w:pPr>
        <w:spacing w:after="60"/>
        <w:ind w:left="576"/>
      </w:pPr>
      <w:r>
        <w:rPr>
          <w:color w:val="0F172A"/>
          <w:sz w:val="24"/>
        </w:rPr>
        <w:t xml:space="preserve">☐  </w:t>
      </w:r>
      <w:r>
        <w:rPr>
          <w:b/>
          <w:color w:val="0F6E6E"/>
          <w:sz w:val="22"/>
        </w:rPr>
        <w:t xml:space="preserve">A.  </w:t>
      </w:r>
      <w:r>
        <w:rPr>
          <w:color w:val="0F172A"/>
          <w:sz w:val="22"/>
        </w:rPr>
        <w:t>The alveoli fill with blood</w:t>
      </w:r>
    </w:p>
    <w:p>
      <w:pPr>
        <w:spacing w:after="60"/>
        <w:ind w:left="576"/>
      </w:pPr>
      <w:r>
        <w:rPr>
          <w:color w:val="0F172A"/>
          <w:sz w:val="24"/>
        </w:rPr>
        <w:t xml:space="preserve">☐  </w:t>
      </w:r>
      <w:r>
        <w:rPr>
          <w:b/>
          <w:color w:val="0F6E6E"/>
          <w:sz w:val="22"/>
        </w:rPr>
        <w:t xml:space="preserve">B.  </w:t>
      </w:r>
      <w:r>
        <w:rPr>
          <w:color w:val="0F172A"/>
          <w:sz w:val="22"/>
        </w:rPr>
        <w:t>The bronchial airways narrow due to inflammation and muscle constriction</w:t>
      </w:r>
    </w:p>
    <w:p>
      <w:pPr>
        <w:spacing w:after="60"/>
        <w:ind w:left="576"/>
      </w:pPr>
      <w:r>
        <w:rPr>
          <w:color w:val="0F172A"/>
          <w:sz w:val="24"/>
        </w:rPr>
        <w:t xml:space="preserve">☐  </w:t>
      </w:r>
      <w:r>
        <w:rPr>
          <w:b/>
          <w:color w:val="0F6E6E"/>
          <w:sz w:val="22"/>
        </w:rPr>
        <w:t xml:space="preserve">C.  </w:t>
      </w:r>
      <w:r>
        <w:rPr>
          <w:color w:val="0F172A"/>
          <w:sz w:val="22"/>
        </w:rPr>
        <w:t>The heart pumps too fast</w:t>
      </w:r>
    </w:p>
    <w:p>
      <w:pPr>
        <w:spacing w:after="60"/>
        <w:ind w:left="576"/>
      </w:pPr>
      <w:r>
        <w:rPr>
          <w:color w:val="0F172A"/>
          <w:sz w:val="24"/>
        </w:rPr>
        <w:t xml:space="preserve">☐  </w:t>
      </w:r>
      <w:r>
        <w:rPr>
          <w:b/>
          <w:color w:val="0F6E6E"/>
          <w:sz w:val="22"/>
        </w:rPr>
        <w:t xml:space="preserve">D.  </w:t>
      </w:r>
      <w:r>
        <w:rPr>
          <w:color w:val="0F172A"/>
          <w:sz w:val="22"/>
        </w:rPr>
        <w:t>The pleural space fills with fluid</w:t>
      </w:r>
    </w:p>
    <w:p>
      <w:pPr>
        <w:spacing w:before="240" w:after="120"/>
      </w:pPr>
      <w:r>
        <w:rPr>
          <w:b/>
          <w:color w:val="0F6E6E"/>
          <w:sz w:val="24"/>
        </w:rPr>
        <w:t xml:space="preserve">8.  </w:t>
      </w:r>
      <w:r>
        <w:rPr>
          <w:b/>
          <w:color w:val="0F172A"/>
          <w:sz w:val="22"/>
        </w:rPr>
        <w:t>Which screening tool is most commonly used to measure the severity of Major Depressive Disorder (F32/F33)?</w:t>
      </w:r>
    </w:p>
    <w:p>
      <w:pPr>
        <w:spacing w:after="60"/>
        <w:ind w:left="576"/>
      </w:pPr>
      <w:r>
        <w:rPr>
          <w:color w:val="0F172A"/>
          <w:sz w:val="24"/>
        </w:rPr>
        <w:t xml:space="preserve">☐  </w:t>
      </w:r>
      <w:r>
        <w:rPr>
          <w:b/>
          <w:color w:val="0F6E6E"/>
          <w:sz w:val="22"/>
        </w:rPr>
        <w:t xml:space="preserve">A.  </w:t>
      </w:r>
      <w:r>
        <w:rPr>
          <w:color w:val="0F172A"/>
          <w:sz w:val="22"/>
        </w:rPr>
        <w:t>GAD-7</w:t>
      </w:r>
    </w:p>
    <w:p>
      <w:pPr>
        <w:spacing w:after="60"/>
        <w:ind w:left="576"/>
      </w:pPr>
      <w:r>
        <w:rPr>
          <w:color w:val="0F172A"/>
          <w:sz w:val="24"/>
        </w:rPr>
        <w:t xml:space="preserve">☐  </w:t>
      </w:r>
      <w:r>
        <w:rPr>
          <w:b/>
          <w:color w:val="0F6E6E"/>
          <w:sz w:val="22"/>
        </w:rPr>
        <w:t xml:space="preserve">B.  </w:t>
      </w:r>
      <w:r>
        <w:rPr>
          <w:color w:val="0F172A"/>
          <w:sz w:val="22"/>
        </w:rPr>
        <w:t>PHQ-9</w:t>
      </w:r>
    </w:p>
    <w:p>
      <w:pPr>
        <w:spacing w:after="60"/>
        <w:ind w:left="576"/>
      </w:pPr>
      <w:r>
        <w:rPr>
          <w:color w:val="0F172A"/>
          <w:sz w:val="24"/>
        </w:rPr>
        <w:t xml:space="preserve">☐  </w:t>
      </w:r>
      <w:r>
        <w:rPr>
          <w:b/>
          <w:color w:val="0F6E6E"/>
          <w:sz w:val="22"/>
        </w:rPr>
        <w:t xml:space="preserve">C.  </w:t>
      </w:r>
      <w:r>
        <w:rPr>
          <w:color w:val="0F172A"/>
          <w:sz w:val="22"/>
        </w:rPr>
        <w:t>BMI</w:t>
      </w:r>
    </w:p>
    <w:p>
      <w:pPr>
        <w:spacing w:after="60"/>
        <w:ind w:left="576"/>
      </w:pPr>
      <w:r>
        <w:rPr>
          <w:color w:val="0F172A"/>
          <w:sz w:val="24"/>
        </w:rPr>
        <w:t xml:space="preserve">☐  </w:t>
      </w:r>
      <w:r>
        <w:rPr>
          <w:b/>
          <w:color w:val="0F6E6E"/>
          <w:sz w:val="22"/>
        </w:rPr>
        <w:t xml:space="preserve">D.  </w:t>
      </w:r>
      <w:r>
        <w:rPr>
          <w:color w:val="0F172A"/>
          <w:sz w:val="22"/>
        </w:rPr>
        <w:t>HbA1c</w:t>
      </w:r>
    </w:p>
    <w:p>
      <w:pPr>
        <w:spacing w:before="240" w:after="120"/>
      </w:pPr>
      <w:r>
        <w:rPr>
          <w:b/>
          <w:color w:val="0F6E6E"/>
          <w:sz w:val="24"/>
        </w:rPr>
        <w:t xml:space="preserve">9.  </w:t>
      </w:r>
      <w:r>
        <w:rPr>
          <w:b/>
          <w:color w:val="0F172A"/>
          <w:sz w:val="22"/>
        </w:rPr>
        <w:t>Which imaging test measures bone mineral density to diagnose Osteoporosis (M81.0)?</w:t>
      </w:r>
    </w:p>
    <w:p>
      <w:pPr>
        <w:spacing w:after="60"/>
        <w:ind w:left="576"/>
      </w:pPr>
      <w:r>
        <w:rPr>
          <w:color w:val="0F172A"/>
          <w:sz w:val="24"/>
        </w:rPr>
        <w:t xml:space="preserve">☐  </w:t>
      </w:r>
      <w:r>
        <w:rPr>
          <w:b/>
          <w:color w:val="0F6E6E"/>
          <w:sz w:val="22"/>
        </w:rPr>
        <w:t xml:space="preserve">A.  </w:t>
      </w:r>
      <w:r>
        <w:rPr>
          <w:color w:val="0F172A"/>
          <w:sz w:val="22"/>
        </w:rPr>
        <w:t>MRI</w:t>
      </w:r>
    </w:p>
    <w:p>
      <w:pPr>
        <w:spacing w:after="60"/>
        <w:ind w:left="576"/>
      </w:pPr>
      <w:r>
        <w:rPr>
          <w:color w:val="0F172A"/>
          <w:sz w:val="24"/>
        </w:rPr>
        <w:t xml:space="preserve">☐  </w:t>
      </w:r>
      <w:r>
        <w:rPr>
          <w:b/>
          <w:color w:val="0F6E6E"/>
          <w:sz w:val="22"/>
        </w:rPr>
        <w:t xml:space="preserve">B.  </w:t>
      </w:r>
      <w:r>
        <w:rPr>
          <w:color w:val="0F172A"/>
          <w:sz w:val="22"/>
        </w:rPr>
        <w:t>CT scan</w:t>
      </w:r>
    </w:p>
    <w:p>
      <w:pPr>
        <w:spacing w:after="60"/>
        <w:ind w:left="576"/>
      </w:pPr>
      <w:r>
        <w:rPr>
          <w:color w:val="0F172A"/>
          <w:sz w:val="24"/>
        </w:rPr>
        <w:t xml:space="preserve">☐  </w:t>
      </w:r>
      <w:r>
        <w:rPr>
          <w:b/>
          <w:color w:val="0F6E6E"/>
          <w:sz w:val="22"/>
        </w:rPr>
        <w:t xml:space="preserve">C.  </w:t>
      </w:r>
      <w:r>
        <w:rPr>
          <w:color w:val="0F172A"/>
          <w:sz w:val="22"/>
        </w:rPr>
        <w:t>DEXA (DXA) scan</w:t>
      </w:r>
    </w:p>
    <w:p>
      <w:pPr>
        <w:spacing w:after="60"/>
        <w:ind w:left="576"/>
      </w:pPr>
      <w:r>
        <w:rPr>
          <w:color w:val="0F172A"/>
          <w:sz w:val="24"/>
        </w:rPr>
        <w:t xml:space="preserve">☐  </w:t>
      </w:r>
      <w:r>
        <w:rPr>
          <w:b/>
          <w:color w:val="0F6E6E"/>
          <w:sz w:val="22"/>
        </w:rPr>
        <w:t xml:space="preserve">D.  </w:t>
      </w:r>
      <w:r>
        <w:rPr>
          <w:color w:val="0F172A"/>
          <w:sz w:val="22"/>
        </w:rPr>
        <w:t>Ultrasound</w:t>
      </w:r>
    </w:p>
    <w:p>
      <w:pPr>
        <w:spacing w:before="240" w:after="120"/>
      </w:pPr>
      <w:r>
        <w:rPr>
          <w:b/>
          <w:color w:val="0F6E6E"/>
          <w:sz w:val="24"/>
        </w:rPr>
        <w:t xml:space="preserve">10.  </w:t>
      </w:r>
      <w:r>
        <w:rPr>
          <w:b/>
          <w:color w:val="0F172A"/>
          <w:sz w:val="22"/>
        </w:rPr>
        <w:t>In Heart Failure (I50), which organ is not working properly?</w:t>
      </w:r>
    </w:p>
    <w:p>
      <w:pPr>
        <w:spacing w:after="60"/>
        <w:ind w:left="576"/>
      </w:pPr>
      <w:r>
        <w:rPr>
          <w:color w:val="0F172A"/>
          <w:sz w:val="24"/>
        </w:rPr>
        <w:t xml:space="preserve">☐  </w:t>
      </w:r>
      <w:r>
        <w:rPr>
          <w:b/>
          <w:color w:val="0F6E6E"/>
          <w:sz w:val="22"/>
        </w:rPr>
        <w:t xml:space="preserve">A.  </w:t>
      </w:r>
      <w:r>
        <w:rPr>
          <w:color w:val="0F172A"/>
          <w:sz w:val="22"/>
        </w:rPr>
        <w:t>Kidney</w:t>
      </w:r>
    </w:p>
    <w:p>
      <w:pPr>
        <w:spacing w:after="60"/>
        <w:ind w:left="576"/>
      </w:pPr>
      <w:r>
        <w:rPr>
          <w:color w:val="0F172A"/>
          <w:sz w:val="24"/>
        </w:rPr>
        <w:t xml:space="preserve">☐  </w:t>
      </w:r>
      <w:r>
        <w:rPr>
          <w:b/>
          <w:color w:val="0F6E6E"/>
          <w:sz w:val="22"/>
        </w:rPr>
        <w:t xml:space="preserve">B.  </w:t>
      </w:r>
      <w:r>
        <w:rPr>
          <w:color w:val="0F172A"/>
          <w:sz w:val="22"/>
        </w:rPr>
        <w:t>Liver</w:t>
      </w:r>
    </w:p>
    <w:p>
      <w:pPr>
        <w:spacing w:after="60"/>
        <w:ind w:left="576"/>
      </w:pPr>
      <w:r>
        <w:rPr>
          <w:color w:val="0F172A"/>
          <w:sz w:val="24"/>
        </w:rPr>
        <w:t xml:space="preserve">☐  </w:t>
      </w:r>
      <w:r>
        <w:rPr>
          <w:b/>
          <w:color w:val="0F6E6E"/>
          <w:sz w:val="22"/>
        </w:rPr>
        <w:t xml:space="preserve">C.  </w:t>
      </w:r>
      <w:r>
        <w:rPr>
          <w:color w:val="0F172A"/>
          <w:sz w:val="22"/>
        </w:rPr>
        <w:t>Heart</w:t>
      </w:r>
    </w:p>
    <w:p>
      <w:pPr>
        <w:spacing w:after="60"/>
        <w:ind w:left="576"/>
      </w:pPr>
      <w:r>
        <w:rPr>
          <w:color w:val="0F172A"/>
          <w:sz w:val="24"/>
        </w:rPr>
        <w:t xml:space="preserve">☐  </w:t>
      </w:r>
      <w:r>
        <w:rPr>
          <w:b/>
          <w:color w:val="0F6E6E"/>
          <w:sz w:val="22"/>
        </w:rPr>
        <w:t xml:space="preserve">D.  </w:t>
      </w:r>
      <w:r>
        <w:rPr>
          <w:color w:val="0F172A"/>
          <w:sz w:val="22"/>
        </w:rPr>
        <w:t>Pancreas</w:t>
      </w:r>
    </w:p>
    <w:p>
      <w:pPr>
        <w:spacing w:before="400"/>
      </w:pPr>
      <w:r>
        <w:rPr>
          <w:i/>
          <w:color w:val="555555"/>
        </w:rPr>
        <w:t>End of quiz · return to your grader · your grader will review the correct answers with you.</w:t>
      </w:r>
    </w:p>
    <w:p>
      <w:r>
        <w:br w:type="page"/>
      </w:r>
    </w:p>
    <w:p>
      <w:pPr>
        <w:spacing w:after="80"/>
      </w:pPr>
      <w:r>
        <w:rPr>
          <w:b/>
          <w:color w:val="0F172A"/>
          <w:sz w:val="44"/>
        </w:rPr>
        <w:t>Answer Key &amp; Scoring — GRADER USE ONLY</w:t>
      </w:r>
    </w:p>
    <w:p>
      <w:pPr>
        <w:spacing w:after="240"/>
      </w:pPr>
      <w:r>
        <w:rPr>
          <w:i/>
          <w:color w:val="555555"/>
          <w:sz w:val="22"/>
        </w:rPr>
        <w:t>Do not distribute this page with the blank quiz</w:t>
      </w:r>
    </w:p>
    <w:p>
      <w:pPr>
        <w:spacing w:before="280" w:after="120"/>
      </w:pPr>
      <w:r>
        <w:rPr>
          <w:b/>
          <w:color w:val="0F6E6E"/>
          <w:sz w:val="28"/>
        </w:rPr>
        <w:t>Answer key</w:t>
      </w:r>
    </w:p>
    <w:tbl>
      <w:tblPr>
        <w:tblW w:type="auto" w:w="0"/>
        <w:tblLayout w:type="fixed"/>
        <w:tblLook w:firstColumn="1" w:firstRow="1" w:lastColumn="0" w:lastRow="0" w:noHBand="0" w:noVBand="1" w:val="04A0"/>
      </w:tblPr>
      <w:tblGrid>
        <w:gridCol w:w="3324"/>
        <w:gridCol w:w="3324"/>
        <w:gridCol w:w="3324"/>
      </w:tblGrid>
      <w:tr>
        <w:tc>
          <w:tcPr>
            <w:tcW w:type="dxa" w:w="576"/>
            <w:shd w:fill="0F6E6E"/>
          </w:tcPr>
          <w:p>
            <w:r>
              <w:rPr>
                <w:b/>
                <w:color w:val="FFFFFF"/>
                <w:sz w:val="21"/>
              </w:rPr>
              <w:t>#</w:t>
            </w:r>
          </w:p>
        </w:tc>
        <w:tc>
          <w:tcPr>
            <w:tcW w:type="dxa" w:w="2592"/>
            <w:shd w:fill="0F6E6E"/>
          </w:tcPr>
          <w:p>
            <w:r>
              <w:rPr>
                <w:b/>
                <w:color w:val="FFFFFF"/>
                <w:sz w:val="21"/>
              </w:rPr>
              <w:t>Correct answer</w:t>
            </w:r>
          </w:p>
        </w:tc>
        <w:tc>
          <w:tcPr>
            <w:tcW w:type="dxa" w:w="6048"/>
            <w:shd w:fill="0F6E6E"/>
          </w:tcPr>
          <w:p>
            <w:r>
              <w:rPr>
                <w:b/>
                <w:color w:val="FFFFFF"/>
                <w:sz w:val="21"/>
              </w:rPr>
              <w:t>Why it matters for the biller</w:t>
            </w:r>
          </w:p>
        </w:tc>
      </w:tr>
      <w:tr>
        <w:tc>
          <w:tcPr>
            <w:tcW w:type="dxa" w:w="576"/>
          </w:tcPr>
          <w:p>
            <w:r>
              <w:rPr>
                <w:sz w:val="21"/>
              </w:rPr>
              <w:t>1</w:t>
            </w:r>
          </w:p>
        </w:tc>
        <w:tc>
          <w:tcPr>
            <w:tcW w:type="dxa" w:w="2592"/>
          </w:tcPr>
          <w:p>
            <w:r>
              <w:rPr>
                <w:sz w:val="21"/>
              </w:rPr>
              <w:t>C — Pancreas</w:t>
            </w:r>
          </w:p>
        </w:tc>
        <w:tc>
          <w:tcPr>
            <w:tcW w:type="dxa" w:w="6048"/>
          </w:tcPr>
          <w:p>
            <w:r>
              <w:rPr>
                <w:sz w:val="21"/>
              </w:rPr>
              <w:t>Diabetes is an endocrine/pancreas disease. Understanding this helps recognize the significance of insulin use (Z79.4) and pump codes (Z96.41).</w:t>
            </w:r>
          </w:p>
        </w:tc>
      </w:tr>
      <w:tr>
        <w:tc>
          <w:tcPr>
            <w:tcW w:type="dxa" w:w="576"/>
            <w:shd w:fill="F1F8F7"/>
          </w:tcPr>
          <w:p>
            <w:r>
              <w:rPr>
                <w:sz w:val="21"/>
              </w:rPr>
              <w:t>2</w:t>
            </w:r>
          </w:p>
        </w:tc>
        <w:tc>
          <w:tcPr>
            <w:tcW w:type="dxa" w:w="2592"/>
            <w:shd w:fill="F1F8F7"/>
          </w:tcPr>
          <w:p>
            <w:r>
              <w:rPr>
                <w:sz w:val="21"/>
              </w:rPr>
              <w:t>B — Cardiovascular</w:t>
            </w:r>
          </w:p>
        </w:tc>
        <w:tc>
          <w:tcPr>
            <w:tcW w:type="dxa" w:w="6048"/>
            <w:shd w:fill="F1F8F7"/>
          </w:tcPr>
          <w:p>
            <w:r>
              <w:rPr>
                <w:sz w:val="21"/>
              </w:rPr>
              <w:t>HTN codes to a cardiovascular condition. This helps understand why HTN combined with heart or kidney disease requires I11.- / I12.- / I13.-, not just I10.</w:t>
            </w:r>
          </w:p>
        </w:tc>
      </w:tr>
      <w:tr>
        <w:tc>
          <w:tcPr>
            <w:tcW w:type="dxa" w:w="576"/>
          </w:tcPr>
          <w:p>
            <w:r>
              <w:rPr>
                <w:sz w:val="21"/>
              </w:rPr>
              <w:t>3</w:t>
            </w:r>
          </w:p>
        </w:tc>
        <w:tc>
          <w:tcPr>
            <w:tcW w:type="dxa" w:w="2592"/>
          </w:tcPr>
          <w:p>
            <w:r>
              <w:rPr>
                <w:sz w:val="21"/>
              </w:rPr>
              <w:t>C — eGFR</w:t>
            </w:r>
          </w:p>
        </w:tc>
        <w:tc>
          <w:tcPr>
            <w:tcW w:type="dxa" w:w="6048"/>
          </w:tcPr>
          <w:p>
            <w:r>
              <w:rPr>
                <w:sz w:val="21"/>
              </w:rPr>
              <w:t>Every CKD chart must have eGFR documented to code the stage correctly (N18.30 / N18.31 / N18.32 / N18.4 / N18.5).</w:t>
            </w:r>
          </w:p>
        </w:tc>
      </w:tr>
      <w:tr>
        <w:tc>
          <w:tcPr>
            <w:tcW w:type="dxa" w:w="576"/>
            <w:shd w:fill="F1F8F7"/>
          </w:tcPr>
          <w:p>
            <w:r>
              <w:rPr>
                <w:sz w:val="21"/>
              </w:rPr>
              <w:t>4</w:t>
            </w:r>
          </w:p>
        </w:tc>
        <w:tc>
          <w:tcPr>
            <w:tcW w:type="dxa" w:w="2592"/>
            <w:shd w:fill="F1F8F7"/>
          </w:tcPr>
          <w:p>
            <w:r>
              <w:rPr>
                <w:sz w:val="21"/>
              </w:rPr>
              <w:t>C — Thyroid gland</w:t>
            </w:r>
          </w:p>
        </w:tc>
        <w:tc>
          <w:tcPr>
            <w:tcW w:type="dxa" w:w="6048"/>
            <w:shd w:fill="F1F8F7"/>
          </w:tcPr>
          <w:p>
            <w:r>
              <w:rPr>
                <w:sz w:val="21"/>
              </w:rPr>
              <w:t>Hypothyroidism means the thyroid is underactive. Knowing this helps recognize the significance of TSH labs and levothyroxine (Synthroid) as a marker of the diagnosis.</w:t>
            </w:r>
          </w:p>
        </w:tc>
      </w:tr>
      <w:tr>
        <w:tc>
          <w:tcPr>
            <w:tcW w:type="dxa" w:w="576"/>
          </w:tcPr>
          <w:p>
            <w:r>
              <w:rPr>
                <w:sz w:val="21"/>
              </w:rPr>
              <w:t>5</w:t>
            </w:r>
          </w:p>
        </w:tc>
        <w:tc>
          <w:tcPr>
            <w:tcW w:type="dxa" w:w="2592"/>
          </w:tcPr>
          <w:p>
            <w:r>
              <w:rPr>
                <w:sz w:val="21"/>
              </w:rPr>
              <w:t>C — HbA1c</w:t>
            </w:r>
          </w:p>
        </w:tc>
        <w:tc>
          <w:tcPr>
            <w:tcW w:type="dxa" w:w="6048"/>
          </w:tcPr>
          <w:p>
            <w:r>
              <w:rPr>
                <w:sz w:val="21"/>
              </w:rPr>
              <w:t>HbA1c reflects average glucose over ~3 months and is the standard clinical marker of diabetes control. It drives CPT II codes 3044F / 3046F / 3051F / 3052F for quality reporting.</w:t>
            </w:r>
          </w:p>
        </w:tc>
      </w:tr>
      <w:tr>
        <w:tc>
          <w:tcPr>
            <w:tcW w:type="dxa" w:w="576"/>
            <w:shd w:fill="F1F8F7"/>
          </w:tcPr>
          <w:p>
            <w:r>
              <w:rPr>
                <w:sz w:val="21"/>
              </w:rPr>
              <w:t>6</w:t>
            </w:r>
          </w:p>
        </w:tc>
        <w:tc>
          <w:tcPr>
            <w:tcW w:type="dxa" w:w="2592"/>
            <w:shd w:fill="F1F8F7"/>
          </w:tcPr>
          <w:p>
            <w:r>
              <w:rPr>
                <w:sz w:val="21"/>
              </w:rPr>
              <w:t>B — Z68.x</w:t>
            </w:r>
          </w:p>
        </w:tc>
        <w:tc>
          <w:tcPr>
            <w:tcW w:type="dxa" w:w="6048"/>
            <w:shd w:fill="F1F8F7"/>
          </w:tcPr>
          <w:p>
            <w:r>
              <w:rPr>
                <w:sz w:val="21"/>
              </w:rPr>
              <w:t>The most commonly missed CDI finding at preventive care centers. Every E66.- code MUST be paired with a Z68.x BMI category code.</w:t>
            </w:r>
          </w:p>
        </w:tc>
      </w:tr>
      <w:tr>
        <w:tc>
          <w:tcPr>
            <w:tcW w:type="dxa" w:w="576"/>
          </w:tcPr>
          <w:p>
            <w:r>
              <w:rPr>
                <w:sz w:val="21"/>
              </w:rPr>
              <w:t>7</w:t>
            </w:r>
          </w:p>
        </w:tc>
        <w:tc>
          <w:tcPr>
            <w:tcW w:type="dxa" w:w="2592"/>
          </w:tcPr>
          <w:p>
            <w:r>
              <w:rPr>
                <w:sz w:val="21"/>
              </w:rPr>
              <w:t>B — Bronchial airways narrow due to inflammation and muscle constriction</w:t>
            </w:r>
          </w:p>
        </w:tc>
        <w:tc>
          <w:tcPr>
            <w:tcW w:type="dxa" w:w="6048"/>
          </w:tcPr>
          <w:p>
            <w:r>
              <w:rPr>
                <w:sz w:val="21"/>
              </w:rPr>
              <w:t>In asthma, the bronchial airways constrict AND become inflamed — that's why bronchodilators (albuterol) and inhaled steroids (fluticasone) are both used. Understanding this helps the biller recognize why treatment involves both med classes and why severity depends on how often airways constrict.</w:t>
            </w:r>
          </w:p>
        </w:tc>
      </w:tr>
      <w:tr>
        <w:tc>
          <w:tcPr>
            <w:tcW w:type="dxa" w:w="576"/>
            <w:shd w:fill="F1F8F7"/>
          </w:tcPr>
          <w:p>
            <w:r>
              <w:rPr>
                <w:sz w:val="21"/>
              </w:rPr>
              <w:t>8</w:t>
            </w:r>
          </w:p>
        </w:tc>
        <w:tc>
          <w:tcPr>
            <w:tcW w:type="dxa" w:w="2592"/>
            <w:shd w:fill="F1F8F7"/>
          </w:tcPr>
          <w:p>
            <w:r>
              <w:rPr>
                <w:sz w:val="21"/>
              </w:rPr>
              <w:t>B — PHQ-9</w:t>
            </w:r>
          </w:p>
        </w:tc>
        <w:tc>
          <w:tcPr>
            <w:tcW w:type="dxa" w:w="6048"/>
            <w:shd w:fill="F1F8F7"/>
          </w:tcPr>
          <w:p>
            <w:r>
              <w:rPr>
                <w:sz w:val="21"/>
              </w:rPr>
              <w:t>PHQ-9 is the standard depression severity screen and drives CPT II 3725F / G8431. GAD-7 (choice A) is for anxiety. Knowing the difference prevents miscoding the screening measure.</w:t>
            </w:r>
          </w:p>
        </w:tc>
      </w:tr>
      <w:tr>
        <w:tc>
          <w:tcPr>
            <w:tcW w:type="dxa" w:w="576"/>
          </w:tcPr>
          <w:p>
            <w:r>
              <w:rPr>
                <w:sz w:val="21"/>
              </w:rPr>
              <w:t>9</w:t>
            </w:r>
          </w:p>
        </w:tc>
        <w:tc>
          <w:tcPr>
            <w:tcW w:type="dxa" w:w="2592"/>
          </w:tcPr>
          <w:p>
            <w:r>
              <w:rPr>
                <w:sz w:val="21"/>
              </w:rPr>
              <w:t>C — DEXA (DXA) scan</w:t>
            </w:r>
          </w:p>
        </w:tc>
        <w:tc>
          <w:tcPr>
            <w:tcW w:type="dxa" w:w="6048"/>
          </w:tcPr>
          <w:p>
            <w:r>
              <w:rPr>
                <w:sz w:val="21"/>
              </w:rPr>
              <w:t>DEXA is the gold-standard bone density test for osteoporosis. Recognizing it in the note lets the biller capture CPT II 3095F (DXA completed) or 3096F (DXA ordered).</w:t>
            </w:r>
          </w:p>
        </w:tc>
      </w:tr>
      <w:tr>
        <w:tc>
          <w:tcPr>
            <w:tcW w:type="dxa" w:w="576"/>
            <w:shd w:fill="F1F8F7"/>
          </w:tcPr>
          <w:p>
            <w:r>
              <w:rPr>
                <w:sz w:val="21"/>
              </w:rPr>
              <w:t>10</w:t>
            </w:r>
          </w:p>
        </w:tc>
        <w:tc>
          <w:tcPr>
            <w:tcW w:type="dxa" w:w="2592"/>
            <w:shd w:fill="F1F8F7"/>
          </w:tcPr>
          <w:p>
            <w:r>
              <w:rPr>
                <w:sz w:val="21"/>
              </w:rPr>
              <w:t>C — Heart</w:t>
            </w:r>
          </w:p>
        </w:tc>
        <w:tc>
          <w:tcPr>
            <w:tcW w:type="dxa" w:w="6048"/>
            <w:shd w:fill="F1F8F7"/>
          </w:tcPr>
          <w:p>
            <w:r>
              <w:rPr>
                <w:sz w:val="21"/>
              </w:rPr>
              <w:t>Heart Failure means the heart can't pump enough blood to meet the body's needs. This foundational understanding is what tells the biller to look for related documentation like ejection fraction (EF), BNP, diuretics, and to push for specificity (systolic vs diastolic) — the difference between I50.9 unspecified and an HCC-carrying code.</w:t>
            </w:r>
          </w:p>
        </w:tc>
      </w:tr>
    </w:tbl>
    <w:p>
      <w:pPr>
        <w:spacing w:before="280" w:after="120"/>
      </w:pPr>
      <w:r>
        <w:rPr>
          <w:b/>
          <w:color w:val="0F6E6E"/>
          <w:sz w:val="28"/>
        </w:rPr>
        <w:t>Scoring guide</w:t>
      </w:r>
    </w:p>
    <w:tbl>
      <w:tblPr>
        <w:tblW w:type="auto" w:w="0"/>
        <w:tblLayout w:type="fixed"/>
        <w:tblLook w:firstColumn="1" w:firstRow="1" w:lastColumn="0" w:lastRow="0" w:noHBand="0" w:noVBand="1" w:val="04A0"/>
      </w:tblPr>
      <w:tblGrid>
        <w:gridCol w:w="3324"/>
        <w:gridCol w:w="3324"/>
        <w:gridCol w:w="3324"/>
      </w:tblGrid>
      <w:tr>
        <w:tc>
          <w:tcPr>
            <w:tcW w:type="dxa" w:w="1440"/>
            <w:shd w:fill="0F6E6E"/>
          </w:tcPr>
          <w:p>
            <w:r>
              <w:rPr>
                <w:b/>
                <w:color w:val="FFFFFF"/>
                <w:sz w:val="21"/>
              </w:rPr>
              <w:t>Score</w:t>
            </w:r>
          </w:p>
        </w:tc>
        <w:tc>
          <w:tcPr>
            <w:tcW w:type="dxa" w:w="3600"/>
            <w:shd w:fill="0F6E6E"/>
          </w:tcPr>
          <w:p>
            <w:r>
              <w:rPr>
                <w:b/>
                <w:color w:val="FFFFFF"/>
                <w:sz w:val="21"/>
              </w:rPr>
              <w:t>Interpretation</w:t>
            </w:r>
          </w:p>
        </w:tc>
        <w:tc>
          <w:tcPr>
            <w:tcW w:type="dxa" w:w="4176"/>
            <w:shd w:fill="0F6E6E"/>
          </w:tcPr>
          <w:p>
            <w:r>
              <w:rPr>
                <w:b/>
                <w:color w:val="FFFFFF"/>
                <w:sz w:val="21"/>
              </w:rPr>
              <w:t>Recommended action</w:t>
            </w:r>
          </w:p>
        </w:tc>
      </w:tr>
      <w:tr>
        <w:tc>
          <w:tcPr>
            <w:tcW w:type="dxa" w:w="1440"/>
          </w:tcPr>
          <w:p>
            <w:r>
              <w:rPr>
                <w:sz w:val="21"/>
              </w:rPr>
              <w:t>10 / 10</w:t>
            </w:r>
          </w:p>
        </w:tc>
        <w:tc>
          <w:tcPr>
            <w:tcW w:type="dxa" w:w="3600"/>
          </w:tcPr>
          <w:p>
            <w:r>
              <w:rPr>
                <w:sz w:val="21"/>
              </w:rPr>
              <w:t>Excellent — strong foundational knowledge</w:t>
            </w:r>
          </w:p>
        </w:tc>
        <w:tc>
          <w:tcPr>
            <w:tcW w:type="dxa" w:w="4176"/>
          </w:tcPr>
          <w:p>
            <w:r>
              <w:rPr>
                <w:sz w:val="21"/>
              </w:rPr>
              <w:t>Move to advanced topics (combination codes, complications, MEAT criteria)</w:t>
            </w:r>
          </w:p>
        </w:tc>
      </w:tr>
      <w:tr>
        <w:tc>
          <w:tcPr>
            <w:tcW w:type="dxa" w:w="1440"/>
            <w:shd w:fill="F1F8F7"/>
          </w:tcPr>
          <w:p>
            <w:r>
              <w:rPr>
                <w:sz w:val="21"/>
              </w:rPr>
              <w:t>8 – 9 / 10</w:t>
            </w:r>
          </w:p>
        </w:tc>
        <w:tc>
          <w:tcPr>
            <w:tcW w:type="dxa" w:w="3600"/>
            <w:shd w:fill="F1F8F7"/>
          </w:tcPr>
          <w:p>
            <w:r>
              <w:rPr>
                <w:sz w:val="21"/>
              </w:rPr>
              <w:t>Good — solid grasp, minor gap</w:t>
            </w:r>
          </w:p>
        </w:tc>
        <w:tc>
          <w:tcPr>
            <w:tcW w:type="dxa" w:w="4176"/>
            <w:shd w:fill="F1F8F7"/>
          </w:tcPr>
          <w:p>
            <w:r>
              <w:rPr>
                <w:sz w:val="21"/>
              </w:rPr>
              <w:t>Review the missed topic(s) + related codes</w:t>
            </w:r>
          </w:p>
        </w:tc>
      </w:tr>
      <w:tr>
        <w:tc>
          <w:tcPr>
            <w:tcW w:type="dxa" w:w="1440"/>
          </w:tcPr>
          <w:p>
            <w:r>
              <w:rPr>
                <w:sz w:val="21"/>
              </w:rPr>
              <w:t>6 – 7 / 10</w:t>
            </w:r>
          </w:p>
        </w:tc>
        <w:tc>
          <w:tcPr>
            <w:tcW w:type="dxa" w:w="3600"/>
          </w:tcPr>
          <w:p>
            <w:r>
              <w:rPr>
                <w:sz w:val="21"/>
              </w:rPr>
              <w:t>Needs review — foundational gaps present</w:t>
            </w:r>
          </w:p>
        </w:tc>
        <w:tc>
          <w:tcPr>
            <w:tcW w:type="dxa" w:w="4176"/>
          </w:tcPr>
          <w:p>
            <w:r>
              <w:rPr>
                <w:sz w:val="21"/>
              </w:rPr>
              <w:t>Assign the Billing Team Training Manual sections matching the misses</w:t>
            </w:r>
          </w:p>
        </w:tc>
      </w:tr>
      <w:tr>
        <w:tc>
          <w:tcPr>
            <w:tcW w:type="dxa" w:w="1440"/>
            <w:shd w:fill="F1F8F7"/>
          </w:tcPr>
          <w:p>
            <w:r>
              <w:rPr>
                <w:sz w:val="21"/>
              </w:rPr>
              <w:t>5 / 10 or below</w:t>
            </w:r>
          </w:p>
        </w:tc>
        <w:tc>
          <w:tcPr>
            <w:tcW w:type="dxa" w:w="3600"/>
            <w:shd w:fill="F1F8F7"/>
          </w:tcPr>
          <w:p>
            <w:r>
              <w:rPr>
                <w:sz w:val="21"/>
              </w:rPr>
              <w:t>Requires structured education</w:t>
            </w:r>
          </w:p>
        </w:tc>
        <w:tc>
          <w:tcPr>
            <w:tcW w:type="dxa" w:w="4176"/>
            <w:shd w:fill="F1F8F7"/>
          </w:tcPr>
          <w:p>
            <w:r>
              <w:rPr>
                <w:sz w:val="21"/>
              </w:rPr>
              <w:t>1-hour group review of the full Anatomy &amp; Physiology section of the manual before next audit cycle</w:t>
            </w:r>
          </w:p>
        </w:tc>
      </w:tr>
    </w:tbl>
    <w:p>
      <w:pPr>
        <w:spacing w:before="280" w:after="120"/>
      </w:pPr>
      <w:r>
        <w:rPr>
          <w:b/>
          <w:color w:val="0F6E6E"/>
          <w:sz w:val="28"/>
        </w:rPr>
        <w:t>Grader notes</w:t>
      </w:r>
    </w:p>
    <w:p>
      <w:r>
        <w:rPr>
          <w:sz w:val="22"/>
        </w:rPr>
        <w:t>• Grade privately — do not rank scores publicly.</w:t>
      </w:r>
    </w:p>
    <w:p>
      <w:r>
        <w:rPr>
          <w:sz w:val="22"/>
        </w:rPr>
        <w:t>• Debrief individually after grading using the Billing Team Training Manual.</w:t>
      </w:r>
    </w:p>
    <w:p>
      <w:r>
        <w:rPr>
          <w:sz w:val="22"/>
        </w:rPr>
        <w:t>• Retake an equivalent quiz in 30-60 days after training to measure improvement.</w:t>
      </w:r>
    </w:p>
    <w:p>
      <w:r>
        <w:rPr>
          <w:sz w:val="22"/>
        </w:rPr>
        <w:t>• Track scores in the KPI Tracker under 'Education / Training' metrics.</w:t>
      </w:r>
    </w:p>
    <w:p>
      <w:pPr>
        <w:spacing w:before="400"/>
      </w:pPr>
      <w:r>
        <w:rPr>
          <w:i/>
          <w:color w:val="555555"/>
        </w:rPr>
        <w:t>End of grader section.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