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172A"/>
          <w:sz w:val="52"/>
        </w:rPr>
        <w:t>Clinical Documentation Audit</w:t>
      </w:r>
    </w:p>
    <w:p>
      <w:pPr>
        <w:spacing w:after="280"/>
      </w:pPr>
      <w:r>
        <w:rPr>
          <w:i/>
          <w:color w:val="555555"/>
          <w:sz w:val="22"/>
        </w:rPr>
        <w:t>Tool guide for new coders  ·  How to use the workbook + what we audit</w:t>
      </w:r>
    </w:p>
    <w:tbl>
      <w:tblPr>
        <w:tblW w:type="auto" w:w="0"/>
        <w:tblLayout w:type="fixed"/>
        <w:tblLook w:firstColumn="1" w:firstRow="1" w:lastColumn="0" w:lastRow="0" w:noHBand="0" w:noVBand="1" w:val="04A0"/>
      </w:tblPr>
      <w:tblGrid>
        <w:gridCol w:w="4873"/>
        <w:gridCol w:w="4873"/>
      </w:tblGrid>
      <w:tr>
        <w:tc>
          <w:tcPr>
            <w:tcW w:type="dxa" w:w="2304"/>
            <w:shd w:fill="E6F4F1"/>
            <w:vAlign w:val="center"/>
          </w:tcPr>
          <w:p>
            <w:r>
              <w:rPr>
                <w:b/>
              </w:rPr>
              <w:t>Audience</w:t>
            </w:r>
          </w:p>
        </w:tc>
        <w:tc>
          <w:tcPr>
            <w:tcW w:type="dxa" w:w="6336"/>
            <w:vAlign w:val="center"/>
          </w:tcPr>
          <w:p>
            <w:r>
              <w:t>New coders joining the coding &amp; compliance team</w:t>
            </w:r>
          </w:p>
        </w:tc>
      </w:tr>
      <w:tr>
        <w:tc>
          <w:tcPr>
            <w:tcW w:type="dxa" w:w="2304"/>
            <w:shd w:fill="E6F4F1"/>
            <w:vAlign w:val="center"/>
          </w:tcPr>
          <w:p>
            <w:r>
              <w:rPr>
                <w:b/>
              </w:rPr>
              <w:t>Purpose</w:t>
            </w:r>
          </w:p>
        </w:tc>
        <w:tc>
          <w:tcPr>
            <w:tcW w:type="dxa" w:w="6336"/>
            <w:vAlign w:val="center"/>
          </w:tcPr>
          <w:p>
            <w:r>
              <w:t>Walk through how the audit tool works and what every criterion checks</w:t>
            </w:r>
          </w:p>
        </w:tc>
      </w:tr>
      <w:tr>
        <w:tc>
          <w:tcPr>
            <w:tcW w:type="dxa" w:w="2304"/>
            <w:shd w:fill="E6F4F1"/>
            <w:vAlign w:val="center"/>
          </w:tcPr>
          <w:p>
            <w:r>
              <w:rPr>
                <w:b/>
              </w:rPr>
              <w:t>Read time</w:t>
            </w:r>
          </w:p>
        </w:tc>
        <w:tc>
          <w:tcPr>
            <w:tcW w:type="dxa" w:w="6336"/>
            <w:vAlign w:val="center"/>
          </w:tcPr>
          <w:p>
            <w:r>
              <w:t>20 – 25 minutes</w:t>
            </w:r>
          </w:p>
        </w:tc>
      </w:tr>
      <w:tr>
        <w:tc>
          <w:tcPr>
            <w:tcW w:type="dxa" w:w="2304"/>
            <w:shd w:fill="E6F4F1"/>
            <w:vAlign w:val="center"/>
          </w:tcPr>
          <w:p>
            <w:r>
              <w:rPr>
                <w:b/>
              </w:rPr>
              <w:t>You'll need</w:t>
            </w:r>
          </w:p>
        </w:tc>
        <w:tc>
          <w:tcPr>
            <w:tcW w:type="dxa" w:w="6336"/>
            <w:vAlign w:val="center"/>
          </w:tcPr>
          <w:p>
            <w:r>
              <w:t>Excel · access to the workbook · the provider's clinical note</w:t>
            </w:r>
          </w:p>
        </w:tc>
      </w:tr>
    </w:tbl>
    <w:p/>
    <w:p>
      <w:pPr>
        <w:spacing w:before="280" w:after="120"/>
      </w:pPr>
      <w:r>
        <w:rPr>
          <w:b/>
          <w:color w:val="0F6E6E"/>
          <w:sz w:val="32"/>
        </w:rPr>
        <w:t>1. Welcome — what this tool is</w:t>
      </w:r>
    </w:p>
    <w:p>
      <w:r>
        <w:t>This workbook is our internal Clinical Documentation Audit. Every month you'll review 10 charts per provider and score their clinical documentation against 16 documentation elements grouped into 5 categories. The tool calculates a compliance score, assigns a performance band, and rolls everything up into a Provider Metrics view.</w:t>
      </w:r>
    </w:p>
    <w:p>
      <w:r>
        <w:t>This is NOT a coding audit — you are not scoring whether the biller used the correct CPT code. You are scoring whether the provider's NOTE gives the biller and the coder what they need. Every audit finding traces back to something the provider either did or did not document.</w:t>
      </w:r>
    </w:p>
    <w:p>
      <w:pPr>
        <w:spacing w:before="280" w:after="120"/>
      </w:pPr>
      <w:r>
        <w:rPr>
          <w:b/>
          <w:color w:val="0F6E6E"/>
          <w:sz w:val="32"/>
        </w:rPr>
        <w:t>2. Workbook tour</w:t>
      </w:r>
    </w:p>
    <w:p>
      <w:r>
        <w:t>Open the workbook. You'll see these tabs at the bottom:</w:t>
      </w:r>
    </w:p>
    <w:tbl>
      <w:tblPr>
        <w:tblW w:type="auto" w:w="0"/>
        <w:tblLayout w:type="fixed"/>
        <w:tblLook w:firstColumn="1" w:firstRow="1" w:lastColumn="0" w:lastRow="0" w:noHBand="0" w:noVBand="1" w:val="04A0"/>
      </w:tblPr>
      <w:tblGrid>
        <w:gridCol w:w="4873"/>
        <w:gridCol w:w="4873"/>
      </w:tblGrid>
      <w:tr>
        <w:tc>
          <w:tcPr>
            <w:tcW w:type="dxa" w:w="2448"/>
            <w:shd w:fill="0F6E6E"/>
          </w:tcPr>
          <w:p>
            <w:r>
              <w:rPr>
                <w:b/>
                <w:color w:val="FFFFFF"/>
              </w:rPr>
              <w:t>Tab</w:t>
            </w:r>
          </w:p>
        </w:tc>
        <w:tc>
          <w:tcPr>
            <w:tcW w:type="dxa" w:w="6192"/>
            <w:shd w:fill="0F6E6E"/>
          </w:tcPr>
          <w:p>
            <w:r>
              <w:rPr>
                <w:b/>
                <w:color w:val="FFFFFF"/>
              </w:rPr>
              <w:t>What it's for</w:t>
            </w:r>
          </w:p>
        </w:tc>
      </w:tr>
      <w:tr>
        <w:tc>
          <w:tcPr>
            <w:tcW w:type="dxa" w:w="2448"/>
          </w:tcPr>
          <w:p>
            <w:r>
              <w:t>Audit Checklist</w:t>
            </w:r>
          </w:p>
        </w:tc>
        <w:tc>
          <w:tcPr>
            <w:tcW w:type="dxa" w:w="6192"/>
          </w:tcPr>
          <w:p>
            <w:r>
              <w:t>Master template — reference only, do not fill in.</w:t>
            </w:r>
          </w:p>
        </w:tc>
      </w:tr>
      <w:tr>
        <w:tc>
          <w:tcPr>
            <w:tcW w:type="dxa" w:w="2448"/>
            <w:shd w:fill="F1F8F7"/>
          </w:tcPr>
          <w:p>
            <w:r>
              <w:t>Provider Metrics</w:t>
            </w:r>
          </w:p>
        </w:tc>
        <w:tc>
          <w:tcPr>
            <w:tcW w:type="dxa" w:w="6192"/>
            <w:shd w:fill="F1F8F7"/>
          </w:tcPr>
          <w:p>
            <w:r>
              <w:t>Live rollup of all 10 claims for the current provider.</w:t>
            </w:r>
          </w:p>
        </w:tc>
      </w:tr>
      <w:tr>
        <w:tc>
          <w:tcPr>
            <w:tcW w:type="dxa" w:w="2448"/>
          </w:tcPr>
          <w:p>
            <w:r>
              <w:t>Claim 01 – Claim 10</w:t>
            </w:r>
          </w:p>
        </w:tc>
        <w:tc>
          <w:tcPr>
            <w:tcW w:type="dxa" w:w="6192"/>
          </w:tcPr>
          <w:p>
            <w:r>
              <w:t>Your 10 working sheets — one per chart audited.</w:t>
            </w:r>
          </w:p>
        </w:tc>
      </w:tr>
      <w:tr>
        <w:tc>
          <w:tcPr>
            <w:tcW w:type="dxa" w:w="2448"/>
            <w:shd w:fill="F1F8F7"/>
          </w:tcPr>
          <w:p>
            <w:r>
              <w:t>Audit Log</w:t>
            </w:r>
          </w:p>
        </w:tc>
        <w:tc>
          <w:tcPr>
            <w:tcW w:type="dxa" w:w="6192"/>
            <w:shd w:fill="F1F8F7"/>
          </w:tcPr>
          <w:p>
            <w:r>
              <w:t>Permanent history of every claim across every provider.</w:t>
            </w:r>
          </w:p>
        </w:tc>
      </w:tr>
      <w:tr>
        <w:tc>
          <w:tcPr>
            <w:tcW w:type="dxa" w:w="2448"/>
          </w:tcPr>
          <w:p>
            <w:r>
              <w:t>Quick Reference</w:t>
            </w:r>
          </w:p>
        </w:tc>
        <w:tc>
          <w:tcPr>
            <w:tcW w:type="dxa" w:w="6192"/>
          </w:tcPr>
          <w:p>
            <w:r>
              <w:t>Fast lookup: SOAP · high-risk ICD-10 · CPT II priorities.</w:t>
            </w:r>
          </w:p>
        </w:tc>
      </w:tr>
      <w:tr>
        <w:tc>
          <w:tcPr>
            <w:tcW w:type="dxa" w:w="2448"/>
            <w:shd w:fill="F1F8F7"/>
          </w:tcPr>
          <w:p>
            <w:r>
              <w:t>Quarterly Report</w:t>
            </w:r>
          </w:p>
        </w:tc>
        <w:tc>
          <w:tcPr>
            <w:tcW w:type="dxa" w:w="6192"/>
            <w:shd w:fill="F1F8F7"/>
          </w:tcPr>
          <w:p>
            <w:r>
              <w:t>KPIs + provider progression chart across the year.</w:t>
            </w:r>
          </w:p>
        </w:tc>
      </w:tr>
    </w:tbl>
    <w:p>
      <w:pPr>
        <w:spacing w:before="280" w:after="120"/>
      </w:pPr>
      <w:r>
        <w:rPr>
          <w:b/>
          <w:color w:val="0F6E6E"/>
          <w:sz w:val="32"/>
        </w:rPr>
        <w:t>3. How to audit a chart, step by step</w:t>
      </w:r>
    </w:p>
    <w:p>
      <w:pPr>
        <w:pStyle w:val="ListNumber"/>
        <w:spacing w:after="60"/>
        <w:ind w:left="360"/>
      </w:pPr>
      <w:r>
        <w:t>Pick a Claim tab (Claim 01 for your first chart, Claim 02 for the next, and so on).</w:t>
      </w:r>
    </w:p>
    <w:p>
      <w:pPr>
        <w:pStyle w:val="ListNumber"/>
        <w:spacing w:after="60"/>
        <w:ind w:left="360"/>
      </w:pPr>
      <w:r>
        <w:t>Fill in the yellow header cells:</w:t>
      </w:r>
    </w:p>
    <w:p>
      <w:pPr>
        <w:pStyle w:val="ListBullet"/>
        <w:spacing w:after="60"/>
        <w:ind w:left="360"/>
      </w:pPr>
      <w:r>
        <w:t>Provider, Date of Service, Claim Number, Auditor, Date of Audit</w:t>
      </w:r>
    </w:p>
    <w:p>
      <w:pPr>
        <w:pStyle w:val="ListBullet"/>
        <w:spacing w:after="60"/>
        <w:ind w:left="360"/>
      </w:pPr>
      <w:r>
        <w:t>Category (dropdown — Diabetes / CKD / Annual Wellness Visit / High RAF / Random)</w:t>
      </w:r>
    </w:p>
    <w:p>
      <w:pPr>
        <w:pStyle w:val="ListBullet"/>
        <w:spacing w:after="60"/>
        <w:ind w:left="360"/>
      </w:pPr>
      <w:r>
        <w:t>Payer (dropdown — Medicare Advantage / Commercial / Medicaid / Dual)</w:t>
      </w:r>
    </w:p>
    <w:p>
      <w:pPr>
        <w:pStyle w:val="ListNumber"/>
        <w:spacing w:after="60"/>
        <w:ind w:left="360"/>
      </w:pPr>
      <w:r>
        <w:t>Open the provider's clinical note in your EHR beside the tab.</w:t>
      </w:r>
    </w:p>
    <w:p>
      <w:pPr>
        <w:pStyle w:val="ListNumber"/>
        <w:spacing w:after="60"/>
        <w:ind w:left="360"/>
      </w:pPr>
      <w:r>
        <w:t>Go through the 16 checklist items. For each item, pick the rating from the dropdown in column C:</w:t>
      </w:r>
    </w:p>
    <w:tbl>
      <w:tblPr>
        <w:tblW w:type="auto" w:w="0"/>
        <w:tblLayout w:type="fixed"/>
        <w:tblLook w:firstColumn="1" w:firstRow="1" w:lastColumn="0" w:lastRow="0" w:noHBand="0" w:noVBand="1" w:val="04A0"/>
      </w:tblPr>
      <w:tblGrid>
        <w:gridCol w:w="3249"/>
        <w:gridCol w:w="3249"/>
        <w:gridCol w:w="3249"/>
      </w:tblGrid>
      <w:tr>
        <w:tc>
          <w:tcPr>
            <w:tcW w:type="dxa" w:w="1584"/>
            <w:shd w:fill="0F6E6E"/>
          </w:tcPr>
          <w:p>
            <w:r>
              <w:rPr>
                <w:b/>
                <w:color w:val="FFFFFF"/>
              </w:rPr>
              <w:t>Rating</w:t>
            </w:r>
          </w:p>
        </w:tc>
        <w:tc>
          <w:tcPr>
            <w:tcW w:type="dxa" w:w="2592"/>
            <w:shd w:fill="0F6E6E"/>
          </w:tcPr>
          <w:p>
            <w:r>
              <w:rPr>
                <w:b/>
                <w:color w:val="FFFFFF"/>
              </w:rPr>
              <w:t>Meaning</w:t>
            </w:r>
          </w:p>
        </w:tc>
        <w:tc>
          <w:tcPr>
            <w:tcW w:type="dxa" w:w="4464"/>
            <w:shd w:fill="0F6E6E"/>
          </w:tcPr>
          <w:p>
            <w:r>
              <w:rPr>
                <w:b/>
                <w:color w:val="FFFFFF"/>
              </w:rPr>
              <w:t>When to use</w:t>
            </w:r>
          </w:p>
        </w:tc>
      </w:tr>
      <w:tr>
        <w:tc>
          <w:tcPr>
            <w:tcW w:type="dxa" w:w="1584"/>
          </w:tcPr>
          <w:p>
            <w:r>
              <w:t>✓ Met</w:t>
            </w:r>
          </w:p>
        </w:tc>
        <w:tc>
          <w:tcPr>
            <w:tcW w:type="dxa" w:w="2592"/>
          </w:tcPr>
          <w:p>
            <w:r>
              <w:t>Fully documented</w:t>
            </w:r>
          </w:p>
        </w:tc>
        <w:tc>
          <w:tcPr>
            <w:tcW w:type="dxa" w:w="4464"/>
          </w:tcPr>
          <w:p>
            <w:r>
              <w:t>Element is clearly and completely in the note</w:t>
            </w:r>
          </w:p>
        </w:tc>
      </w:tr>
      <w:tr>
        <w:tc>
          <w:tcPr>
            <w:tcW w:type="dxa" w:w="1584"/>
            <w:shd w:fill="F1F8F7"/>
          </w:tcPr>
          <w:p>
            <w:r>
              <w:t>△ Partial</w:t>
            </w:r>
          </w:p>
        </w:tc>
        <w:tc>
          <w:tcPr>
            <w:tcW w:type="dxa" w:w="2592"/>
            <w:shd w:fill="F1F8F7"/>
          </w:tcPr>
          <w:p>
            <w:r>
              <w:t>Present but incomplete</w:t>
            </w:r>
          </w:p>
        </w:tc>
        <w:tc>
          <w:tcPr>
            <w:tcW w:type="dxa" w:w="4464"/>
            <w:shd w:fill="F1F8F7"/>
          </w:tcPr>
          <w:p>
            <w:r>
              <w:t>Something is there but it's thin, vague, or missing detail</w:t>
            </w:r>
          </w:p>
        </w:tc>
      </w:tr>
      <w:tr>
        <w:tc>
          <w:tcPr>
            <w:tcW w:type="dxa" w:w="1584"/>
          </w:tcPr>
          <w:p>
            <w:r>
              <w:t>✗ Not Met</w:t>
            </w:r>
          </w:p>
        </w:tc>
        <w:tc>
          <w:tcPr>
            <w:tcW w:type="dxa" w:w="2592"/>
          </w:tcPr>
          <w:p>
            <w:r>
              <w:t>Missing or absent</w:t>
            </w:r>
          </w:p>
        </w:tc>
        <w:tc>
          <w:tcPr>
            <w:tcW w:type="dxa" w:w="4464"/>
          </w:tcPr>
          <w:p>
            <w:r>
              <w:t>Nothing in the note supports this element</w:t>
            </w:r>
          </w:p>
        </w:tc>
      </w:tr>
      <w:tr>
        <w:tc>
          <w:tcPr>
            <w:tcW w:type="dxa" w:w="1584"/>
            <w:shd w:fill="F1F8F7"/>
          </w:tcPr>
          <w:p>
            <w:r>
              <w:t>N/A</w:t>
            </w:r>
          </w:p>
        </w:tc>
        <w:tc>
          <w:tcPr>
            <w:tcW w:type="dxa" w:w="2592"/>
            <w:shd w:fill="F1F8F7"/>
          </w:tcPr>
          <w:p>
            <w:r>
              <w:t>Doesn't apply</w:t>
            </w:r>
          </w:p>
        </w:tc>
        <w:tc>
          <w:tcPr>
            <w:tcW w:type="dxa" w:w="4464"/>
            <w:shd w:fill="F1F8F7"/>
          </w:tcPr>
          <w:p>
            <w:r>
              <w:t>The element genuinely doesn't apply to this encounter</w:t>
            </w:r>
          </w:p>
        </w:tc>
      </w:tr>
    </w:tbl>
    <w:p>
      <w:pPr>
        <w:pStyle w:val="ListNumber"/>
        <w:spacing w:after="60"/>
        <w:ind w:left="360"/>
      </w:pPr>
      <w:r>
        <w:t>Add short notes in column E — especially for anything you rate △ or ✗. The notes column is the education you'll give the provider later.</w:t>
      </w:r>
    </w:p>
    <w:p>
      <w:pPr>
        <w:pStyle w:val="ListNumber"/>
        <w:spacing w:after="60"/>
        <w:ind w:left="360"/>
      </w:pPr>
      <w:r>
        <w:t>The section subtotals, Overall Compliance %, and Performance Band calculate themselves — don't type into those cells.</w:t>
      </w:r>
    </w:p>
    <w:p>
      <w:pPr>
        <w:pStyle w:val="ListNumber"/>
        <w:spacing w:after="60"/>
        <w:ind w:left="360"/>
      </w:pPr>
      <w:r>
        <w:t>Move on to Claim 02. Repeat until all 10 charts are done.</w:t>
      </w:r>
    </w:p>
    <w:p>
      <w:pPr>
        <w:pStyle w:val="ListNumber"/>
        <w:spacing w:after="60"/>
        <w:ind w:left="360"/>
      </w:pPr>
      <w:r>
        <w:t>Open the Provider Metrics tab to see the running rollup: how many charts are meeting expectations, the average compliance %, and the provider's overall performance band.</w:t>
      </w:r>
    </w:p>
    <w:p>
      <w:pPr>
        <w:spacing w:before="200" w:after="80"/>
      </w:pPr>
      <w:r>
        <w:rPr>
          <w:b/>
          <w:color w:val="0F172A"/>
          <w:sz w:val="26"/>
        </w:rPr>
        <w:t>Save your work as you go</w:t>
      </w:r>
    </w:p>
    <w:p>
      <w:pPr>
        <w:pStyle w:val="ListBullet"/>
        <w:spacing w:after="60"/>
        <w:ind w:left="360"/>
      </w:pPr>
      <w:r>
        <w:t>Press Ctrl+S every few claims to save the workbook.</w:t>
      </w:r>
    </w:p>
    <w:p>
      <w:pPr>
        <w:pStyle w:val="ListBullet"/>
        <w:spacing w:after="60"/>
        <w:ind w:left="360"/>
      </w:pPr>
      <w:r>
        <w:t>Before starting a new provider, use File → Save As to create an archive named Audit_[Provider]_[YYYY-MM].xlsx.</w:t>
      </w:r>
    </w:p>
    <w:p>
      <w:pPr>
        <w:pStyle w:val="ListBullet"/>
        <w:spacing w:after="60"/>
        <w:ind w:left="360"/>
      </w:pPr>
      <w:r>
        <w:t>If the file is on OneDrive or SharePoint, turn on AutoSave (top-left toggle) — every keystroke is saved.</w:t>
      </w:r>
    </w:p>
    <w:p>
      <w:pPr>
        <w:spacing w:before="280" w:after="120"/>
      </w:pPr>
      <w:r>
        <w:rPr>
          <w:b/>
          <w:color w:val="0F6E6E"/>
          <w:sz w:val="32"/>
        </w:rPr>
        <w:t>4. What we're auditing — the 5 categories</w:t>
      </w:r>
    </w:p>
    <w:p>
      <w:r>
        <w:t>Every chart is scored on 16 elements across 5 categories. Each category has a weight — Diagnosis Accuracy is the most important (30%), and CPT II support is the smallest (10%). Here's what each category actually checks and why it matters to you as a coder.</w:t>
      </w:r>
    </w:p>
    <w:p>
      <w:pPr>
        <w:spacing w:before="200" w:after="80"/>
      </w:pPr>
      <w:r>
        <w:rPr>
          <w:b/>
          <w:color w:val="0F172A"/>
          <w:sz w:val="26"/>
        </w:rPr>
        <w:t>A. Diagnosis Accuracy  ·  30% weight  ·  4 items</w:t>
      </w:r>
    </w:p>
    <w:p>
      <w:r>
        <w:t>This is the biggest category because everything downstream depends on whether the diagnoses on the claim actually match what the provider documented.</w:t>
      </w:r>
    </w:p>
    <w:tbl>
      <w:tblPr>
        <w:tblW w:type="auto" w:w="0"/>
        <w:tblLayout w:type="fixed"/>
        <w:tblLook w:firstColumn="1" w:firstRow="1" w:lastColumn="0" w:lastRow="0" w:noHBand="0" w:noVBand="1" w:val="04A0"/>
      </w:tblPr>
      <w:tblGrid>
        <w:gridCol w:w="3249"/>
        <w:gridCol w:w="3249"/>
        <w:gridCol w:w="3249"/>
      </w:tblGrid>
      <w:tr>
        <w:tc>
          <w:tcPr>
            <w:tcW w:type="dxa" w:w="720"/>
            <w:shd w:fill="0F6E6E"/>
          </w:tcPr>
          <w:p>
            <w:r>
              <w:rPr>
                <w:b/>
                <w:color w:val="FFFFFF"/>
              </w:rPr>
              <w:t>Item</w:t>
            </w:r>
          </w:p>
        </w:tc>
        <w:tc>
          <w:tcPr>
            <w:tcW w:type="dxa" w:w="2880"/>
            <w:shd w:fill="0F6E6E"/>
          </w:tcPr>
          <w:p>
            <w:r>
              <w:rPr>
                <w:b/>
                <w:color w:val="FFFFFF"/>
              </w:rPr>
              <w:t>What it checks</w:t>
            </w:r>
          </w:p>
        </w:tc>
        <w:tc>
          <w:tcPr>
            <w:tcW w:type="dxa" w:w="5472"/>
            <w:shd w:fill="0F6E6E"/>
          </w:tcPr>
          <w:p>
            <w:r>
              <w:rPr>
                <w:b/>
                <w:color w:val="FFFFFF"/>
              </w:rPr>
              <w:t>Coder view — why it matters</w:t>
            </w:r>
          </w:p>
        </w:tc>
      </w:tr>
      <w:tr>
        <w:tc>
          <w:tcPr>
            <w:tcW w:type="dxa" w:w="720"/>
          </w:tcPr>
          <w:p>
            <w:r>
              <w:t>A1</w:t>
            </w:r>
          </w:p>
        </w:tc>
        <w:tc>
          <w:tcPr>
            <w:tcW w:type="dxa" w:w="2880"/>
          </w:tcPr>
          <w:p>
            <w:r>
              <w:t>All reported diagnoses are clinically supported.</w:t>
            </w:r>
          </w:p>
        </w:tc>
        <w:tc>
          <w:tcPr>
            <w:tcW w:type="dxa" w:w="5472"/>
          </w:tcPr>
          <w:p>
            <w:r>
              <w:t>Every ICD-10 you code must trace to a documented finding, assessment, or plan. Coding an unsupported diagnosis is a compliance risk.</w:t>
            </w:r>
          </w:p>
        </w:tc>
      </w:tr>
      <w:tr>
        <w:tc>
          <w:tcPr>
            <w:tcW w:type="dxa" w:w="720"/>
            <w:shd w:fill="F1F8F7"/>
          </w:tcPr>
          <w:p>
            <w:r>
              <w:t>A2</w:t>
            </w:r>
          </w:p>
        </w:tc>
        <w:tc>
          <w:tcPr>
            <w:tcW w:type="dxa" w:w="2880"/>
            <w:shd w:fill="F1F8F7"/>
          </w:tcPr>
          <w:p>
            <w:r>
              <w:t>Chronic conditions actively addressed at this visit.</w:t>
            </w:r>
          </w:p>
        </w:tc>
        <w:tc>
          <w:tcPr>
            <w:tcW w:type="dxa" w:w="5472"/>
            <w:shd w:fill="F1F8F7"/>
          </w:tcPr>
          <w:p>
            <w:r>
              <w:t>'Diabetes, hypertension' copied forward on the problem list is not enough. The provider must monitor, evaluate, or treat the condition today.</w:t>
            </w:r>
          </w:p>
        </w:tc>
      </w:tr>
      <w:tr>
        <w:tc>
          <w:tcPr>
            <w:tcW w:type="dxa" w:w="720"/>
          </w:tcPr>
          <w:p>
            <w:r>
              <w:t>A3</w:t>
            </w:r>
          </w:p>
        </w:tc>
        <w:tc>
          <w:tcPr>
            <w:tcW w:type="dxa" w:w="2880"/>
          </w:tcPr>
          <w:p>
            <w:r>
              <w:t>No unsupported or resolved conditions billed as active.</w:t>
            </w:r>
          </w:p>
        </w:tc>
        <w:tc>
          <w:tcPr>
            <w:tcW w:type="dxa" w:w="5472"/>
          </w:tcPr>
          <w:p>
            <w:r>
              <w:t>If the patient's kidney transplant fixed the CKD, that ICD-10 shouldn't be reported anymore. Look for resolved conditions still being billed.</w:t>
            </w:r>
          </w:p>
        </w:tc>
      </w:tr>
      <w:tr>
        <w:tc>
          <w:tcPr>
            <w:tcW w:type="dxa" w:w="720"/>
            <w:shd w:fill="F1F8F7"/>
          </w:tcPr>
          <w:p>
            <w:r>
              <w:t>A4</w:t>
            </w:r>
          </w:p>
        </w:tc>
        <w:tc>
          <w:tcPr>
            <w:tcW w:type="dxa" w:w="2880"/>
            <w:shd w:fill="F1F8F7"/>
          </w:tcPr>
          <w:p>
            <w:r>
              <w:t>Problem list matches today's Assessment &amp; Plan.</w:t>
            </w:r>
          </w:p>
        </w:tc>
        <w:tc>
          <w:tcPr>
            <w:tcW w:type="dxa" w:w="5472"/>
            <w:shd w:fill="F1F8F7"/>
          </w:tcPr>
          <w:p>
            <w:r>
              <w:t>If the problem list has 8 chronic conditions but only 3 are in the A&amp;P, that's a red flag — either the provider missed re-documenting, or the coder shouldn't be pulling those extra codes.</w:t>
            </w:r>
          </w:p>
        </w:tc>
      </w:tr>
    </w:tbl>
    <w:p>
      <w:pPr>
        <w:spacing w:before="200" w:after="80"/>
      </w:pPr>
      <w:r>
        <w:rPr>
          <w:b/>
          <w:color w:val="0F172A"/>
          <w:sz w:val="26"/>
        </w:rPr>
        <w:t>B. Documentation Specificity  ·  25% weight  ·  4 items</w:t>
      </w:r>
    </w:p>
    <w:p>
      <w:r>
        <w:t>Unspecified codes lose money and mask patient acuity. This category checks whether the note supports the most specific code available.</w:t>
      </w:r>
    </w:p>
    <w:tbl>
      <w:tblPr>
        <w:tblW w:type="auto" w:w="0"/>
        <w:tblLayout w:type="fixed"/>
        <w:tblLook w:firstColumn="1" w:firstRow="1" w:lastColumn="0" w:lastRow="0" w:noHBand="0" w:noVBand="1" w:val="04A0"/>
      </w:tblPr>
      <w:tblGrid>
        <w:gridCol w:w="3249"/>
        <w:gridCol w:w="3249"/>
        <w:gridCol w:w="3249"/>
      </w:tblGrid>
      <w:tr>
        <w:tc>
          <w:tcPr>
            <w:tcW w:type="dxa" w:w="720"/>
            <w:shd w:fill="0F6E6E"/>
          </w:tcPr>
          <w:p>
            <w:r>
              <w:rPr>
                <w:b/>
                <w:color w:val="FFFFFF"/>
              </w:rPr>
              <w:t>Item</w:t>
            </w:r>
          </w:p>
        </w:tc>
        <w:tc>
          <w:tcPr>
            <w:tcW w:type="dxa" w:w="2880"/>
            <w:shd w:fill="0F6E6E"/>
          </w:tcPr>
          <w:p>
            <w:r>
              <w:rPr>
                <w:b/>
                <w:color w:val="FFFFFF"/>
              </w:rPr>
              <w:t>What it checks</w:t>
            </w:r>
          </w:p>
        </w:tc>
        <w:tc>
          <w:tcPr>
            <w:tcW w:type="dxa" w:w="5472"/>
            <w:shd w:fill="0F6E6E"/>
          </w:tcPr>
          <w:p>
            <w:r>
              <w:rPr>
                <w:b/>
                <w:color w:val="FFFFFF"/>
              </w:rPr>
              <w:t>Coder view</w:t>
            </w:r>
          </w:p>
        </w:tc>
      </w:tr>
      <w:tr>
        <w:tc>
          <w:tcPr>
            <w:tcW w:type="dxa" w:w="720"/>
          </w:tcPr>
          <w:p>
            <w:r>
              <w:t>B1</w:t>
            </w:r>
          </w:p>
        </w:tc>
        <w:tc>
          <w:tcPr>
            <w:tcW w:type="dxa" w:w="2880"/>
          </w:tcPr>
          <w:p>
            <w:r>
              <w:t>ICD-10 codes at highest available specificity.</w:t>
            </w:r>
          </w:p>
        </w:tc>
        <w:tc>
          <w:tcPr>
            <w:tcW w:type="dxa" w:w="5472"/>
          </w:tcPr>
          <w:p>
            <w:r>
              <w:t>Was the note detailed enough to pick a specific code, or did the biller have to fall back on 'unspecified'? N18.3 (CKD stage 3, unspecified) should have been N18.30 / .31 / .32.</w:t>
            </w:r>
          </w:p>
        </w:tc>
      </w:tr>
      <w:tr>
        <w:tc>
          <w:tcPr>
            <w:tcW w:type="dxa" w:w="720"/>
            <w:shd w:fill="F1F8F7"/>
          </w:tcPr>
          <w:p>
            <w:r>
              <w:t>B2</w:t>
            </w:r>
          </w:p>
        </w:tc>
        <w:tc>
          <w:tcPr>
            <w:tcW w:type="dxa" w:w="2880"/>
            <w:shd w:fill="F1F8F7"/>
          </w:tcPr>
          <w:p>
            <w:r>
              <w:t>Diabetes: type + complications + control specified.</w:t>
            </w:r>
          </w:p>
        </w:tc>
        <w:tc>
          <w:tcPr>
            <w:tcW w:type="dxa" w:w="5472"/>
            <w:shd w:fill="F1F8F7"/>
          </w:tcPr>
          <w:p>
            <w:r>
              <w:t>E11.9 (Type 2 DM, no complications) leaves money on the table when the patient really has E11.22 (DM with CKD) or E11.42 (DM with neuropathy). Push documentation toward combination codes.</w:t>
            </w:r>
          </w:p>
        </w:tc>
      </w:tr>
      <w:tr>
        <w:tc>
          <w:tcPr>
            <w:tcW w:type="dxa" w:w="720"/>
          </w:tcPr>
          <w:p>
            <w:r>
              <w:t>B3</w:t>
            </w:r>
          </w:p>
        </w:tc>
        <w:tc>
          <w:tcPr>
            <w:tcW w:type="dxa" w:w="2880"/>
          </w:tcPr>
          <w:p>
            <w:r>
              <w:t>S / O / A / P sections tell one consistent story.</w:t>
            </w:r>
          </w:p>
        </w:tc>
        <w:tc>
          <w:tcPr>
            <w:tcW w:type="dxa" w:w="5472"/>
          </w:tcPr>
          <w:p>
            <w:r>
              <w:t>If the subjective says 'patient denies chest pain' but the assessment lists angina, that's a contradiction the coder shouldn't quietly code around.</w:t>
            </w:r>
          </w:p>
        </w:tc>
      </w:tr>
      <w:tr>
        <w:tc>
          <w:tcPr>
            <w:tcW w:type="dxa" w:w="720"/>
            <w:shd w:fill="F1F8F7"/>
          </w:tcPr>
          <w:p>
            <w:r>
              <w:t>B4</w:t>
            </w:r>
          </w:p>
        </w:tc>
        <w:tc>
          <w:tcPr>
            <w:tcW w:type="dxa" w:w="2880"/>
            <w:shd w:fill="F1F8F7"/>
          </w:tcPr>
          <w:p>
            <w:r>
              <w:t>Note is signed, dated, and closed.</w:t>
            </w:r>
          </w:p>
        </w:tc>
        <w:tc>
          <w:tcPr>
            <w:tcW w:type="dxa" w:w="5472"/>
            <w:shd w:fill="F1F8F7"/>
          </w:tcPr>
          <w:p>
            <w:r>
              <w:t>You cannot code from an unsigned or open note. This is a workflow check on the provider.</w:t>
            </w:r>
          </w:p>
        </w:tc>
      </w:tr>
    </w:tbl>
    <w:p>
      <w:pPr>
        <w:spacing w:before="200" w:after="80"/>
      </w:pPr>
      <w:r>
        <w:rPr>
          <w:b/>
          <w:color w:val="0F172A"/>
          <w:sz w:val="26"/>
        </w:rPr>
        <w:t>C. SOAP Note Structure  ·  25% weight  ·  4 items</w:t>
      </w:r>
    </w:p>
    <w:p>
      <w:r>
        <w:t>SOAP is the standard note format. Each element of the note has a job to do — this category checks whether the provider is doing that job at each step.</w:t>
      </w:r>
    </w:p>
    <w:tbl>
      <w:tblPr>
        <w:tblW w:type="auto" w:w="0"/>
        <w:tblLayout w:type="fixed"/>
        <w:tblLook w:firstColumn="1" w:firstRow="1" w:lastColumn="0" w:lastRow="0" w:noHBand="0" w:noVBand="1" w:val="04A0"/>
      </w:tblPr>
      <w:tblGrid>
        <w:gridCol w:w="3249"/>
        <w:gridCol w:w="3249"/>
        <w:gridCol w:w="3249"/>
      </w:tblGrid>
      <w:tr>
        <w:tc>
          <w:tcPr>
            <w:tcW w:type="dxa" w:w="720"/>
            <w:shd w:fill="0F6E6E"/>
          </w:tcPr>
          <w:p>
            <w:r>
              <w:rPr>
                <w:b/>
                <w:color w:val="FFFFFF"/>
              </w:rPr>
              <w:t>Item</w:t>
            </w:r>
          </w:p>
        </w:tc>
        <w:tc>
          <w:tcPr>
            <w:tcW w:type="dxa" w:w="2016"/>
            <w:shd w:fill="0F6E6E"/>
          </w:tcPr>
          <w:p>
            <w:r>
              <w:rPr>
                <w:b/>
                <w:color w:val="FFFFFF"/>
              </w:rPr>
              <w:t>SOAP element</w:t>
            </w:r>
          </w:p>
        </w:tc>
        <w:tc>
          <w:tcPr>
            <w:tcW w:type="dxa" w:w="6336"/>
            <w:shd w:fill="0F6E6E"/>
          </w:tcPr>
          <w:p>
            <w:r>
              <w:rPr>
                <w:b/>
                <w:color w:val="FFFFFF"/>
              </w:rPr>
              <w:t>What documentation you should see</w:t>
            </w:r>
          </w:p>
        </w:tc>
      </w:tr>
      <w:tr>
        <w:tc>
          <w:tcPr>
            <w:tcW w:type="dxa" w:w="720"/>
          </w:tcPr>
          <w:p>
            <w:r>
              <w:t>C1</w:t>
            </w:r>
          </w:p>
        </w:tc>
        <w:tc>
          <w:tcPr>
            <w:tcW w:type="dxa" w:w="2016"/>
          </w:tcPr>
          <w:p>
            <w:r>
              <w:t>Subjective</w:t>
            </w:r>
          </w:p>
        </w:tc>
        <w:tc>
          <w:tcPr>
            <w:tcW w:type="dxa" w:w="6336"/>
          </w:tcPr>
          <w:p>
            <w:r>
              <w:t>Patient's chief complaint, history of present illness, and concerns in their own words.</w:t>
            </w:r>
          </w:p>
        </w:tc>
      </w:tr>
      <w:tr>
        <w:tc>
          <w:tcPr>
            <w:tcW w:type="dxa" w:w="720"/>
            <w:shd w:fill="F1F8F7"/>
          </w:tcPr>
          <w:p>
            <w:r>
              <w:t>C2</w:t>
            </w:r>
          </w:p>
        </w:tc>
        <w:tc>
          <w:tcPr>
            <w:tcW w:type="dxa" w:w="2016"/>
            <w:shd w:fill="F1F8F7"/>
          </w:tcPr>
          <w:p>
            <w:r>
              <w:t>Objective</w:t>
            </w:r>
          </w:p>
        </w:tc>
        <w:tc>
          <w:tcPr>
            <w:tcW w:type="dxa" w:w="6336"/>
            <w:shd w:fill="F1F8F7"/>
          </w:tcPr>
          <w:p>
            <w:r>
              <w:t>Vitals, exam findings, screening scores (PHQ-9, GAD-7, BMI, BP), and lab / test results.</w:t>
            </w:r>
          </w:p>
        </w:tc>
      </w:tr>
      <w:tr>
        <w:tc>
          <w:tcPr>
            <w:tcW w:type="dxa" w:w="720"/>
          </w:tcPr>
          <w:p>
            <w:r>
              <w:t>C3</w:t>
            </w:r>
          </w:p>
        </w:tc>
        <w:tc>
          <w:tcPr>
            <w:tcW w:type="dxa" w:w="2016"/>
          </w:tcPr>
          <w:p>
            <w:r>
              <w:t>Assessment</w:t>
            </w:r>
          </w:p>
        </w:tc>
        <w:tc>
          <w:tcPr>
            <w:tcW w:type="dxa" w:w="6336"/>
          </w:tcPr>
          <w:p>
            <w:r>
              <w:t>Each diagnosis explicitly assessed with clinical reasoning — not just a list of codes.</w:t>
            </w:r>
          </w:p>
        </w:tc>
      </w:tr>
      <w:tr>
        <w:tc>
          <w:tcPr>
            <w:tcW w:type="dxa" w:w="720"/>
            <w:shd w:fill="F1F8F7"/>
          </w:tcPr>
          <w:p>
            <w:r>
              <w:t>C4</w:t>
            </w:r>
          </w:p>
        </w:tc>
        <w:tc>
          <w:tcPr>
            <w:tcW w:type="dxa" w:w="2016"/>
            <w:shd w:fill="F1F8F7"/>
          </w:tcPr>
          <w:p>
            <w:r>
              <w:t>Plan</w:t>
            </w:r>
          </w:p>
        </w:tc>
        <w:tc>
          <w:tcPr>
            <w:tcW w:type="dxa" w:w="6336"/>
            <w:shd w:fill="F1F8F7"/>
          </w:tcPr>
          <w:p>
            <w:r>
              <w:t>Treatment plan — medications, referrals, testing, patient education, follow-up interval.</w:t>
            </w:r>
          </w:p>
        </w:tc>
      </w:tr>
    </w:tbl>
    <w:p>
      <w:pPr>
        <w:spacing w:before="200" w:after="80"/>
      </w:pPr>
      <w:r>
        <w:rPr>
          <w:b/>
          <w:color w:val="0F172A"/>
          <w:sz w:val="26"/>
        </w:rPr>
        <w:t>D. HCC Capture  ·  10% weight  ·  2 items</w:t>
      </w:r>
    </w:p>
    <w:p>
      <w:r>
        <w:t>HCC (Hierarchical Condition Category) drives risk-adjusted reimbursement in Medicare Advantage. Chronic conditions have to be re-documented every calendar year or they drop off the risk score. Two items here.</w:t>
      </w:r>
    </w:p>
    <w:p>
      <w:pPr>
        <w:spacing w:before="120" w:after="40"/>
      </w:pPr>
      <w:r>
        <w:rPr>
          <w:b/>
          <w:color w:val="0F6E6E"/>
          <w:sz w:val="23"/>
        </w:rPr>
        <w:t>D1 — Prior-year HCCs recaptured (or explicitly resolved)</w:t>
      </w:r>
    </w:p>
    <w:p>
      <w:r>
        <w:t>Every chronic condition the patient had last year has to be re-documented this year, OR the provider has to say explicitly why it's gone. Silent drops don't count.</w:t>
      </w:r>
    </w:p>
    <w:p>
      <w:r>
        <w:t>Example: Last year the patient had E11.22 (Diabetes with CKD). This year's note only mentions 'E11.9' (Diabetes without complications). The CKD linkage disappeared — the patient looks less sick than they are, and the reimbursement drops. That's a D1 failure.</w:t>
      </w:r>
    </w:p>
    <w:p>
      <w:pPr>
        <w:spacing w:before="120" w:after="40"/>
      </w:pPr>
      <w:r>
        <w:rPr>
          <w:b/>
          <w:color w:val="0F6E6E"/>
          <w:sz w:val="23"/>
        </w:rPr>
        <w:t>D2 — Suspected undocumented chronic conditions captured</w:t>
      </w:r>
    </w:p>
    <w:p>
      <w:r>
        <w:t>The chart often has clues that a chronic condition exists but hasn't been coded yet. Watch for these signals and push documentation toward capture:</w:t>
      </w:r>
    </w:p>
    <w:tbl>
      <w:tblPr>
        <w:tblW w:type="auto" w:w="0"/>
        <w:tblLayout w:type="fixed"/>
        <w:tblLook w:firstColumn="1" w:firstRow="1" w:lastColumn="0" w:lastRow="0" w:noHBand="0" w:noVBand="1" w:val="04A0"/>
      </w:tblPr>
      <w:tblGrid>
        <w:gridCol w:w="4873"/>
        <w:gridCol w:w="4873"/>
      </w:tblGrid>
      <w:tr>
        <w:tc>
          <w:tcPr>
            <w:tcW w:type="dxa" w:w="5040"/>
            <w:shd w:fill="0F6E6E"/>
          </w:tcPr>
          <w:p>
            <w:r>
              <w:rPr>
                <w:b/>
                <w:color w:val="FFFFFF"/>
              </w:rPr>
              <w:t>Signal in the chart</w:t>
            </w:r>
          </w:p>
        </w:tc>
        <w:tc>
          <w:tcPr>
            <w:tcW w:type="dxa" w:w="3600"/>
            <w:shd w:fill="0F6E6E"/>
          </w:tcPr>
          <w:p>
            <w:r>
              <w:rPr>
                <w:b/>
                <w:color w:val="FFFFFF"/>
              </w:rPr>
              <w:t>Probable HCC to prompt provider on</w:t>
            </w:r>
          </w:p>
        </w:tc>
      </w:tr>
      <w:tr>
        <w:tc>
          <w:tcPr>
            <w:tcW w:type="dxa" w:w="5040"/>
          </w:tcPr>
          <w:p>
            <w:r>
              <w:t>eGFR under 60 for 3+ months</w:t>
            </w:r>
          </w:p>
        </w:tc>
        <w:tc>
          <w:tcPr>
            <w:tcW w:type="dxa" w:w="3600"/>
          </w:tcPr>
          <w:p>
            <w:r>
              <w:t>Chronic Kidney Disease (N18.x)</w:t>
            </w:r>
          </w:p>
        </w:tc>
      </w:tr>
      <w:tr>
        <w:tc>
          <w:tcPr>
            <w:tcW w:type="dxa" w:w="5040"/>
            <w:shd w:fill="F1F8F7"/>
          </w:tcPr>
          <w:p>
            <w:r>
              <w:t>BMI ≥ 40</w:t>
            </w:r>
          </w:p>
        </w:tc>
        <w:tc>
          <w:tcPr>
            <w:tcW w:type="dxa" w:w="3600"/>
            <w:shd w:fill="F1F8F7"/>
          </w:tcPr>
          <w:p>
            <w:r>
              <w:t>Morbid obesity (E66.01)</w:t>
            </w:r>
          </w:p>
        </w:tc>
      </w:tr>
      <w:tr>
        <w:tc>
          <w:tcPr>
            <w:tcW w:type="dxa" w:w="5040"/>
          </w:tcPr>
          <w:p>
            <w:r>
              <w:t>Long-term insulin use (Z79.4), no DM code</w:t>
            </w:r>
          </w:p>
        </w:tc>
        <w:tc>
          <w:tcPr>
            <w:tcW w:type="dxa" w:w="3600"/>
          </w:tcPr>
          <w:p>
            <w:r>
              <w:t>Type 2 Diabetes</w:t>
            </w:r>
          </w:p>
        </w:tc>
      </w:tr>
      <w:tr>
        <w:tc>
          <w:tcPr>
            <w:tcW w:type="dxa" w:w="5040"/>
            <w:shd w:fill="F1F8F7"/>
          </w:tcPr>
          <w:p>
            <w:r>
              <w:t>Furosemide + spironolactone, or home O2</w:t>
            </w:r>
          </w:p>
        </w:tc>
        <w:tc>
          <w:tcPr>
            <w:tcW w:type="dxa" w:w="3600"/>
            <w:shd w:fill="F1F8F7"/>
          </w:tcPr>
          <w:p>
            <w:r>
              <w:t>CHF and/or COPD</w:t>
            </w:r>
          </w:p>
        </w:tc>
      </w:tr>
      <w:tr>
        <w:tc>
          <w:tcPr>
            <w:tcW w:type="dxa" w:w="5040"/>
          </w:tcPr>
          <w:p>
            <w:r>
              <w:t>HbA1c ≥ 6.5 % with no DM code</w:t>
            </w:r>
          </w:p>
        </w:tc>
        <w:tc>
          <w:tcPr>
            <w:tcW w:type="dxa" w:w="3600"/>
          </w:tcPr>
          <w:p>
            <w:r>
              <w:t>Type 2 Diabetes</w:t>
            </w:r>
          </w:p>
        </w:tc>
      </w:tr>
      <w:tr>
        <w:tc>
          <w:tcPr>
            <w:tcW w:type="dxa" w:w="5040"/>
            <w:shd w:fill="F1F8F7"/>
          </w:tcPr>
          <w:p>
            <w:r>
              <w:t>Prior stroke in history, no current code</w:t>
            </w:r>
          </w:p>
        </w:tc>
        <w:tc>
          <w:tcPr>
            <w:tcW w:type="dxa" w:w="3600"/>
            <w:shd w:fill="F1F8F7"/>
          </w:tcPr>
          <w:p>
            <w:r>
              <w:t>Late effect of CVA (I69.x)</w:t>
            </w:r>
          </w:p>
        </w:tc>
      </w:tr>
    </w:tbl>
    <w:p>
      <w:pPr>
        <w:spacing w:before="200" w:after="80"/>
      </w:pPr>
      <w:r>
        <w:rPr>
          <w:b/>
          <w:color w:val="0F172A"/>
          <w:sz w:val="26"/>
        </w:rPr>
        <w:t>E. Documentation Supporting Quality Measures  ·  10% weight  ·  2 items</w:t>
      </w:r>
    </w:p>
    <w:p>
      <w:r>
        <w:t>The billing team assigns the CPT II codes for HEDIS / Stars quality measures. Your audit checks whether the provider's note gives them what they need to capture the measure.</w:t>
      </w:r>
    </w:p>
    <w:tbl>
      <w:tblPr>
        <w:tblW w:type="auto" w:w="0"/>
        <w:tblLayout w:type="fixed"/>
        <w:tblLook w:firstColumn="1" w:firstRow="1" w:lastColumn="0" w:lastRow="0" w:noHBand="0" w:noVBand="1" w:val="04A0"/>
      </w:tblPr>
      <w:tblGrid>
        <w:gridCol w:w="3249"/>
        <w:gridCol w:w="3249"/>
        <w:gridCol w:w="3249"/>
      </w:tblGrid>
      <w:tr>
        <w:tc>
          <w:tcPr>
            <w:tcW w:type="dxa" w:w="720"/>
            <w:shd w:fill="0F6E6E"/>
          </w:tcPr>
          <w:p>
            <w:r>
              <w:rPr>
                <w:b/>
                <w:color w:val="FFFFFF"/>
              </w:rPr>
              <w:t>Item</w:t>
            </w:r>
          </w:p>
        </w:tc>
        <w:tc>
          <w:tcPr>
            <w:tcW w:type="dxa" w:w="3600"/>
            <w:shd w:fill="0F6E6E"/>
          </w:tcPr>
          <w:p>
            <w:r>
              <w:rPr>
                <w:b/>
                <w:color w:val="FFFFFF"/>
              </w:rPr>
              <w:t>What we check</w:t>
            </w:r>
          </w:p>
        </w:tc>
        <w:tc>
          <w:tcPr>
            <w:tcW w:type="dxa" w:w="4752"/>
            <w:shd w:fill="0F6E6E"/>
          </w:tcPr>
          <w:p>
            <w:r>
              <w:rPr>
                <w:b/>
                <w:color w:val="FFFFFF"/>
              </w:rPr>
              <w:t>Coder example</w:t>
            </w:r>
          </w:p>
        </w:tc>
      </w:tr>
      <w:tr>
        <w:tc>
          <w:tcPr>
            <w:tcW w:type="dxa" w:w="720"/>
          </w:tcPr>
          <w:p>
            <w:r>
              <w:t>E1</w:t>
            </w:r>
          </w:p>
        </w:tc>
        <w:tc>
          <w:tcPr>
            <w:tcW w:type="dxa" w:w="3600"/>
          </w:tcPr>
          <w:p>
            <w:r>
              <w:t>Screening / measure results documented with SPECIFIC VALUES.</w:t>
            </w:r>
          </w:p>
        </w:tc>
        <w:tc>
          <w:tcPr>
            <w:tcW w:type="dxa" w:w="4752"/>
          </w:tcPr>
          <w:p>
            <w:r>
              <w:t>Note says 'PHQ-9 = 14', 'BMI 34.2', 'BP 138/86', 'A1c 7.4%' — not 'screened' or 'normal'. Without the actual number, the biller can't attach the correct CPT II code.</w:t>
            </w:r>
          </w:p>
        </w:tc>
      </w:tr>
      <w:tr>
        <w:tc>
          <w:tcPr>
            <w:tcW w:type="dxa" w:w="720"/>
            <w:shd w:fill="F1F8F7"/>
          </w:tcPr>
          <w:p>
            <w:r>
              <w:t>E2</w:t>
            </w:r>
          </w:p>
        </w:tc>
        <w:tc>
          <w:tcPr>
            <w:tcW w:type="dxa" w:w="3600"/>
            <w:shd w:fill="F1F8F7"/>
          </w:tcPr>
          <w:p>
            <w:r>
              <w:t>Follow-up plan documented when the result is positive or abnormal.</w:t>
            </w:r>
          </w:p>
        </w:tc>
        <w:tc>
          <w:tcPr>
            <w:tcW w:type="dxa" w:w="4752"/>
            <w:shd w:fill="F1F8F7"/>
          </w:tcPr>
          <w:p>
            <w:r>
              <w:t>Positive PHQ-9 needs a depression follow-up plan documented (referral, medication, counseling). BMI ≥ 30 needs nutrition counseling. Abnormal HbA1c needs a treatment change. Without the follow-up documented, the quality measure won't capture.</w:t>
            </w:r>
          </w:p>
        </w:tc>
      </w:tr>
    </w:tbl>
    <w:p>
      <w:pPr>
        <w:spacing w:before="280" w:after="120"/>
      </w:pPr>
      <w:r>
        <w:rPr>
          <w:b/>
          <w:color w:val="0F6E6E"/>
          <w:sz w:val="32"/>
        </w:rPr>
        <w:t>5. How the scoring works</w:t>
      </w:r>
    </w:p>
    <w:p>
      <w:r>
        <w:t>Each element rated ✓ Met earns 1 point. △ Partial earns 0.5 points. ✗ Not Met earns 0. N/A is excluded from the denominator.</w:t>
      </w:r>
    </w:p>
    <w:p>
      <w:r>
        <w:t>Section subtotals are the average within that category, multiplied by the weight (30% / 25% / 25% / 10% / 10%). Those subtotals are summed into an Overall Compliance %.</w:t>
      </w:r>
    </w:p>
    <w:p>
      <w:pPr>
        <w:spacing w:before="200" w:after="80"/>
      </w:pPr>
      <w:r>
        <w:rPr>
          <w:b/>
          <w:color w:val="0F172A"/>
          <w:sz w:val="26"/>
        </w:rPr>
        <w:t>Performance bands</w:t>
      </w:r>
    </w:p>
    <w:tbl>
      <w:tblPr>
        <w:tblW w:type="auto" w:w="0"/>
        <w:tblLayout w:type="fixed"/>
        <w:tblLook w:firstColumn="1" w:firstRow="1" w:lastColumn="0" w:lastRow="0" w:noHBand="0" w:noVBand="1" w:val="04A0"/>
      </w:tblPr>
      <w:tblGrid>
        <w:gridCol w:w="3249"/>
        <w:gridCol w:w="3249"/>
        <w:gridCol w:w="3249"/>
      </w:tblGrid>
      <w:tr>
        <w:tc>
          <w:tcPr>
            <w:tcW w:type="dxa" w:w="2880"/>
            <w:shd w:fill="0F6E6E"/>
          </w:tcPr>
          <w:p>
            <w:r>
              <w:rPr>
                <w:b/>
                <w:color w:val="FFFFFF"/>
              </w:rPr>
              <w:t>Band</w:t>
            </w:r>
          </w:p>
        </w:tc>
        <w:tc>
          <w:tcPr>
            <w:tcW w:type="dxa" w:w="1296"/>
            <w:shd w:fill="0F6E6E"/>
          </w:tcPr>
          <w:p>
            <w:r>
              <w:rPr>
                <w:b/>
                <w:color w:val="FFFFFF"/>
              </w:rPr>
              <w:t>Range</w:t>
            </w:r>
          </w:p>
        </w:tc>
        <w:tc>
          <w:tcPr>
            <w:tcW w:type="dxa" w:w="4608"/>
            <w:shd w:fill="0F6E6E"/>
          </w:tcPr>
          <w:p>
            <w:r>
              <w:rPr>
                <w:b/>
                <w:color w:val="FFFFFF"/>
              </w:rPr>
              <w:t>Action</w:t>
            </w:r>
          </w:p>
        </w:tc>
      </w:tr>
      <w:tr>
        <w:tc>
          <w:tcPr>
            <w:tcW w:type="dxa" w:w="2880"/>
            <w:shd w:fill="D6EAF8"/>
          </w:tcPr>
          <w:p>
            <w:r>
              <w:rPr>
                <w:b/>
              </w:rPr>
              <w:t>Excellent</w:t>
            </w:r>
          </w:p>
        </w:tc>
        <w:tc>
          <w:tcPr>
            <w:tcW w:type="dxa" w:w="1296"/>
          </w:tcPr>
          <w:p>
            <w:r>
              <w:t>≥ 95%</w:t>
            </w:r>
          </w:p>
        </w:tc>
        <w:tc>
          <w:tcPr>
            <w:tcW w:type="dxa" w:w="4608"/>
          </w:tcPr>
          <w:p>
            <w:r>
              <w:t>Provider is a peer example.</w:t>
            </w:r>
          </w:p>
        </w:tc>
      </w:tr>
      <w:tr>
        <w:tc>
          <w:tcPr>
            <w:tcW w:type="dxa" w:w="2880"/>
            <w:shd w:fill="C7F0D2"/>
          </w:tcPr>
          <w:p>
            <w:r>
              <w:rPr>
                <w:b/>
              </w:rPr>
              <w:t>Meets Expectations</w:t>
            </w:r>
          </w:p>
        </w:tc>
        <w:tc>
          <w:tcPr>
            <w:tcW w:type="dxa" w:w="1296"/>
          </w:tcPr>
          <w:p>
            <w:r>
              <w:t>90–94%</w:t>
            </w:r>
          </w:p>
        </w:tc>
        <w:tc>
          <w:tcPr>
            <w:tcW w:type="dxa" w:w="4608"/>
          </w:tcPr>
          <w:p>
            <w:r>
              <w:t>Standard feedback · no action required.</w:t>
            </w:r>
          </w:p>
        </w:tc>
      </w:tr>
      <w:tr>
        <w:tc>
          <w:tcPr>
            <w:tcW w:type="dxa" w:w="2880"/>
            <w:shd w:fill="FDE9C0"/>
          </w:tcPr>
          <w:p>
            <w:r>
              <w:rPr>
                <w:b/>
              </w:rPr>
              <w:t>Needs Improvement</w:t>
            </w:r>
          </w:p>
        </w:tc>
        <w:tc>
          <w:tcPr>
            <w:tcW w:type="dxa" w:w="1296"/>
          </w:tcPr>
          <w:p>
            <w:r>
              <w:t>80–89%</w:t>
            </w:r>
          </w:p>
        </w:tc>
        <w:tc>
          <w:tcPr>
            <w:tcW w:type="dxa" w:w="4608"/>
          </w:tcPr>
          <w:p>
            <w:r>
              <w:t>Targeted education next cycle · monitor.</w:t>
            </w:r>
          </w:p>
        </w:tc>
      </w:tr>
      <w:tr>
        <w:tc>
          <w:tcPr>
            <w:tcW w:type="dxa" w:w="2880"/>
            <w:shd w:fill="F8C9C9"/>
          </w:tcPr>
          <w:p>
            <w:r>
              <w:rPr>
                <w:b/>
              </w:rPr>
              <w:t>Corrective Education Required</w:t>
            </w:r>
          </w:p>
        </w:tc>
        <w:tc>
          <w:tcPr>
            <w:tcW w:type="dxa" w:w="1296"/>
          </w:tcPr>
          <w:p>
            <w:r>
              <w:t>&lt; 80%</w:t>
            </w:r>
          </w:p>
        </w:tc>
        <w:tc>
          <w:tcPr>
            <w:tcW w:type="dxa" w:w="4608"/>
          </w:tcPr>
          <w:p>
            <w:r>
              <w:t>Structured plan + re-audit within 60–90 days.</w:t>
            </w:r>
          </w:p>
        </w:tc>
      </w:tr>
    </w:tbl>
    <w:p>
      <w:pPr>
        <w:spacing w:before="280" w:after="120"/>
      </w:pPr>
      <w:r>
        <w:rPr>
          <w:b/>
          <w:color w:val="0F6E6E"/>
          <w:sz w:val="32"/>
        </w:rPr>
        <w:t>6. Worked example — Dr. Rivera, July 2026</w:t>
      </w:r>
    </w:p>
    <w:p>
      <w:r>
        <w:t>Say you audited 10 of Dr. Rivera's July charts. The Provider Metrics tab shows this at the top:</w:t>
      </w:r>
    </w:p>
    <w:tbl>
      <w:tblPr>
        <w:tblW w:type="auto" w:w="0"/>
        <w:tblLayout w:type="fixed"/>
        <w:tblLook w:firstColumn="1" w:firstRow="1" w:lastColumn="0" w:lastRow="0" w:noHBand="0" w:noVBand="1" w:val="04A0"/>
      </w:tblPr>
      <w:tblGrid>
        <w:gridCol w:w="4873"/>
        <w:gridCol w:w="4873"/>
      </w:tblGrid>
      <w:tr>
        <w:tc>
          <w:tcPr>
            <w:tcW w:type="dxa" w:w="4320"/>
            <w:shd w:fill="0F6E6E"/>
          </w:tcPr>
          <w:p>
            <w:r>
              <w:rPr>
                <w:b/>
                <w:color w:val="FFFFFF"/>
              </w:rPr>
              <w:t>Metric</w:t>
            </w:r>
          </w:p>
        </w:tc>
        <w:tc>
          <w:tcPr>
            <w:tcW w:type="dxa" w:w="4320"/>
            <w:shd w:fill="0F6E6E"/>
          </w:tcPr>
          <w:p>
            <w:r>
              <w:rPr>
                <w:b/>
                <w:color w:val="FFFFFF"/>
              </w:rPr>
              <w:t>Value</w:t>
            </w:r>
          </w:p>
        </w:tc>
      </w:tr>
      <w:tr>
        <w:tc>
          <w:tcPr>
            <w:tcW w:type="dxa" w:w="4320"/>
          </w:tcPr>
          <w:p>
            <w:r>
              <w:t>Charts Audited</w:t>
            </w:r>
          </w:p>
        </w:tc>
        <w:tc>
          <w:tcPr>
            <w:tcW w:type="dxa" w:w="4320"/>
          </w:tcPr>
          <w:p>
            <w:r>
              <w:t>10</w:t>
            </w:r>
          </w:p>
        </w:tc>
      </w:tr>
      <w:tr>
        <w:tc>
          <w:tcPr>
            <w:tcW w:type="dxa" w:w="4320"/>
            <w:shd w:fill="F1F8F7"/>
          </w:tcPr>
          <w:p>
            <w:r>
              <w:t>Avg Compliance %</w:t>
            </w:r>
          </w:p>
        </w:tc>
        <w:tc>
          <w:tcPr>
            <w:tcW w:type="dxa" w:w="4320"/>
            <w:shd w:fill="F1F8F7"/>
          </w:tcPr>
          <w:p>
            <w:r>
              <w:t>88.4%</w:t>
            </w:r>
          </w:p>
        </w:tc>
      </w:tr>
      <w:tr>
        <w:tc>
          <w:tcPr>
            <w:tcW w:type="dxa" w:w="4320"/>
          </w:tcPr>
          <w:p>
            <w:r>
              <w:t>Meeting Expectations (≥ 90%)</w:t>
            </w:r>
          </w:p>
        </w:tc>
        <w:tc>
          <w:tcPr>
            <w:tcW w:type="dxa" w:w="4320"/>
          </w:tcPr>
          <w:p>
            <w:r>
              <w:t>6  (6 of 10 in the green/blue bands)</w:t>
            </w:r>
          </w:p>
        </w:tc>
      </w:tr>
      <w:tr>
        <w:tc>
          <w:tcPr>
            <w:tcW w:type="dxa" w:w="4320"/>
            <w:shd w:fill="F1F8F7"/>
          </w:tcPr>
          <w:p>
            <w:r>
              <w:t>Corrective Required (&lt; 80%)</w:t>
            </w:r>
          </w:p>
        </w:tc>
        <w:tc>
          <w:tcPr>
            <w:tcW w:type="dxa" w:w="4320"/>
            <w:shd w:fill="F1F8F7"/>
          </w:tcPr>
          <w:p>
            <w:r>
              <w:t>1  (one chart needs formal action)</w:t>
            </w:r>
          </w:p>
        </w:tc>
      </w:tr>
    </w:tbl>
    <w:p>
      <w:r>
        <w:t>How to read this:</w:t>
      </w:r>
    </w:p>
    <w:p>
      <w:pPr>
        <w:pStyle w:val="ListBullet"/>
        <w:spacing w:after="60"/>
        <w:ind w:left="360"/>
      </w:pPr>
      <w:r>
        <w:t>6 charts scored ≥ 90% — they're documenting well, no action needed.</w:t>
      </w:r>
    </w:p>
    <w:p>
      <w:pPr>
        <w:pStyle w:val="ListBullet"/>
        <w:spacing w:after="60"/>
        <w:ind w:left="360"/>
      </w:pPr>
      <w:r>
        <w:t>3 charts scored 80 – 89% (Needs Improvement) — look at what those three had in common. That's your education focus.</w:t>
      </w:r>
    </w:p>
    <w:p>
      <w:pPr>
        <w:pStyle w:val="ListBullet"/>
        <w:spacing w:after="60"/>
        <w:ind w:left="360"/>
      </w:pPr>
      <w:r>
        <w:t>1 chart scored under 80% — open a corrective plan and schedule a re-audit in 60–90 days.</w:t>
      </w:r>
    </w:p>
    <w:p>
      <w:pPr>
        <w:pStyle w:val="ListBullet"/>
        <w:spacing w:after="60"/>
        <w:ind w:left="360"/>
      </w:pPr>
      <w:r>
        <w:t>Provider's overall band is Needs Improvement — feedback session + closer monitoring next month.</w:t>
      </w:r>
    </w:p>
    <w:p>
      <w:pPr>
        <w:spacing w:before="280" w:after="120"/>
      </w:pPr>
      <w:r>
        <w:rPr>
          <w:b/>
          <w:color w:val="0F6E6E"/>
          <w:sz w:val="32"/>
        </w:rPr>
        <w:t>7. Starting a new provider (after finishing 10 claims)</w:t>
      </w:r>
    </w:p>
    <w:p>
      <w:pPr>
        <w:pStyle w:val="ListNumber"/>
        <w:spacing w:after="60"/>
        <w:ind w:left="360"/>
      </w:pPr>
      <w:r>
        <w:t>Save the current file as an archive: File → Save As → Audit_[Provider]_[YYYY-MM].xlsx.</w:t>
      </w:r>
    </w:p>
    <w:p>
      <w:pPr>
        <w:pStyle w:val="ListNumber"/>
        <w:spacing w:after="60"/>
        <w:ind w:left="360"/>
      </w:pPr>
      <w:r>
        <w:t>Come back to the master workbook.</w:t>
      </w:r>
    </w:p>
    <w:p>
      <w:pPr>
        <w:pStyle w:val="ListNumber"/>
        <w:spacing w:after="60"/>
        <w:ind w:left="360"/>
      </w:pPr>
      <w:r>
        <w:t>Ctrl+click Claim 01 through Claim 10 to group all 10 tabs.</w:t>
      </w:r>
    </w:p>
    <w:p>
      <w:pPr>
        <w:pStyle w:val="ListNumber"/>
        <w:spacing w:after="60"/>
        <w:ind w:left="360"/>
      </w:pPr>
      <w:r>
        <w:t>On any grouped tab, select the yellow header cells + column C (ratings) + column E (notes).</w:t>
      </w:r>
    </w:p>
    <w:p>
      <w:pPr>
        <w:pStyle w:val="ListNumber"/>
        <w:spacing w:after="60"/>
        <w:ind w:left="360"/>
      </w:pPr>
      <w:r>
        <w:t>Press Delete. All 10 tabs clear at once.</w:t>
      </w:r>
    </w:p>
    <w:p>
      <w:pPr>
        <w:pStyle w:val="ListNumber"/>
        <w:spacing w:after="60"/>
        <w:ind w:left="360"/>
      </w:pPr>
      <w:r>
        <w:t>Right-click any tab → Ungroup Sheets.</w:t>
      </w:r>
    </w:p>
    <w:p>
      <w:pPr>
        <w:pStyle w:val="ListNumber"/>
        <w:spacing w:after="60"/>
        <w:ind w:left="360"/>
      </w:pPr>
      <w:r>
        <w:t>Start on Claim 01 for the next provider.</w:t>
      </w:r>
    </w:p>
    <w:p>
      <w:r>
        <w:t>The Audit Log preserves every prior claim you've entered — nothing is lost. The Quarterly Report keeps pulling the whole history to build the provider progression chart over time.</w:t>
      </w:r>
    </w:p>
    <w:p>
      <w:pPr>
        <w:spacing w:before="280" w:after="120"/>
      </w:pPr>
      <w:r>
        <w:rPr>
          <w:b/>
          <w:color w:val="0F6E6E"/>
          <w:sz w:val="32"/>
        </w:rPr>
        <w:t>8. What to do with the audit results</w:t>
      </w:r>
    </w:p>
    <w:p>
      <w:pPr>
        <w:spacing w:before="120" w:after="40"/>
      </w:pPr>
      <w:r>
        <w:rPr>
          <w:b/>
          <w:color w:val="0F6E6E"/>
          <w:sz w:val="23"/>
        </w:rPr>
        <w:t>Excellent provider (≥ 95%)</w:t>
      </w:r>
    </w:p>
    <w:p>
      <w:pPr>
        <w:pStyle w:val="ListBullet"/>
        <w:spacing w:after="60"/>
        <w:ind w:left="360"/>
      </w:pPr>
      <w:r>
        <w:t>Send a positive feedback note.</w:t>
      </w:r>
    </w:p>
    <w:p>
      <w:pPr>
        <w:pStyle w:val="ListBullet"/>
        <w:spacing w:after="60"/>
        <w:ind w:left="360"/>
      </w:pPr>
      <w:r>
        <w:t>Consider using their notes as peer examples in provider training.</w:t>
      </w:r>
    </w:p>
    <w:p>
      <w:pPr>
        <w:spacing w:before="120" w:after="40"/>
      </w:pPr>
      <w:r>
        <w:rPr>
          <w:b/>
          <w:color w:val="0F6E6E"/>
          <w:sz w:val="23"/>
        </w:rPr>
        <w:t>Meets Expectations (90 – 94%)</w:t>
      </w:r>
    </w:p>
    <w:p>
      <w:pPr>
        <w:pStyle w:val="ListBullet"/>
        <w:spacing w:after="60"/>
        <w:ind w:left="360"/>
      </w:pPr>
      <w:r>
        <w:t>Standard end-of-cycle feedback email with their scorecard.</w:t>
      </w:r>
    </w:p>
    <w:p>
      <w:pPr>
        <w:pStyle w:val="ListBullet"/>
        <w:spacing w:after="60"/>
        <w:ind w:left="360"/>
      </w:pPr>
      <w:r>
        <w:t>No action required — keep monitoring.</w:t>
      </w:r>
    </w:p>
    <w:p>
      <w:pPr>
        <w:spacing w:before="120" w:after="40"/>
      </w:pPr>
      <w:r>
        <w:rPr>
          <w:b/>
          <w:color w:val="0F6E6E"/>
          <w:sz w:val="23"/>
        </w:rPr>
        <w:t>Needs Improvement (80 – 89%)</w:t>
      </w:r>
    </w:p>
    <w:p>
      <w:pPr>
        <w:pStyle w:val="ListBullet"/>
        <w:spacing w:after="60"/>
        <w:ind w:left="360"/>
      </w:pPr>
      <w:r>
        <w:t>Look at the 2-3 items most commonly rated △ or ✗ across their 10 charts.</w:t>
      </w:r>
    </w:p>
    <w:p>
      <w:pPr>
        <w:pStyle w:val="ListBullet"/>
        <w:spacing w:after="60"/>
        <w:ind w:left="360"/>
      </w:pPr>
      <w:r>
        <w:t>Send targeted education — one specific documentation tip.</w:t>
      </w:r>
    </w:p>
    <w:p>
      <w:pPr>
        <w:pStyle w:val="ListBullet"/>
        <w:spacing w:after="60"/>
        <w:ind w:left="360"/>
      </w:pPr>
      <w:r>
        <w:t>Watch their score next month. If it improves, great. If it stays flat, escalate.</w:t>
      </w:r>
    </w:p>
    <w:p>
      <w:pPr>
        <w:spacing w:before="120" w:after="40"/>
      </w:pPr>
      <w:r>
        <w:rPr>
          <w:b/>
          <w:color w:val="0F6E6E"/>
          <w:sz w:val="23"/>
        </w:rPr>
        <w:t>Corrective Education Required (&lt; 80%)</w:t>
      </w:r>
    </w:p>
    <w:p>
      <w:pPr>
        <w:pStyle w:val="ListBullet"/>
        <w:spacing w:after="60"/>
        <w:ind w:left="360"/>
      </w:pPr>
      <w:r>
        <w:t>Open a formal corrective action row on the Provider Audit Log.</w:t>
      </w:r>
    </w:p>
    <w:p>
      <w:pPr>
        <w:pStyle w:val="ListBullet"/>
        <w:spacing w:after="60"/>
        <w:ind w:left="360"/>
      </w:pPr>
      <w:r>
        <w:t>Schedule a live education session — not just an email.</w:t>
      </w:r>
    </w:p>
    <w:p>
      <w:pPr>
        <w:pStyle w:val="ListBullet"/>
        <w:spacing w:after="60"/>
        <w:ind w:left="360"/>
      </w:pPr>
      <w:r>
        <w:t>Re-audit within 60 – 90 days with a fresh 10-chart sample.</w:t>
      </w:r>
    </w:p>
    <w:p>
      <w:pPr>
        <w:pStyle w:val="ListBullet"/>
        <w:spacing w:after="60"/>
        <w:ind w:left="360"/>
      </w:pPr>
      <w:r>
        <w:t>If the re-audit fails, escalate to the compliance committee.</w:t>
      </w:r>
    </w:p>
    <w:p>
      <w:pPr>
        <w:spacing w:before="280" w:after="120"/>
      </w:pPr>
      <w:r>
        <w:rPr>
          <w:b/>
          <w:color w:val="0F6E6E"/>
          <w:sz w:val="32"/>
        </w:rPr>
        <w:t>9. Common documentation problems to watch for</w:t>
      </w:r>
    </w:p>
    <w:p>
      <w:pPr>
        <w:pStyle w:val="ListBullet"/>
        <w:spacing w:after="60"/>
        <w:ind w:left="360"/>
      </w:pPr>
      <w:r>
        <w:t>Copy-forward notes — same text as last visit, nothing new. Fails A2 and often B3.</w:t>
      </w:r>
    </w:p>
    <w:p>
      <w:pPr>
        <w:pStyle w:val="ListBullet"/>
        <w:spacing w:after="60"/>
        <w:ind w:left="360"/>
      </w:pPr>
      <w:r>
        <w:t>Unspecified ICD-10 codes when specificity is available. Fails B1 / B2.</w:t>
      </w:r>
    </w:p>
    <w:p>
      <w:pPr>
        <w:pStyle w:val="ListBullet"/>
        <w:spacing w:after="60"/>
        <w:ind w:left="360"/>
      </w:pPr>
      <w:r>
        <w:t>Diagnoses coded from the problem list, not from today's assessment. Fails A4.</w:t>
      </w:r>
    </w:p>
    <w:p>
      <w:pPr>
        <w:pStyle w:val="ListBullet"/>
        <w:spacing w:after="60"/>
        <w:ind w:left="360"/>
      </w:pPr>
      <w:r>
        <w:t>Prior-year HCCs not re-documented. Fails D1 — biggest revenue leak.</w:t>
      </w:r>
    </w:p>
    <w:p>
      <w:pPr>
        <w:pStyle w:val="ListBullet"/>
        <w:spacing w:after="60"/>
        <w:ind w:left="360"/>
      </w:pPr>
      <w:r>
        <w:t>Screening 'screened' or 'normal' without the actual value. Fails E1.</w:t>
      </w:r>
    </w:p>
    <w:p>
      <w:pPr>
        <w:pStyle w:val="ListBullet"/>
        <w:spacing w:after="60"/>
        <w:ind w:left="360"/>
      </w:pPr>
      <w:r>
        <w:t>Positive PHQ-9 with no follow-up plan documented. Fails E2.</w:t>
      </w:r>
    </w:p>
    <w:p>
      <w:pPr>
        <w:pStyle w:val="ListBullet"/>
        <w:spacing w:after="60"/>
        <w:ind w:left="360"/>
      </w:pPr>
      <w:r>
        <w:t>SOAP sections that contradict each other. Fails B3 and often C3.</w:t>
      </w:r>
    </w:p>
    <w:p>
      <w:pPr>
        <w:spacing w:before="280" w:after="120"/>
      </w:pPr>
      <w:r>
        <w:rPr>
          <w:b/>
          <w:color w:val="0F6E6E"/>
          <w:sz w:val="32"/>
        </w:rPr>
        <w:t>10. Confidentiality</w:t>
      </w:r>
    </w:p>
    <w:p>
      <w:r>
        <w:t>The workbook may contain Protected Health Information (PHI). Handle it in line with HIPAA and our internal privacy policy. Mask patient identifiers where possible (use the claim number, not the patient's name). Store the file only on approved systems and do not share it outside the audit and compliance team.</w:t>
      </w:r>
    </w:p>
    <w:p>
      <w:pPr>
        <w:spacing w:before="480"/>
      </w:pPr>
      <w:r>
        <w:rPr>
          <w:i/>
          <w:color w:val="555555"/>
        </w:rPr>
        <w:t>End of guide. Questions? Ask the audit / compliance lead.</w:t>
      </w:r>
    </w:p>
    <w:sectPr w:rsidR="00FC693F" w:rsidRPr="0006063C" w:rsidSect="00034616">
      <w:pgSz w:w="12240" w:h="15840"/>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