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F172A"/>
          <w:sz w:val="44"/>
        </w:rPr>
        <w:t>Anatomy &amp; Physiology — Baseline Assessment</w:t>
      </w:r>
    </w:p>
    <w:p>
      <w:pPr>
        <w:spacing w:after="240"/>
      </w:pPr>
      <w:r>
        <w:rPr>
          <w:i/>
          <w:color w:val="555555"/>
          <w:sz w:val="22"/>
        </w:rPr>
        <w:t>Billing Team · HealthProMed · Coding &amp; CDI Department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Name</w:t>
            </w:r>
          </w:p>
        </w:tc>
        <w:tc>
          <w:tcPr>
            <w:tcW w:type="dxa" w:w="7056"/>
            <w:shd w:fill="FFF9C4"/>
          </w:tcPr>
          <w:p/>
        </w:tc>
      </w:tr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Date</w:t>
            </w:r>
          </w:p>
        </w:tc>
        <w:tc>
          <w:tcPr>
            <w:tcW w:type="dxa" w:w="7056"/>
            <w:shd w:fill="FFF9C4"/>
          </w:tcPr>
          <w:p/>
        </w:tc>
      </w:tr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Auditor / Grader</w:t>
            </w:r>
          </w:p>
        </w:tc>
        <w:tc>
          <w:tcPr>
            <w:tcW w:type="dxa" w:w="7056"/>
            <w:shd w:fill="FFF9C4"/>
          </w:tcPr>
          <w:p/>
        </w:tc>
      </w:tr>
      <w:tr>
        <w:tc>
          <w:tcPr>
            <w:tcW w:type="dxa" w:w="2160"/>
            <w:shd w:fill="E6F4F1"/>
          </w:tcPr>
          <w:p>
            <w:r>
              <w:rPr>
                <w:b/>
                <w:sz w:val="22"/>
              </w:rPr>
              <w:t>Score</w:t>
            </w:r>
          </w:p>
        </w:tc>
        <w:tc>
          <w:tcPr>
            <w:tcW w:type="dxa" w:w="7056"/>
            <w:shd w:fill="FFF9C4"/>
          </w:tcPr>
          <w:p/>
        </w:tc>
      </w:tr>
    </w:tbl>
    <w:p>
      <w:pPr>
        <w:spacing w:before="280" w:after="120"/>
      </w:pPr>
      <w:r>
        <w:rPr>
          <w:b/>
          <w:color w:val="0F6E6E"/>
          <w:sz w:val="28"/>
        </w:rPr>
        <w:t>Instructions</w:t>
      </w:r>
    </w:p>
    <w:p>
      <w:r>
        <w:rPr>
          <w:sz w:val="22"/>
        </w:rPr>
        <w:t>• Answer each of the 6 questions by checking (☑) the box next to the best answer.</w:t>
      </w:r>
    </w:p>
    <w:p>
      <w:r>
        <w:rPr>
          <w:sz w:val="22"/>
        </w:rPr>
        <w:t>• Do NOT use references or the Billing Team Training Manual — this is a baseline check.</w:t>
      </w:r>
    </w:p>
    <w:p>
      <w:r>
        <w:rPr>
          <w:sz w:val="22"/>
        </w:rPr>
        <w:t>• Estimated time: 10-15 minutes.</w:t>
      </w:r>
    </w:p>
    <w:p>
      <w:r>
        <w:rPr>
          <w:sz w:val="22"/>
        </w:rPr>
        <w:t>• This is a knowledge check, not a punishment. Answer honestly.</w:t>
      </w:r>
    </w:p>
    <w:p>
      <w:r>
        <w:rPr>
          <w:sz w:val="22"/>
        </w:rPr>
        <w:t>• Return this quiz to your grader when complete.</w:t>
      </w:r>
    </w:p>
    <w:p>
      <w:pPr>
        <w:spacing w:before="280" w:after="120"/>
      </w:pPr>
      <w:r>
        <w:rPr>
          <w:b/>
          <w:color w:val="0F6E6E"/>
          <w:sz w:val="28"/>
        </w:rPr>
        <w:t>Questions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1.  </w:t>
      </w:r>
      <w:r>
        <w:rPr>
          <w:b/>
          <w:color w:val="0F172A"/>
          <w:sz w:val="22"/>
        </w:rPr>
        <w:t>A patient's chart shows Type 2 Diabetes Mellitus (E11.9). Which organ is primarily responsible for producing insulin?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Liver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Kidney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Pancreas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Thyroid gland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2.  </w:t>
      </w:r>
      <w:r>
        <w:rPr>
          <w:b/>
          <w:color w:val="0F172A"/>
          <w:sz w:val="22"/>
        </w:rPr>
        <w:t>Hypertension (I10) is a condition of which body system?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Respiratory system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Cardiovascular system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Digestive system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Nervous system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3.  </w:t>
      </w:r>
      <w:r>
        <w:rPr>
          <w:b/>
          <w:color w:val="0F172A"/>
          <w:sz w:val="22"/>
        </w:rPr>
        <w:t>Chronic Kidney Disease (CKD) is staged from 1 through 5 based on which lab value?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HbA1c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Serum creatinine only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eGFR (estimated Glomerular Filtration Rate)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Urine specific gravity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4.  </w:t>
      </w:r>
      <w:r>
        <w:rPr>
          <w:b/>
          <w:color w:val="0F172A"/>
          <w:sz w:val="22"/>
        </w:rPr>
        <w:t>In Medicare Advantage risk adjustment, chronic conditions (HCCs) must be re-documented how often to be captured?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Every 3 years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Every 5 years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Only when a patient changes providers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Every calendar year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5.  </w:t>
      </w:r>
      <w:r>
        <w:rPr>
          <w:b/>
          <w:color w:val="0F172A"/>
          <w:sz w:val="22"/>
        </w:rPr>
        <w:t>What is the KEY clinical difference between COPD (J44) and asthma (J45)?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COPD affects children only, asthma affects adults only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COPD causes largely irreversible airway obstruction; asthma is generally reversible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Asthma requires oxygen therapy; COPD does not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There is no difference between COPD and asthma</w:t>
      </w:r>
    </w:p>
    <w:p>
      <w:pPr>
        <w:spacing w:before="240" w:after="120"/>
      </w:pPr>
      <w:r>
        <w:rPr>
          <w:b/>
          <w:color w:val="0F6E6E"/>
          <w:sz w:val="24"/>
        </w:rPr>
        <w:t xml:space="preserve">6.  </w:t>
      </w:r>
      <w:r>
        <w:rPr>
          <w:b/>
          <w:color w:val="0F172A"/>
          <w:sz w:val="22"/>
        </w:rPr>
        <w:t>When coding obesity (E66.-), which additional code is ALWAYS required to specify the BMI category?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A.  </w:t>
      </w:r>
      <w:r>
        <w:rPr>
          <w:color w:val="0F172A"/>
          <w:sz w:val="22"/>
        </w:rPr>
        <w:t>R92.x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B.  </w:t>
      </w:r>
      <w:r>
        <w:rPr>
          <w:color w:val="0F172A"/>
          <w:sz w:val="22"/>
        </w:rPr>
        <w:t>Z68.x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C.  </w:t>
      </w:r>
      <w:r>
        <w:rPr>
          <w:color w:val="0F172A"/>
          <w:sz w:val="22"/>
        </w:rPr>
        <w:t>Z79.x</w:t>
      </w:r>
    </w:p>
    <w:p>
      <w:pPr>
        <w:spacing w:after="60"/>
        <w:ind w:left="576"/>
      </w:pPr>
      <w:r>
        <w:rPr>
          <w:color w:val="0F172A"/>
          <w:sz w:val="24"/>
        </w:rPr>
        <w:t xml:space="preserve">☐  </w:t>
      </w:r>
      <w:r>
        <w:rPr>
          <w:b/>
          <w:color w:val="0F6E6E"/>
          <w:sz w:val="22"/>
        </w:rPr>
        <w:t xml:space="preserve">D.  </w:t>
      </w:r>
      <w:r>
        <w:rPr>
          <w:color w:val="0F172A"/>
          <w:sz w:val="22"/>
        </w:rPr>
        <w:t>No additional code is required</w:t>
      </w:r>
    </w:p>
    <w:p>
      <w:pPr>
        <w:spacing w:before="400"/>
      </w:pPr>
      <w:r>
        <w:rPr>
          <w:i/>
          <w:color w:val="555555"/>
        </w:rPr>
        <w:t>End of quiz · return to your grader · your grader will review the correct answers with you.</w:t>
      </w:r>
    </w:p>
    <w:p>
      <w:r>
        <w:br w:type="page"/>
      </w:r>
    </w:p>
    <w:p>
      <w:pPr>
        <w:spacing w:after="80"/>
      </w:pPr>
      <w:r>
        <w:rPr>
          <w:b/>
          <w:color w:val="0F172A"/>
          <w:sz w:val="44"/>
        </w:rPr>
        <w:t>Answer Key &amp; Scoring — GRADER USE ONLY</w:t>
      </w:r>
    </w:p>
    <w:p>
      <w:pPr>
        <w:spacing w:after="240"/>
      </w:pPr>
      <w:r>
        <w:rPr>
          <w:i/>
          <w:color w:val="555555"/>
          <w:sz w:val="22"/>
        </w:rPr>
        <w:t>Do not distribute this page with the blank quiz</w:t>
      </w:r>
    </w:p>
    <w:p>
      <w:pPr>
        <w:spacing w:before="280" w:after="120"/>
      </w:pPr>
      <w:r>
        <w:rPr>
          <w:b/>
          <w:color w:val="0F6E6E"/>
          <w:sz w:val="28"/>
        </w:rPr>
        <w:t>Answer key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76"/>
            <w:shd w:fill="0F6E6E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592"/>
            <w:shd w:fill="0F6E6E"/>
          </w:tcPr>
          <w:p>
            <w:r>
              <w:rPr>
                <w:b/>
                <w:color w:val="FFFFFF"/>
                <w:sz w:val="21"/>
              </w:rPr>
              <w:t>Correct answer</w:t>
            </w:r>
          </w:p>
        </w:tc>
        <w:tc>
          <w:tcPr>
            <w:tcW w:type="dxa" w:w="6048"/>
            <w:shd w:fill="0F6E6E"/>
          </w:tcPr>
          <w:p>
            <w:r>
              <w:rPr>
                <w:b/>
                <w:color w:val="FFFFFF"/>
                <w:sz w:val="21"/>
              </w:rPr>
              <w:t>Why it matters for the biller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C — Pancreas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Diabetes is an endocrine/pancreas disease. Understanding this helps recognize the significance of insulin use (Z79.4) and pump codes (Z96.41).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B — Cardiovascular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HTN codes to a cardiovascular condition. This helps understand why HTN combined with heart or kidney disease requires I11.- / I12.- / I13.-, not just I10.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C — eGFR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Every CKD chart must have eGFR documented to code the stage correctly (N18.30 / N18.31 / N18.32 / N18.4 / N18.5).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D — Every calendar year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This is why HCC recapture matters. If a biller doesn't understand this, they won't push providers to re-document annually.</w:t>
            </w:r>
          </w:p>
        </w:tc>
      </w:tr>
      <w:tr>
        <w:tc>
          <w:tcPr>
            <w:tcW w:type="dxa" w:w="576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B — COPD irreversible / asthma reversible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Understanding this distinction helps catch when a note calls something one thing but the pattern really fits the other, and prompts a provider query.</w:t>
            </w:r>
          </w:p>
        </w:tc>
      </w:tr>
      <w:tr>
        <w:tc>
          <w:tcPr>
            <w:tcW w:type="dxa" w:w="576"/>
            <w:shd w:fill="F1F8F7"/>
          </w:tcPr>
          <w:p>
            <w:r>
              <w:rPr>
                <w:sz w:val="21"/>
              </w:rPr>
              <w:t>6</w:t>
            </w:r>
          </w:p>
        </w:tc>
        <w:tc>
          <w:tcPr>
            <w:tcW w:type="dxa" w:w="2592"/>
            <w:shd w:fill="F1F8F7"/>
          </w:tcPr>
          <w:p>
            <w:r>
              <w:rPr>
                <w:sz w:val="21"/>
              </w:rPr>
              <w:t>B — Z68.x</w:t>
            </w:r>
          </w:p>
        </w:tc>
        <w:tc>
          <w:tcPr>
            <w:tcW w:type="dxa" w:w="6048"/>
            <w:shd w:fill="F1F8F7"/>
          </w:tcPr>
          <w:p>
            <w:r>
              <w:rPr>
                <w:sz w:val="21"/>
              </w:rPr>
              <w:t>The most commonly missed CDI finding at preventive care centers. Every E66.- code MUST be paired with a Z68.x BMI category code.</w:t>
            </w:r>
          </w:p>
        </w:tc>
      </w:tr>
    </w:tbl>
    <w:p>
      <w:pPr>
        <w:spacing w:before="280" w:after="120"/>
      </w:pPr>
      <w:r>
        <w:rPr>
          <w:b/>
          <w:color w:val="0F6E6E"/>
          <w:sz w:val="28"/>
        </w:rPr>
        <w:t>Scoring guide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40"/>
            <w:shd w:fill="0F6E6E"/>
          </w:tcPr>
          <w:p>
            <w:r>
              <w:rPr>
                <w:b/>
                <w:color w:val="FFFFFF"/>
                <w:sz w:val="21"/>
              </w:rPr>
              <w:t>Score</w:t>
            </w:r>
          </w:p>
        </w:tc>
        <w:tc>
          <w:tcPr>
            <w:tcW w:type="dxa" w:w="3600"/>
            <w:shd w:fill="0F6E6E"/>
          </w:tcPr>
          <w:p>
            <w:r>
              <w:rPr>
                <w:b/>
                <w:color w:val="FFFFFF"/>
                <w:sz w:val="21"/>
              </w:rPr>
              <w:t>Interpretation</w:t>
            </w:r>
          </w:p>
        </w:tc>
        <w:tc>
          <w:tcPr>
            <w:tcW w:type="dxa" w:w="4176"/>
            <w:shd w:fill="0F6E6E"/>
          </w:tcPr>
          <w:p>
            <w:r>
              <w:rPr>
                <w:b/>
                <w:color w:val="FFFFFF"/>
                <w:sz w:val="21"/>
              </w:rPr>
              <w:t>Recommended action</w:t>
            </w:r>
          </w:p>
        </w:tc>
      </w:tr>
      <w:tr>
        <w:tc>
          <w:tcPr>
            <w:tcW w:type="dxa" w:w="1440"/>
          </w:tcPr>
          <w:p>
            <w:r>
              <w:rPr>
                <w:sz w:val="21"/>
              </w:rPr>
              <w:t>6 / 6</w:t>
            </w:r>
          </w:p>
        </w:tc>
        <w:tc>
          <w:tcPr>
            <w:tcW w:type="dxa" w:w="3600"/>
          </w:tcPr>
          <w:p>
            <w:r>
              <w:rPr>
                <w:sz w:val="21"/>
              </w:rPr>
              <w:t>Excellent — strong foundational knowledge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Move to advanced topics (combination codes, complications, MEAT criteria)</w:t>
            </w:r>
          </w:p>
        </w:tc>
      </w:tr>
      <w:tr>
        <w:tc>
          <w:tcPr>
            <w:tcW w:type="dxa" w:w="1440"/>
            <w:shd w:fill="F1F8F7"/>
          </w:tcPr>
          <w:p>
            <w:r>
              <w:rPr>
                <w:sz w:val="21"/>
              </w:rPr>
              <w:t>5 / 6</w:t>
            </w:r>
          </w:p>
        </w:tc>
        <w:tc>
          <w:tcPr>
            <w:tcW w:type="dxa" w:w="3600"/>
            <w:shd w:fill="F1F8F7"/>
          </w:tcPr>
          <w:p>
            <w:r>
              <w:rPr>
                <w:sz w:val="21"/>
              </w:rPr>
              <w:t>Good — solid grasp, minor gap</w:t>
            </w:r>
          </w:p>
        </w:tc>
        <w:tc>
          <w:tcPr>
            <w:tcW w:type="dxa" w:w="4176"/>
            <w:shd w:fill="F1F8F7"/>
          </w:tcPr>
          <w:p>
            <w:r>
              <w:rPr>
                <w:sz w:val="21"/>
              </w:rPr>
              <w:t>Review the one missed topic + related codes</w:t>
            </w:r>
          </w:p>
        </w:tc>
      </w:tr>
      <w:tr>
        <w:tc>
          <w:tcPr>
            <w:tcW w:type="dxa" w:w="1440"/>
          </w:tcPr>
          <w:p>
            <w:r>
              <w:rPr>
                <w:sz w:val="21"/>
              </w:rPr>
              <w:t>4 / 6</w:t>
            </w:r>
          </w:p>
        </w:tc>
        <w:tc>
          <w:tcPr>
            <w:tcW w:type="dxa" w:w="3600"/>
          </w:tcPr>
          <w:p>
            <w:r>
              <w:rPr>
                <w:sz w:val="21"/>
              </w:rPr>
              <w:t>Needs review — foundational gaps present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Assign the Billing Team Training Manual sections matching the misses</w:t>
            </w:r>
          </w:p>
        </w:tc>
      </w:tr>
      <w:tr>
        <w:tc>
          <w:tcPr>
            <w:tcW w:type="dxa" w:w="1440"/>
            <w:shd w:fill="F1F8F7"/>
          </w:tcPr>
          <w:p>
            <w:r>
              <w:rPr>
                <w:sz w:val="21"/>
              </w:rPr>
              <w:t>3 / 6 or below</w:t>
            </w:r>
          </w:p>
        </w:tc>
        <w:tc>
          <w:tcPr>
            <w:tcW w:type="dxa" w:w="3600"/>
            <w:shd w:fill="F1F8F7"/>
          </w:tcPr>
          <w:p>
            <w:r>
              <w:rPr>
                <w:sz w:val="21"/>
              </w:rPr>
              <w:t>Requires structured education</w:t>
            </w:r>
          </w:p>
        </w:tc>
        <w:tc>
          <w:tcPr>
            <w:tcW w:type="dxa" w:w="4176"/>
            <w:shd w:fill="F1F8F7"/>
          </w:tcPr>
          <w:p>
            <w:r>
              <w:rPr>
                <w:sz w:val="21"/>
              </w:rPr>
              <w:t>1-hour group review of body-systems 1-6 in the manual before next audit cycle</w:t>
            </w:r>
          </w:p>
        </w:tc>
      </w:tr>
    </w:tbl>
    <w:p>
      <w:pPr>
        <w:spacing w:before="280" w:after="120"/>
      </w:pPr>
      <w:r>
        <w:rPr>
          <w:b/>
          <w:color w:val="0F6E6E"/>
          <w:sz w:val="28"/>
        </w:rPr>
        <w:t>Grader notes</w:t>
      </w:r>
    </w:p>
    <w:p>
      <w:r>
        <w:rPr>
          <w:sz w:val="22"/>
        </w:rPr>
        <w:t>• Grade privately — do not rank scores publicly.</w:t>
      </w:r>
    </w:p>
    <w:p>
      <w:r>
        <w:rPr>
          <w:sz w:val="22"/>
        </w:rPr>
        <w:t>• Debrief individually after grading using the Billing Team Training Manual.</w:t>
      </w:r>
    </w:p>
    <w:p>
      <w:r>
        <w:rPr>
          <w:sz w:val="22"/>
        </w:rPr>
        <w:t>• Retake an equivalent quiz in 30-60 days after training to measure improvement.</w:t>
      </w:r>
    </w:p>
    <w:p>
      <w:r>
        <w:rPr>
          <w:sz w:val="22"/>
        </w:rPr>
        <w:t>• Track scores in the KPI Tracker under 'Education / Training' metrics.</w:t>
      </w:r>
    </w:p>
    <w:p>
      <w:pPr>
        <w:spacing w:before="400"/>
      </w:pPr>
      <w:r>
        <w:rPr>
          <w:i/>
          <w:color w:val="555555"/>
        </w:rPr>
        <w:t>End of grader section.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