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Rules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5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95"/>
        <w:gridCol w:w="4545"/>
        <w:gridCol w:w="2535"/>
        <w:tblGridChange w:id="0">
          <w:tblGrid>
            <w:gridCol w:w="1590"/>
            <w:gridCol w:w="1395"/>
            <w:gridCol w:w="4545"/>
            <w:gridCol w:w="253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Version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Author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Inception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9/20/2018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First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Eric Guzman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Elaboration Revise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10/31/2018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Added Rules 8 and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Eric Guzman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Elaboration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12/11/18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Revised nothing new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Eric Guzman</w:t>
            </w:r>
          </w:p>
        </w:tc>
      </w:tr>
    </w:tbl>
    <w:p w:rsidR="00000000" w:rsidDel="00000000" w:rsidP="00000000" w:rsidRDefault="00000000" w:rsidRPr="00000000" w14:paraId="00000014">
      <w:pPr>
        <w:spacing w:line="342.85714285714283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Rule List</w:t>
      </w:r>
    </w:p>
    <w:p w:rsidR="00000000" w:rsidDel="00000000" w:rsidP="00000000" w:rsidRDefault="00000000" w:rsidRPr="00000000" w14:paraId="00000016">
      <w:pPr>
        <w:ind w:left="-450" w:firstLine="0"/>
        <w:rPr/>
      </w:pPr>
      <w:r w:rsidDel="00000000" w:rsidR="00000000" w:rsidRPr="00000000">
        <w:rPr>
          <w:rtl w:val="0"/>
        </w:rPr>
        <w:t xml:space="preserve">(see also separate Application-specific Rules in Supplementary Specification)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4185"/>
        <w:gridCol w:w="2385"/>
        <w:gridCol w:w="2490"/>
        <w:tblGridChange w:id="0">
          <w:tblGrid>
            <w:gridCol w:w="1035"/>
            <w:gridCol w:w="4185"/>
            <w:gridCol w:w="2385"/>
            <w:gridCol w:w="249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Changeability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Signature required for credit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Buyer Signature will be required in order to make credit purchases and this is supported by US 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policy of all credit card authorization companies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players that use a credit card must be older than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Never accept cash Payment or checks by 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Money can be lost and never received. Checks can also be bounded.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must have an existing social media account in order to post Replays and scores.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 - Users can make new profiles.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 rules. Sales tax is required on all purchases.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Tax laws change annually, at all government levels.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confidentiality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Players must be 12 years or 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ESRB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Players should have the ability to adjust size of text for better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Account for color blind customers, both to accommodate the customer, and to widen the range of Players that can have a good experience in the game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