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72"/>
          <w:szCs w:val="72"/>
        </w:rPr>
      </w:pPr>
      <w:bookmarkStart w:colFirst="0" w:colLast="0" w:name="_4ubyul24hmr9" w:id="0"/>
      <w:bookmarkEnd w:id="0"/>
      <w:r w:rsidDel="00000000" w:rsidR="00000000" w:rsidRPr="00000000">
        <w:rPr>
          <w:sz w:val="72"/>
          <w:szCs w:val="72"/>
          <w:rtl w:val="0"/>
        </w:rPr>
        <w:t xml:space="preserve">Asteroids</w:t>
      </w:r>
    </w:p>
    <w:p w:rsidR="00000000" w:rsidDel="00000000" w:rsidP="00000000" w:rsidRDefault="00000000" w:rsidRPr="00000000" w14:paraId="00000006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TBD</w:t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Domain Model </w:t>
      </w:r>
    </w:p>
    <w:p w:rsidR="00000000" w:rsidDel="00000000" w:rsidP="00000000" w:rsidRDefault="00000000" w:rsidRPr="00000000" w14:paraId="00000008">
      <w:pPr>
        <w:spacing w:line="342.85714285714283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2.85714285714283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ubyul24hmr9">
            <w:r w:rsidDel="00000000" w:rsidR="00000000" w:rsidRPr="00000000">
              <w:rPr>
                <w:b w:val="1"/>
                <w:rtl w:val="0"/>
              </w:rPr>
              <w:t xml:space="preserve">Asteroids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_4ubyul24hmr9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xfzccflj39fb">
            <w:r w:rsidDel="00000000" w:rsidR="00000000" w:rsidRPr="00000000">
              <w:rPr>
                <w:b w:val="1"/>
                <w:rtl w:val="0"/>
              </w:rPr>
              <w:t xml:space="preserve">Figure 1: Game Subdomain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_xfzccflj39fb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bdvezp77dnx">
            <w:r w:rsidDel="00000000" w:rsidR="00000000" w:rsidRPr="00000000">
              <w:rPr>
                <w:b w:val="1"/>
                <w:rtl w:val="0"/>
              </w:rPr>
              <w:t xml:space="preserve">Figure 2: Store Subdomain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_lbdvezp77dnx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4j5c85xog58j">
            <w:r w:rsidDel="00000000" w:rsidR="00000000" w:rsidRPr="00000000">
              <w:rPr>
                <w:b w:val="1"/>
                <w:rtl w:val="0"/>
              </w:rPr>
              <w:t xml:space="preserve">Figure 3: Net Subdomain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_4j5c85xog58j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zyijit929sk">
            <w:r w:rsidDel="00000000" w:rsidR="00000000" w:rsidRPr="00000000">
              <w:rPr>
                <w:b w:val="1"/>
                <w:rtl w:val="0"/>
              </w:rPr>
              <w:t xml:space="preserve">Figure 4: Server Subdomain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_ozyijit929sk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klmwk3tzp95">
            <w:r w:rsidDel="00000000" w:rsidR="00000000" w:rsidRPr="00000000">
              <w:rPr>
                <w:b w:val="1"/>
                <w:rtl w:val="0"/>
              </w:rPr>
              <w:t xml:space="preserve">Figure 5: UI Subdomain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_nklmwk3tzp95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sw5nn0g31b5n">
            <w:r w:rsidDel="00000000" w:rsidR="00000000" w:rsidRPr="00000000">
              <w:rPr>
                <w:b w:val="1"/>
                <w:rtl w:val="0"/>
              </w:rPr>
              <w:t xml:space="preserve">Figure 6: Technical Services Subdomain 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_sw5nn0g31b5n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2.8571428571428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2.8571428571428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2.8571428571428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2.8571428571428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2.8571428571428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2.85714285714283" w:lineRule="auto"/>
        <w:ind w:left="-9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Revision History</w:t>
      </w:r>
    </w:p>
    <w:tbl>
      <w:tblPr>
        <w:tblStyle w:val="Table1"/>
        <w:tblW w:w="1101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20"/>
        <w:gridCol w:w="5640"/>
        <w:gridCol w:w="1920"/>
        <w:tblGridChange w:id="0">
          <w:tblGrid>
            <w:gridCol w:w="1830"/>
            <w:gridCol w:w="1620"/>
            <w:gridCol w:w="5640"/>
            <w:gridCol w:w="1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Elaboration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10/31/2018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First Draft.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Eric Guzman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Elaboration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12/14/2018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Updated the tech services domain model and the game domain model to reflect the new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Eric Guzman</w:t>
            </w:r>
          </w:p>
        </w:tc>
      </w:tr>
    </w:tbl>
    <w:p w:rsidR="00000000" w:rsidDel="00000000" w:rsidP="00000000" w:rsidRDefault="00000000" w:rsidRPr="00000000" w14:paraId="00000025">
      <w:pPr>
        <w:spacing w:line="342.85714285714283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xfzccflj39f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y69dtalya0v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Figure 1: Game Subdomain Model</w:t>
      </w:r>
    </w:p>
    <w:p w:rsidR="00000000" w:rsidDel="00000000" w:rsidP="00000000" w:rsidRDefault="00000000" w:rsidRPr="00000000" w14:paraId="00000028">
      <w:pPr>
        <w:spacing w:line="342.8571428571428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domain model shows the connections that are all related to the game package that is inside the domain layer. </w:t>
      </w:r>
    </w:p>
    <w:p w:rsidR="00000000" w:rsidDel="00000000" w:rsidP="00000000" w:rsidRDefault="00000000" w:rsidRPr="00000000" w14:paraId="00000029">
      <w:pPr>
        <w:spacing w:line="342.8571428571428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76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lbdvezp77dnx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Figure 2: Store Subdomain Model</w:t>
      </w:r>
    </w:p>
    <w:p w:rsidR="00000000" w:rsidDel="00000000" w:rsidP="00000000" w:rsidRDefault="00000000" w:rsidRPr="00000000" w14:paraId="0000002B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domain model shows the connections that are all related to the store package that is inside the domain layer. </w:t>
      </w:r>
    </w:p>
    <w:p w:rsidR="00000000" w:rsidDel="00000000" w:rsidP="00000000" w:rsidRDefault="00000000" w:rsidRPr="00000000" w14:paraId="0000002C">
      <w:pPr>
        <w:spacing w:line="342.85714285714283" w:lineRule="auto"/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8450" cy="4429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-54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42.85714285714283" w:lineRule="auto"/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42.85714285714283" w:lineRule="auto"/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42.85714285714283" w:lineRule="auto"/>
        <w:ind w:right="-720" w:hanging="72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4j5c85xog58j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Figure 3: Net Subdomain Model </w:t>
      </w:r>
    </w:p>
    <w:p w:rsidR="00000000" w:rsidDel="00000000" w:rsidP="00000000" w:rsidRDefault="00000000" w:rsidRPr="00000000" w14:paraId="00000031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domain model shows the connections that are all related to the Net package that is inside the domain layer. </w:t>
      </w:r>
    </w:p>
    <w:p w:rsidR="00000000" w:rsidDel="00000000" w:rsidP="00000000" w:rsidRDefault="00000000" w:rsidRPr="00000000" w14:paraId="00000032">
      <w:pPr>
        <w:spacing w:line="342.85714285714283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6450" cy="5400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ozyijit929sk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Figure 4: Server Subdomain Model </w:t>
      </w:r>
    </w:p>
    <w:p w:rsidR="00000000" w:rsidDel="00000000" w:rsidP="00000000" w:rsidRDefault="00000000" w:rsidRPr="00000000" w14:paraId="00000034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domain model shows the connections that are all related to the Server package that is inside the domain layer.  </w:t>
      </w:r>
    </w:p>
    <w:p w:rsidR="00000000" w:rsidDel="00000000" w:rsidP="00000000" w:rsidRDefault="00000000" w:rsidRPr="00000000" w14:paraId="00000035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72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nklmwk3tzp95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Figure 5: UI Subdomain Model </w:t>
      </w:r>
    </w:p>
    <w:p w:rsidR="00000000" w:rsidDel="00000000" w:rsidP="00000000" w:rsidRDefault="00000000" w:rsidRPr="00000000" w14:paraId="00000037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domain model shows the connections that are all related to the UI package that is inside the UI layer. . </w:t>
      </w:r>
    </w:p>
    <w:p w:rsidR="00000000" w:rsidDel="00000000" w:rsidP="00000000" w:rsidRDefault="00000000" w:rsidRPr="00000000" w14:paraId="00000038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5962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42.85714285714283" w:lineRule="auto"/>
        <w:rPr>
          <w:b w:val="1"/>
          <w:sz w:val="28"/>
          <w:szCs w:val="28"/>
        </w:rPr>
      </w:pPr>
      <w:bookmarkStart w:colFirst="0" w:colLast="0" w:name="_sw5nn0g31b5n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Figure 6: Technical Services Subdomain Model </w:t>
      </w:r>
    </w:p>
    <w:p w:rsidR="00000000" w:rsidDel="00000000" w:rsidP="00000000" w:rsidRDefault="00000000" w:rsidRPr="00000000" w14:paraId="0000003B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domain model shows the connections that are all related to the technical services package that is inside the Technical Services layer.  </w:t>
      </w:r>
    </w:p>
    <w:p w:rsidR="00000000" w:rsidDel="00000000" w:rsidP="00000000" w:rsidRDefault="00000000" w:rsidRPr="00000000" w14:paraId="0000003C">
      <w:pPr>
        <w:spacing w:line="342.8571428571428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0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