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8" w:space="4" w:color="1A568A"/>
        </w:pBdr>
      </w:pPr>
      <w:r>
        <w:t>bandvcard – Projektkontext v1.0.0</w:t>
      </w:r>
    </w:p>
    <w:p>
      <w:pPr>
        <w:spacing w:before="120" w:after="40" w:line="264" w:lineRule="auto"/>
      </w:pPr>
      <w:r>
        <w:rPr>
          <w:rFonts w:ascii="Calibri" w:hAnsi="Calibri" w:eastAsia="Calibri"/>
          <w:b w:val="0"/>
          <w:i/>
          <w:color w:val="2E75B6"/>
          <w:sz w:val="28"/>
        </w:rPr>
        <w:t>Digitale Visitenkartenverwaltung</w:t>
      </w:r>
    </w:p>
    <w:p>
      <w:pPr>
        <w:spacing w:before="40" w:after="240" w:line="264" w:lineRule="auto"/>
      </w:pPr>
      <w:r>
        <w:rPr>
          <w:rFonts w:ascii="Calibri" w:hAnsi="Calibri" w:eastAsia="Calibri"/>
          <w:b w:val="0"/>
          <w:i w:val="0"/>
          <w:color w:val="5A5A5A"/>
          <w:sz w:val="20"/>
        </w:rPr>
        <w:t>Version 1.0.0  ·  Oktober 2026  ·  Projektkontext</w:t>
      </w:r>
    </w:p>
    <w:p>
      <w:pPr>
        <w:pStyle w:val="Heading1"/>
        <w:pBdr>
          <w:bottom w:val="single" w:sz="12" w:space="4" w:color="1A568A"/>
        </w:pBdr>
      </w:pPr>
      <w:r>
        <w:t>1. Projektübersicht</w:t>
      </w:r>
    </w:p>
    <w:p>
      <w:pPr>
        <w:spacing w:before="0" w:after="160" w:line="276" w:lineRule="auto"/>
      </w:pPr>
      <w:r>
        <w:rPr>
          <w:rFonts w:ascii="Calibri" w:hAnsi="Calibri" w:eastAsia="Calibri"/>
          <w:b w:val="0"/>
          <w:i w:val="0"/>
          <w:color w:val="1C1C1C"/>
          <w:sz w:val="22"/>
        </w:rPr>
        <w:t>Dieses Dokument beschreibt den fachlichen und technischen Projektkontext der Anwendung bandvcard in Version 1.0.0. Es dient als gemeinsame Referenz für Entwicklung, Architektur und Stakeholder.</w:t>
      </w:r>
    </w:p>
    <w:tbl>
      <w:tblPr>
        <w:jc w:val="center"/>
        <w:tblLayout w:type="autofit"/>
        <w:tblLook w:firstColumn="1" w:firstRow="1" w:lastColumn="0" w:lastRow="0" w:noHBand="0" w:noVBand="1" w:val="04A0"/>
        <w:tblW w:w="5000" w:type="pct"/>
        <w:tblBorders>
          <w:top w:val="single" w:sz="4" w:color="1A568A" w:space="0"/>
          <w:left w:val="single" w:sz="4" w:color="1A568A" w:space="0"/>
          <w:bottom w:val="single" w:sz="4" w:color="1A568A" w:space="0"/>
          <w:right w:val="single" w:sz="4" w:color="1A568A" w:space="0"/>
          <w:insideH w:val="single" w:sz="4" w:color="1A568A" w:space="0"/>
          <w:insideV w:val="single" w:sz="4" w:color="1A568A" w:space="0"/>
        </w:tblBorders>
      </w:tblPr>
      <w:tblGrid>
        <w:gridCol w:w="4873"/>
        <w:gridCol w:w="4873"/>
      </w:tblGrid>
      <w:tr>
        <w:trPr>
          <w:cantSplit/>
        </w:trPr>
        <w:tc>
          <w:tcPr>
            <w:tcW w:type="dxa" w:w="2551"/>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Projektname</w:t>
            </w:r>
          </w:p>
        </w:tc>
        <w:tc>
          <w:tcPr>
            <w:tcW w:type="dxa" w:w="6520"/>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bandvcard</w:t>
            </w:r>
          </w:p>
        </w:tc>
      </w:tr>
      <w:tr>
        <w:trPr>
          <w:cantSplit/>
        </w:trPr>
        <w:tc>
          <w:tcPr>
            <w:tcW w:type="dxa" w:w="2551"/>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Version</w:t>
            </w:r>
          </w:p>
        </w:tc>
        <w:tc>
          <w:tcPr>
            <w:tcW w:type="dxa" w:w="6520"/>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1.0.0</w:t>
            </w:r>
          </w:p>
        </w:tc>
      </w:tr>
      <w:tr>
        <w:trPr>
          <w:cantSplit/>
        </w:trPr>
        <w:tc>
          <w:tcPr>
            <w:tcW w:type="dxa" w:w="2551"/>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Dokumenttyp</w:t>
            </w:r>
          </w:p>
        </w:tc>
        <w:tc>
          <w:tcPr>
            <w:tcW w:type="dxa" w:w="6520"/>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Projektkontext</w:t>
            </w:r>
          </w:p>
        </w:tc>
      </w:tr>
      <w:tr>
        <w:trPr>
          <w:cantSplit/>
        </w:trPr>
        <w:tc>
          <w:tcPr>
            <w:tcW w:type="dxa" w:w="2551"/>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Erstellungsdatum</w:t>
            </w:r>
          </w:p>
        </w:tc>
        <w:tc>
          <w:tcPr>
            <w:tcW w:type="dxa" w:w="6520"/>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Oktober 2026</w:t>
            </w:r>
          </w:p>
        </w:tc>
      </w:tr>
    </w:tbl>
    <w:p>
      <w:pPr>
        <w:spacing w:before="0" w:after="80" w:line="240" w:lineRule="auto"/>
      </w:pPr>
    </w:p>
    <w:p>
      <w:pPr>
        <w:pStyle w:val="Heading2"/>
      </w:pPr>
      <w:r>
        <w:t>Kurzbeschreibung</w:t>
      </w:r>
    </w:p>
    <w:p>
      <w:pPr>
        <w:spacing w:before="0" w:after="160" w:line="276" w:lineRule="auto"/>
      </w:pPr>
      <w:r>
        <w:rPr>
          <w:rFonts w:ascii="Calibri" w:hAnsi="Calibri" w:eastAsia="Calibri"/>
          <w:b w:val="0"/>
          <w:i w:val="0"/>
          <w:color w:val="1C1C1C"/>
          <w:sz w:val="22"/>
        </w:rPr>
        <w:t>bandvcard ist eine Anwendung zur digitalen Verwaltung von Visitenkarten. Visitenkarten werden fotografiert, per OCR (Texterkennung im Frontend) ausgelesen und strukturiert gespeichert. Ziel ist ein durchgängiger, effizienter Erfassungsprozess von der Aufnahme bis zur persistenten Ablage in Datenbank und Dokumentenmanagementsystem.</w:t>
      </w:r>
    </w:p>
    <w:p>
      <w:pPr>
        <w:pStyle w:val="Heading1"/>
        <w:pBdr>
          <w:bottom w:val="single" w:sz="12" w:space="4" w:color="1A568A"/>
        </w:pBdr>
      </w:pPr>
      <w:r>
        <w:t>2. Technischer Stack</w:t>
      </w:r>
    </w:p>
    <w:p>
      <w:pPr>
        <w:spacing w:before="0" w:after="160" w:line="276" w:lineRule="auto"/>
      </w:pPr>
      <w:r>
        <w:rPr>
          <w:rFonts w:ascii="Calibri" w:hAnsi="Calibri" w:eastAsia="Calibri"/>
          <w:b w:val="0"/>
          <w:i w:val="0"/>
          <w:color w:val="1C1C1C"/>
          <w:sz w:val="22"/>
        </w:rPr>
        <w:t>Die Anwendung ist als mehrschichtige Architektur aufgebaut. Die folgende Tabelle fasst die eingesetzten Technologien je Schicht zusammen.</w:t>
      </w:r>
    </w:p>
    <w:tbl>
      <w:tblPr>
        <w:jc w:val="center"/>
        <w:tblLayout w:type="autofit"/>
        <w:tblLook w:firstColumn="1" w:firstRow="1" w:lastColumn="0" w:lastRow="0" w:noHBand="0" w:noVBand="1" w:val="04A0"/>
        <w:tblW w:w="5000" w:type="pct"/>
        <w:tblBorders>
          <w:top w:val="single" w:sz="4" w:color="1A568A" w:space="0"/>
          <w:left w:val="single" w:sz="4" w:color="1A568A" w:space="0"/>
          <w:bottom w:val="single" w:sz="4" w:color="1A568A" w:space="0"/>
          <w:right w:val="single" w:sz="4" w:color="1A568A" w:space="0"/>
          <w:insideH w:val="single" w:sz="4" w:color="1A568A" w:space="0"/>
          <w:insideV w:val="single" w:sz="4" w:color="1A568A" w:space="0"/>
        </w:tblBorders>
      </w:tblPr>
      <w:tblGrid>
        <w:gridCol w:w="4873"/>
        <w:gridCol w:w="4873"/>
      </w:tblGrid>
      <w:tr>
        <w:trPr>
          <w:cantSplit/>
        </w:trPr>
        <w:tc>
          <w:tcPr>
            <w:tcW w:type="dxa" w:w="2835"/>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Schicht</w:t>
            </w:r>
          </w:p>
        </w:tc>
        <w:tc>
          <w:tcPr>
            <w:tcW w:type="dxa" w:w="6236"/>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Technologie</w:t>
            </w:r>
          </w:p>
        </w:tc>
      </w:tr>
      <w:tr>
        <w:trPr>
          <w:cantSplit/>
        </w:trPr>
        <w:tc>
          <w:tcPr>
            <w:tcW w:type="dxa" w:w="2835"/>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Frontend</w:t>
            </w:r>
          </w:p>
        </w:tc>
        <w:tc>
          <w:tcPr>
            <w:tcW w:type="dxa" w:w="6236"/>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Next.js</w:t>
            </w:r>
          </w:p>
        </w:tc>
      </w:tr>
      <w:tr>
        <w:trPr>
          <w:cantSplit/>
        </w:trPr>
        <w:tc>
          <w:tcPr>
            <w:tcW w:type="dxa" w:w="2835"/>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Backend</w:t>
            </w:r>
          </w:p>
        </w:tc>
        <w:tc>
          <w:tcPr>
            <w:tcW w:type="dxa" w:w="6236"/>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C# (.NET), OData</w:t>
            </w:r>
          </w:p>
        </w:tc>
      </w:tr>
      <w:tr>
        <w:trPr>
          <w:cantSplit/>
        </w:trPr>
        <w:tc>
          <w:tcPr>
            <w:tcW w:type="dxa" w:w="2835"/>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Datenbank</w:t>
            </w:r>
          </w:p>
        </w:tc>
        <w:tc>
          <w:tcPr>
            <w:tcW w:type="dxa" w:w="6236"/>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PostgreSQL</w:t>
            </w:r>
          </w:p>
        </w:tc>
      </w:tr>
      <w:tr>
        <w:trPr>
          <w:cantSplit/>
        </w:trPr>
        <w:tc>
          <w:tcPr>
            <w:tcW w:type="dxa" w:w="2835"/>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Reverse Proxy</w:t>
            </w:r>
          </w:p>
        </w:tc>
        <w:tc>
          <w:tcPr>
            <w:tcW w:type="dxa" w:w="6236"/>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nginx</w:t>
            </w:r>
          </w:p>
        </w:tc>
      </w:tr>
      <w:tr>
        <w:trPr>
          <w:cantSplit/>
        </w:trPr>
        <w:tc>
          <w:tcPr>
            <w:tcW w:type="dxa" w:w="2835"/>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DMS / Storage</w:t>
            </w:r>
          </w:p>
        </w:tc>
        <w:tc>
          <w:tcPr>
            <w:tcW w:type="dxa" w:w="6236"/>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MinIO</w:t>
            </w:r>
          </w:p>
        </w:tc>
      </w:tr>
    </w:tbl>
    <w:p>
      <w:pPr>
        <w:spacing w:before="0" w:after="80" w:line="240" w:lineRule="auto"/>
      </w:pPr>
    </w:p>
    <w:p>
      <w:pPr>
        <w:pStyle w:val="Heading1"/>
        <w:pBdr>
          <w:bottom w:val="single" w:sz="12" w:space="4" w:color="1A568A"/>
        </w:pBdr>
      </w:pPr>
      <w:r>
        <w:t>3. Userverwaltung</w:t>
      </w:r>
    </w:p>
    <w:p>
      <w:pPr>
        <w:spacing w:before="0" w:after="160" w:line="276" w:lineRule="auto"/>
      </w:pPr>
      <w:r>
        <w:rPr>
          <w:rFonts w:ascii="Calibri" w:hAnsi="Calibri" w:eastAsia="Calibri"/>
          <w:b w:val="0"/>
          <w:i w:val="0"/>
          <w:color w:val="1C1C1C"/>
          <w:sz w:val="22"/>
        </w:rPr>
        <w:t>Die Benutzerverwaltung basiert auf der E-Mail-Adresse als eindeutiger Identität des Benutzers. Die E-Mail-Adresse ist unique und dient als primärer Identifier.</w:t>
      </w:r>
    </w:p>
    <w:p>
      <w:pPr>
        <w:pStyle w:val="Heading2"/>
      </w:pPr>
      <w:r>
        <w:t>Benutzerfelder</w:t>
      </w:r>
    </w:p>
    <w:p>
      <w:pPr>
        <w:spacing w:before="0" w:after="120" w:line="276" w:lineRule="auto"/>
      </w:pPr>
      <w:r>
        <w:rPr>
          <w:rFonts w:ascii="Calibri" w:hAnsi="Calibri" w:eastAsia="Calibri"/>
          <w:b w:val="0"/>
          <w:i w:val="0"/>
          <w:color w:val="1C1C1C"/>
          <w:sz w:val="22"/>
        </w:rPr>
        <w:t>Jeder Benutzerdatensatz umfasst die folgenden Attribute:</w:t>
      </w:r>
    </w:p>
    <w:tbl>
      <w:tblPr>
        <w:jc w:val="center"/>
        <w:tblLayout w:type="autofit"/>
        <w:tblLook w:firstColumn="1" w:firstRow="1" w:lastColumn="0" w:lastRow="0" w:noHBand="0" w:noVBand="1" w:val="04A0"/>
        <w:tblW w:w="5000" w:type="pct"/>
        <w:tblBorders>
          <w:top w:val="single" w:sz="4" w:color="1A568A" w:space="0"/>
          <w:left w:val="single" w:sz="4" w:color="1A568A" w:space="0"/>
          <w:bottom w:val="single" w:sz="4" w:color="1A568A" w:space="0"/>
          <w:right w:val="single" w:sz="4" w:color="1A568A" w:space="0"/>
          <w:insideH w:val="single" w:sz="4" w:color="1A568A" w:space="0"/>
          <w:insideV w:val="single" w:sz="4" w:color="1A568A" w:space="0"/>
        </w:tblBorders>
      </w:tblPr>
      <w:tblGrid>
        <w:gridCol w:w="4873"/>
        <w:gridCol w:w="4873"/>
      </w:tblGrid>
      <w:tr>
        <w:trPr>
          <w:cantSplit/>
        </w:trPr>
        <w:tc>
          <w:tcPr>
            <w:tcW w:type="dxa" w:w="2551"/>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Feld</w:t>
            </w:r>
          </w:p>
        </w:tc>
        <w:tc>
          <w:tcPr>
            <w:tcW w:type="dxa" w:w="6520"/>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Beschreibung</w:t>
            </w:r>
          </w:p>
        </w:tc>
      </w:tr>
      <w:tr>
        <w:trPr>
          <w:cantSplit/>
        </w:trPr>
        <w:tc>
          <w:tcPr>
            <w:tcW w:type="dxa" w:w="2551"/>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Vorname</w:t>
            </w:r>
          </w:p>
        </w:tc>
        <w:tc>
          <w:tcPr>
            <w:tcW w:type="dxa" w:w="6520"/>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Vorname des Benutzers</w:t>
            </w:r>
          </w:p>
        </w:tc>
      </w:tr>
      <w:tr>
        <w:trPr>
          <w:cantSplit/>
        </w:trPr>
        <w:tc>
          <w:tcPr>
            <w:tcW w:type="dxa" w:w="2551"/>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Nachname</w:t>
            </w:r>
          </w:p>
        </w:tc>
        <w:tc>
          <w:tcPr>
            <w:tcW w:type="dxa" w:w="6520"/>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Nachname des Benutzers</w:t>
            </w:r>
          </w:p>
        </w:tc>
      </w:tr>
      <w:tr>
        <w:trPr>
          <w:cantSplit/>
        </w:trPr>
        <w:tc>
          <w:tcPr>
            <w:tcW w:type="dxa" w:w="2551"/>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E-Mail-Adresse</w:t>
            </w:r>
          </w:p>
        </w:tc>
        <w:tc>
          <w:tcPr>
            <w:tcW w:type="dxa" w:w="6520"/>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Eindeutige ID und primärer Identifier (unique)</w:t>
            </w:r>
          </w:p>
        </w:tc>
      </w:tr>
      <w:tr>
        <w:trPr>
          <w:cantSplit/>
        </w:trPr>
        <w:tc>
          <w:tcPr>
            <w:tcW w:type="dxa" w:w="2551"/>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Telefon</w:t>
            </w:r>
          </w:p>
        </w:tc>
        <w:tc>
          <w:tcPr>
            <w:tcW w:type="dxa" w:w="6520"/>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Telefonnummer des Benutzers</w:t>
            </w:r>
          </w:p>
        </w:tc>
      </w:tr>
      <w:tr>
        <w:trPr>
          <w:cantSplit/>
        </w:trPr>
        <w:tc>
          <w:tcPr>
            <w:tcW w:type="dxa" w:w="2551"/>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Status</w:t>
            </w:r>
          </w:p>
        </w:tc>
        <w:tc>
          <w:tcPr>
            <w:tcW w:type="dxa" w:w="6520"/>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aktiv | inaktiv</w:t>
            </w:r>
          </w:p>
        </w:tc>
      </w:tr>
    </w:tbl>
    <w:p>
      <w:pPr>
        <w:spacing w:before="0" w:after="80" w:line="240" w:lineRule="auto"/>
      </w:pPr>
    </w:p>
    <w:p>
      <w:pPr>
        <w:spacing w:before="0" w:after="160" w:line="276" w:lineRule="auto"/>
      </w:pPr>
      <w:r>
        <w:rPr>
          <w:rFonts w:ascii="Calibri" w:hAnsi="Calibri" w:eastAsia="Calibri"/>
          <w:b w:val="0"/>
          <w:i/>
          <w:color w:val="1C1C1C"/>
          <w:sz w:val="20"/>
        </w:rPr>
        <w:t>Die E-Mail-Adresse ist der fachliche Schlüssel zur Identifikation und Authentifizierung des Benutzers. Ein Benutzer kann den Status aktiv oder inaktiv annehmen.</w:t>
      </w:r>
    </w:p>
    <w:p>
      <w:pPr>
        <w:pStyle w:val="Heading1"/>
        <w:pBdr>
          <w:bottom w:val="single" w:sz="12" w:space="4" w:color="1A568A"/>
        </w:pBdr>
      </w:pPr>
      <w:r>
        <w:t>4. Kontaktverwaltung</w:t>
      </w:r>
    </w:p>
    <w:p>
      <w:pPr>
        <w:spacing w:before="0" w:after="160" w:line="276" w:lineRule="auto"/>
      </w:pPr>
      <w:r>
        <w:rPr>
          <w:rFonts w:ascii="Calibri" w:hAnsi="Calibri" w:eastAsia="Calibri"/>
          <w:b w:val="0"/>
          <w:i w:val="0"/>
          <w:color w:val="1C1C1C"/>
          <w:sz w:val="22"/>
        </w:rPr>
        <w:t>Die Kontaktverwaltung speichert die aus Visitenkarten extrahierten und manuell ergänzten Stammdaten. Zentral sind die Entitäten Kontakt und Ortsverzeichnis.</w:t>
      </w:r>
    </w:p>
    <w:p>
      <w:pPr>
        <w:pStyle w:val="Heading2"/>
      </w:pPr>
      <w:r>
        <w:t>Entität: Kontakt</w:t>
      </w:r>
    </w:p>
    <w:p>
      <w:pPr>
        <w:spacing w:before="0" w:after="120" w:line="276" w:lineRule="auto"/>
      </w:pPr>
      <w:r>
        <w:rPr>
          <w:rFonts w:ascii="Calibri" w:hAnsi="Calibri" w:eastAsia="Calibri"/>
          <w:b w:val="0"/>
          <w:i w:val="0"/>
          <w:color w:val="1C1C1C"/>
          <w:sz w:val="22"/>
        </w:rPr>
        <w:t>Ein Kontakt repräsentiert eine erfasste Visitenkarte bzw. Person. Die ID wird automatisch als UUID generiert. Audit-Felder werden beim Speichern im Backend automatisch befüllt.</w:t>
      </w:r>
    </w:p>
    <w:tbl>
      <w:tblPr>
        <w:jc w:val="center"/>
        <w:tblLayout w:type="autofit"/>
        <w:tblLook w:firstColumn="1" w:firstRow="1" w:lastColumn="0" w:lastRow="0" w:noHBand="0" w:noVBand="1" w:val="04A0"/>
        <w:tblW w:w="5000" w:type="pct"/>
        <w:tblBorders>
          <w:top w:val="single" w:sz="4" w:color="1A568A" w:space="0"/>
          <w:left w:val="single" w:sz="4" w:color="1A568A" w:space="0"/>
          <w:bottom w:val="single" w:sz="4" w:color="1A568A" w:space="0"/>
          <w:right w:val="single" w:sz="4" w:color="1A568A" w:space="0"/>
          <w:insideH w:val="single" w:sz="4" w:color="1A568A" w:space="0"/>
          <w:insideV w:val="single" w:sz="4" w:color="1A568A" w:space="0"/>
        </w:tblBorders>
      </w:tblPr>
      <w:tblGrid>
        <w:gridCol w:w="4873"/>
        <w:gridCol w:w="4873"/>
      </w:tblGrid>
      <w:tr>
        <w:trPr>
          <w:cantSplit/>
        </w:trPr>
        <w:tc>
          <w:tcPr>
            <w:tcW w:type="dxa" w:w="2268"/>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Feld</w:t>
            </w:r>
          </w:p>
        </w:tc>
        <w:tc>
          <w:tcPr>
            <w:tcW w:type="dxa" w:w="6803"/>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Typ / Beschreibung</w:t>
            </w:r>
          </w:p>
        </w:tc>
      </w:tr>
      <w:tr>
        <w:trPr>
          <w:cantSplit/>
        </w:trPr>
        <w:tc>
          <w:tcPr>
            <w:tcW w:type="dxa" w:w="2268"/>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ID</w:t>
            </w:r>
          </w:p>
        </w:tc>
        <w:tc>
          <w:tcPr>
            <w:tcW w:type="dxa" w:w="6803"/>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UUID (automatisch generiert)</w:t>
            </w:r>
          </w:p>
        </w:tc>
      </w:tr>
      <w:tr>
        <w:trPr>
          <w:cantSplit/>
        </w:trPr>
        <w:tc>
          <w:tcPr>
            <w:tcW w:type="dxa" w:w="2268"/>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Anrede</w:t>
            </w:r>
          </w:p>
        </w:tc>
        <w:tc>
          <w:tcPr>
            <w:tcW w:type="dxa" w:w="6803"/>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 (z. B. Herr, Frau, Divers)</w:t>
            </w:r>
          </w:p>
        </w:tc>
      </w:tr>
      <w:tr>
        <w:trPr>
          <w:cantSplit/>
        </w:trPr>
        <w:tc>
          <w:tcPr>
            <w:tcW w:type="dxa" w:w="2268"/>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Vorname</w:t>
            </w:r>
          </w:p>
        </w:tc>
        <w:tc>
          <w:tcPr>
            <w:tcW w:type="dxa" w:w="6803"/>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w:t>
            </w:r>
          </w:p>
        </w:tc>
      </w:tr>
      <w:tr>
        <w:trPr>
          <w:cantSplit/>
        </w:trPr>
        <w:tc>
          <w:tcPr>
            <w:tcW w:type="dxa" w:w="2268"/>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Nachname</w:t>
            </w:r>
          </w:p>
        </w:tc>
        <w:tc>
          <w:tcPr>
            <w:tcW w:type="dxa" w:w="6803"/>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w:t>
            </w:r>
          </w:p>
        </w:tc>
      </w:tr>
      <w:tr>
        <w:trPr>
          <w:cantSplit/>
        </w:trPr>
        <w:tc>
          <w:tcPr>
            <w:tcW w:type="dxa" w:w="2268"/>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Straße</w:t>
            </w:r>
          </w:p>
        </w:tc>
        <w:tc>
          <w:tcPr>
            <w:tcW w:type="dxa" w:w="6803"/>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w:t>
            </w:r>
          </w:p>
        </w:tc>
      </w:tr>
      <w:tr>
        <w:trPr>
          <w:cantSplit/>
        </w:trPr>
        <w:tc>
          <w:tcPr>
            <w:tcW w:type="dxa" w:w="2268"/>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Straßennummer</w:t>
            </w:r>
          </w:p>
        </w:tc>
        <w:tc>
          <w:tcPr>
            <w:tcW w:type="dxa" w:w="6803"/>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w:t>
            </w:r>
          </w:p>
        </w:tc>
      </w:tr>
      <w:tr>
        <w:trPr>
          <w:cantSplit/>
        </w:trPr>
        <w:tc>
          <w:tcPr>
            <w:tcW w:type="dxa" w:w="2268"/>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Postleitzahl</w:t>
            </w:r>
          </w:p>
        </w:tc>
        <w:tc>
          <w:tcPr>
            <w:tcW w:type="dxa" w:w="6803"/>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Fremdschlüssel → Ortsverzeichnis (eigene Entität)</w:t>
            </w:r>
          </w:p>
        </w:tc>
      </w:tr>
      <w:tr>
        <w:trPr>
          <w:cantSplit/>
        </w:trPr>
        <w:tc>
          <w:tcPr>
            <w:tcW w:type="dxa" w:w="2268"/>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Ort</w:t>
            </w:r>
          </w:p>
        </w:tc>
        <w:tc>
          <w:tcPr>
            <w:tcW w:type="dxa" w:w="6803"/>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w:t>
            </w:r>
          </w:p>
        </w:tc>
      </w:tr>
      <w:tr>
        <w:trPr>
          <w:cantSplit/>
        </w:trPr>
        <w:tc>
          <w:tcPr>
            <w:tcW w:type="dxa" w:w="2268"/>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Firmenname</w:t>
            </w:r>
          </w:p>
        </w:tc>
        <w:tc>
          <w:tcPr>
            <w:tcW w:type="dxa" w:w="6803"/>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w:t>
            </w:r>
          </w:p>
        </w:tc>
      </w:tr>
      <w:tr>
        <w:trPr>
          <w:cantSplit/>
        </w:trPr>
        <w:tc>
          <w:tcPr>
            <w:tcW w:type="dxa" w:w="2268"/>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Funktion</w:t>
            </w:r>
          </w:p>
        </w:tc>
        <w:tc>
          <w:tcPr>
            <w:tcW w:type="dxa" w:w="6803"/>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Text (z. B. Geschäftsführer, Vertrieb)</w:t>
            </w:r>
          </w:p>
        </w:tc>
      </w:tr>
      <w:tr>
        <w:trPr>
          <w:cantSplit/>
        </w:trPr>
        <w:tc>
          <w:tcPr>
            <w:tcW w:type="dxa" w:w="2268"/>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Foto-Link</w:t>
            </w:r>
          </w:p>
        </w:tc>
        <w:tc>
          <w:tcPr>
            <w:tcW w:type="dxa" w:w="6803"/>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URL / Pfad zur Visitenkarte in MinIO</w:t>
            </w:r>
          </w:p>
        </w:tc>
      </w:tr>
      <w:tr>
        <w:trPr>
          <w:cantSplit/>
        </w:trPr>
        <w:tc>
          <w:tcPr>
            <w:tcW w:type="dxa" w:w="2268"/>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Audit-Felder</w:t>
            </w:r>
          </w:p>
        </w:tc>
        <w:tc>
          <w:tcPr>
            <w:tcW w:type="dxa" w:w="6803"/>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CreatedAt, CreatedBy, UpdatedAt, UpdatedBy (automatisch im Backend)</w:t>
            </w:r>
          </w:p>
        </w:tc>
      </w:tr>
    </w:tbl>
    <w:p>
      <w:pPr>
        <w:spacing w:before="0" w:after="80" w:line="240" w:lineRule="auto"/>
      </w:pPr>
    </w:p>
    <w:p>
      <w:pPr>
        <w:pStyle w:val="Heading2"/>
      </w:pPr>
      <w:r>
        <w:t>Entität: Ortsverzeichnis</w:t>
      </w:r>
    </w:p>
    <w:p>
      <w:pPr>
        <w:spacing w:before="0" w:after="120" w:line="276" w:lineRule="auto"/>
      </w:pPr>
      <w:r>
        <w:rPr>
          <w:rFonts w:ascii="Calibri" w:hAnsi="Calibri" w:eastAsia="Calibri"/>
          <w:b w:val="0"/>
          <w:i w:val="0"/>
          <w:color w:val="1C1C1C"/>
          <w:sz w:val="22"/>
        </w:rPr>
        <w:t>Das Ortsverzeichnis normalisiert Postleitzahlen und Ortsnamen und wird über die Postleitzahl mit dem Kontakt verknüpft.</w:t>
      </w:r>
    </w:p>
    <w:tbl>
      <w:tblPr>
        <w:jc w:val="center"/>
        <w:tblLayout w:type="autofit"/>
        <w:tblLook w:firstColumn="1" w:firstRow="1" w:lastColumn="0" w:lastRow="0" w:noHBand="0" w:noVBand="1" w:val="04A0"/>
        <w:tblW w:w="5000" w:type="pct"/>
        <w:tblBorders>
          <w:top w:val="single" w:sz="4" w:color="1A568A" w:space="0"/>
          <w:left w:val="single" w:sz="4" w:color="1A568A" w:space="0"/>
          <w:bottom w:val="single" w:sz="4" w:color="1A568A" w:space="0"/>
          <w:right w:val="single" w:sz="4" w:color="1A568A" w:space="0"/>
          <w:insideH w:val="single" w:sz="4" w:color="1A568A" w:space="0"/>
          <w:insideV w:val="single" w:sz="4" w:color="1A568A" w:space="0"/>
        </w:tblBorders>
      </w:tblPr>
      <w:tblGrid>
        <w:gridCol w:w="4873"/>
        <w:gridCol w:w="4873"/>
      </w:tblGrid>
      <w:tr>
        <w:trPr>
          <w:cantSplit/>
        </w:trPr>
        <w:tc>
          <w:tcPr>
            <w:tcW w:type="dxa" w:w="2551"/>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Feld</w:t>
            </w:r>
          </w:p>
        </w:tc>
        <w:tc>
          <w:tcPr>
            <w:tcW w:type="dxa" w:w="6520"/>
            <w:shd w:fill="1A568A"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FFFFFF"/>
                <w:sz w:val="20"/>
              </w:rPr>
              <w:t>Beschreibung</w:t>
            </w:r>
          </w:p>
        </w:tc>
      </w:tr>
      <w:tr>
        <w:trPr>
          <w:cantSplit/>
        </w:trPr>
        <w:tc>
          <w:tcPr>
            <w:tcW w:type="dxa" w:w="2551"/>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Postleitzahl</w:t>
            </w:r>
          </w:p>
        </w:tc>
        <w:tc>
          <w:tcPr>
            <w:tcW w:type="dxa" w:w="6520"/>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Primärschlüssel (PK)</w:t>
            </w:r>
          </w:p>
        </w:tc>
      </w:tr>
      <w:tr>
        <w:trPr>
          <w:cantSplit/>
        </w:trPr>
        <w:tc>
          <w:tcPr>
            <w:tcW w:type="dxa" w:w="2551"/>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Ortsname</w:t>
            </w:r>
          </w:p>
        </w:tc>
        <w:tc>
          <w:tcPr>
            <w:tcW w:type="dxa" w:w="6520"/>
            <w:shd w:fill="E8F0F7"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Name des Ortes</w:t>
            </w:r>
          </w:p>
        </w:tc>
      </w:tr>
      <w:tr>
        <w:trPr>
          <w:cantSplit/>
        </w:trPr>
        <w:tc>
          <w:tcPr>
            <w:tcW w:type="dxa" w:w="2551"/>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i w:val="0"/>
                <w:color w:val="1A568A"/>
                <w:sz w:val="20"/>
              </w:rPr>
              <w:t>Bundesland / Land</w:t>
            </w:r>
          </w:p>
        </w:tc>
        <w:tc>
          <w:tcPr>
            <w:tcW w:type="dxa" w:w="6520"/>
            <w:shd w:fill="FFFFFF" w:val="clear"/>
            <w:tcBorders>
              <w:top w:val="single" w:sz="4" w:color="1A568A" w:space="0"/>
              <w:left w:val="single" w:sz="4" w:color="1A568A" w:space="0"/>
              <w:bottom w:val="single" w:sz="4" w:color="1A568A" w:space="0"/>
              <w:right w:val="single" w:sz="4" w:color="1A568A" w:space="0"/>
            </w:tcBorders>
            <w:tcMar>
              <w:top w:w="40" w:type="dxa"/>
              <w:left w:w="80" w:type="dxa"/>
              <w:bottom w:w="40" w:type="dxa"/>
              <w:right w:w="80" w:type="dxa"/>
            </w:tcMar>
            <w:vAlign w:val="center"/>
          </w:tcPr>
          <w:p>
            <w:pPr>
              <w:spacing w:before="40" w:after="40" w:line="264" w:lineRule="auto"/>
              <w:jc w:val="left"/>
            </w:pPr>
            <w:r>
              <w:rPr>
                <w:rFonts w:ascii="Calibri" w:hAnsi="Calibri" w:eastAsia="Calibri"/>
                <w:b w:val="0"/>
                <w:i w:val="0"/>
                <w:color w:val="1C1C1C"/>
                <w:sz w:val="20"/>
              </w:rPr>
              <w:t>Optional – erweiterte geografische Zuordnung</w:t>
            </w:r>
          </w:p>
        </w:tc>
      </w:tr>
    </w:tbl>
    <w:p>
      <w:pPr>
        <w:spacing w:before="0" w:after="80" w:line="240" w:lineRule="auto"/>
      </w:pPr>
    </w:p>
    <w:p>
      <w:pPr>
        <w:pStyle w:val="Heading1"/>
        <w:pBdr>
          <w:bottom w:val="single" w:sz="12" w:space="4" w:color="1A568A"/>
        </w:pBdr>
      </w:pPr>
      <w:r>
        <w:t>5. Prozessbeschreibung – Visitenkarte erfassen</w:t>
      </w:r>
    </w:p>
    <w:p>
      <w:pPr>
        <w:spacing w:before="0" w:after="160" w:line="276" w:lineRule="auto"/>
      </w:pPr>
      <w:r>
        <w:rPr>
          <w:rFonts w:ascii="Calibri" w:hAnsi="Calibri" w:eastAsia="Calibri"/>
          <w:b w:val="0"/>
          <w:i w:val="0"/>
          <w:color w:val="1C1C1C"/>
          <w:sz w:val="22"/>
        </w:rPr>
        <w:t>Der folgende Ablauf beschreibt den End-to-End-Prozess vom Fotografieren einer Visitenkarte bis zur Speicherung in Datenbank und Objektspeicher.</w:t>
      </w:r>
    </w:p>
    <w:p>
      <w:pPr>
        <w:spacing w:before="80" w:after="80" w:line="276" w:lineRule="auto"/>
        <w:numPr>
          <w:ilvl w:val="0"/>
          <w:numId w:val="10"/>
        </w:numPr>
      </w:pPr>
      <w:r>
        <w:rPr>
          <w:rFonts w:ascii="Calibri" w:hAnsi="Calibri" w:eastAsia="Calibri"/>
          <w:b/>
          <w:i w:val="0"/>
          <w:color w:val="1A568A"/>
          <w:sz w:val="22"/>
        </w:rPr>
        <w:t xml:space="preserve">Foto aufnehmen: </w:t>
      </w:r>
      <w:r>
        <w:rPr>
          <w:rFonts w:ascii="Calibri" w:hAnsi="Calibri" w:eastAsia="Calibri"/>
          <w:b w:val="0"/>
          <w:i w:val="0"/>
          <w:color w:val="1C1C1C"/>
          <w:sz w:val="22"/>
        </w:rPr>
        <w:t>Der Benutzer fotografiert eine Visitenkarte direkt im Frontend (Next.js). Die Aufnahme erfolgt geräteunterstützt über die Kamera des Endgeräts.</w:t>
      </w:r>
    </w:p>
    <w:p>
      <w:pPr>
        <w:spacing w:before="80" w:after="80" w:line="276" w:lineRule="auto"/>
        <w:numPr>
          <w:ilvl w:val="0"/>
          <w:numId w:val="10"/>
        </w:numPr>
      </w:pPr>
      <w:r>
        <w:rPr>
          <w:rFonts w:ascii="Calibri" w:hAnsi="Calibri" w:eastAsia="Calibri"/>
          <w:b/>
          <w:i w:val="0"/>
          <w:color w:val="1A568A"/>
          <w:sz w:val="22"/>
        </w:rPr>
        <w:t xml:space="preserve">OCR / Texterkennung im Frontend: </w:t>
      </w:r>
      <w:r>
        <w:rPr>
          <w:rFonts w:ascii="Calibri" w:hAnsi="Calibri" w:eastAsia="Calibri"/>
          <w:b w:val="0"/>
          <w:i w:val="0"/>
          <w:color w:val="1C1C1C"/>
          <w:sz w:val="22"/>
        </w:rPr>
        <w:t>Das Frontend führt eine Texterkennung (OCR) auf dem Foto durch und extrahiert die relevanten Felder (Name, Firma, Telefon, E-Mail, Adresse usw.).</w:t>
      </w:r>
    </w:p>
    <w:p>
      <w:pPr>
        <w:spacing w:before="80" w:after="80" w:line="276" w:lineRule="auto"/>
        <w:numPr>
          <w:ilvl w:val="0"/>
          <w:numId w:val="10"/>
        </w:numPr>
      </w:pPr>
      <w:r>
        <w:rPr>
          <w:rFonts w:ascii="Calibri" w:hAnsi="Calibri" w:eastAsia="Calibri"/>
          <w:b/>
          <w:i w:val="0"/>
          <w:color w:val="1A568A"/>
          <w:sz w:val="22"/>
        </w:rPr>
        <w:t xml:space="preserve">JSON-Übertragung ans Backend: </w:t>
      </w:r>
      <w:r>
        <w:rPr>
          <w:rFonts w:ascii="Calibri" w:hAnsi="Calibri" w:eastAsia="Calibri"/>
          <w:b w:val="0"/>
          <w:i w:val="0"/>
          <w:color w:val="1C1C1C"/>
          <w:sz w:val="22"/>
        </w:rPr>
        <w:t>Die erkannten Daten werden als strukturiertes JSON-Objekt an die C#/OData-Backend-API gesendet.</w:t>
      </w:r>
    </w:p>
    <w:p>
      <w:pPr>
        <w:spacing w:before="80" w:after="80" w:line="276" w:lineRule="auto"/>
        <w:numPr>
          <w:ilvl w:val="0"/>
          <w:numId w:val="10"/>
        </w:numPr>
      </w:pPr>
      <w:r>
        <w:rPr>
          <w:rFonts w:ascii="Calibri" w:hAnsi="Calibri" w:eastAsia="Calibri"/>
          <w:b/>
          <w:i w:val="0"/>
          <w:color w:val="1A568A"/>
          <w:sz w:val="22"/>
        </w:rPr>
        <w:t xml:space="preserve">Foto in MinIO speichern: </w:t>
      </w:r>
      <w:r>
        <w:rPr>
          <w:rFonts w:ascii="Calibri" w:hAnsi="Calibri" w:eastAsia="Calibri"/>
          <w:b w:val="0"/>
          <w:i w:val="0"/>
          <w:color w:val="1C1C1C"/>
          <w:sz w:val="22"/>
        </w:rPr>
        <w:t>Das Originalfoto der Visitenkarte wird im DMS (MinIO) gespeichert. Der zurückgegebene Speicher-Link (URL) wird ebenfalls an das Backend übermittelt.</w:t>
      </w:r>
    </w:p>
    <w:p>
      <w:pPr>
        <w:spacing w:before="80" w:after="80" w:line="276" w:lineRule="auto"/>
        <w:numPr>
          <w:ilvl w:val="0"/>
          <w:numId w:val="10"/>
        </w:numPr>
      </w:pPr>
      <w:r>
        <w:rPr>
          <w:rFonts w:ascii="Calibri" w:hAnsi="Calibri" w:eastAsia="Calibri"/>
          <w:b/>
          <w:i w:val="0"/>
          <w:color w:val="1A568A"/>
          <w:sz w:val="22"/>
        </w:rPr>
        <w:t xml:space="preserve">Datensatz anlegen: </w:t>
      </w:r>
      <w:r>
        <w:rPr>
          <w:rFonts w:ascii="Calibri" w:hAnsi="Calibri" w:eastAsia="Calibri"/>
          <w:b w:val="0"/>
          <w:i w:val="0"/>
          <w:color w:val="1C1C1C"/>
          <w:sz w:val="22"/>
        </w:rPr>
        <w:t>Das Backend speichert den Kontakt in der PostgreSQL-Datenbank, füllt die Audit-Felder automatisch und verknüpft den MinIO-Link mit dem Kontaktsatz.</w:t>
      </w:r>
    </w:p>
    <w:p>
      <w:pPr>
        <w:pStyle w:val="Heading1"/>
        <w:pBdr>
          <w:bottom w:val="single" w:sz="12" w:space="4" w:color="1A568A"/>
        </w:pBdr>
      </w:pPr>
      <w:r>
        <w:t>6. Architekturüberblick</w:t>
      </w:r>
    </w:p>
    <w:p>
      <w:pPr>
        <w:spacing w:before="0" w:after="160" w:line="276" w:lineRule="auto"/>
      </w:pPr>
      <w:r>
        <w:rPr>
          <w:rFonts w:ascii="Calibri" w:hAnsi="Calibri" w:eastAsia="Calibri"/>
          <w:b w:val="0"/>
          <w:i w:val="0"/>
          <w:color w:val="1C1C1C"/>
          <w:sz w:val="22"/>
        </w:rPr>
        <w:t>Die Systemarchitektur von bandvcard gliedert sich in Frontend, Backend, Reverse Proxy, Objektspeicher und relationale Datenbank.</w:t>
      </w:r>
    </w:p>
    <w:p>
      <w:pPr>
        <w:spacing w:before="80" w:after="80" w:line="276" w:lineRule="auto"/>
      </w:pPr>
      <w:r>
        <w:rPr>
          <w:rFonts w:ascii="Calibri" w:hAnsi="Calibri" w:eastAsia="Calibri"/>
          <w:b/>
          <w:i w:val="0"/>
          <w:color w:val="1A568A"/>
          <w:sz w:val="22"/>
        </w:rPr>
        <w:t xml:space="preserve">Frontend (Next.js). </w:t>
      </w:r>
      <w:r>
        <w:rPr>
          <w:rFonts w:ascii="Calibri" w:hAnsi="Calibri" w:eastAsia="Calibri"/>
          <w:b w:val="0"/>
          <w:i w:val="0"/>
          <w:color w:val="1C1C1C"/>
          <w:sz w:val="22"/>
        </w:rPr>
        <w:t>Kommuniziert über OData-konforme REST-Endpunkte mit dem Backend (C# / .NET). Im Frontend findet auch die OCR-Texterkennung statt.</w:t>
      </w:r>
    </w:p>
    <w:p>
      <w:pPr>
        <w:spacing w:before="80" w:after="80" w:line="276" w:lineRule="auto"/>
      </w:pPr>
      <w:r>
        <w:rPr>
          <w:rFonts w:ascii="Calibri" w:hAnsi="Calibri" w:eastAsia="Calibri"/>
          <w:b/>
          <w:i w:val="0"/>
          <w:color w:val="1A568A"/>
          <w:sz w:val="22"/>
        </w:rPr>
        <w:t xml:space="preserve">Backend (C# / .NET, OData). </w:t>
      </w:r>
      <w:r>
        <w:rPr>
          <w:rFonts w:ascii="Calibri" w:hAnsi="Calibri" w:eastAsia="Calibri"/>
          <w:b w:val="0"/>
          <w:i w:val="0"/>
          <w:color w:val="1C1C1C"/>
          <w:sz w:val="22"/>
        </w:rPr>
        <w:t>Stellt die fachliche API bereit, validiert und persistiert Daten, befüllt Audit-Felder und speichert den Foto-Link am Kontaktsatz.</w:t>
      </w:r>
    </w:p>
    <w:p>
      <w:pPr>
        <w:spacing w:before="80" w:after="80" w:line="276" w:lineRule="auto"/>
      </w:pPr>
      <w:r>
        <w:rPr>
          <w:rFonts w:ascii="Calibri" w:hAnsi="Calibri" w:eastAsia="Calibri"/>
          <w:b/>
          <w:i w:val="0"/>
          <w:color w:val="1A568A"/>
          <w:sz w:val="22"/>
        </w:rPr>
        <w:t xml:space="preserve">Reverse Proxy (nginx). </w:t>
      </w:r>
      <w:r>
        <w:rPr>
          <w:rFonts w:ascii="Calibri" w:hAnsi="Calibri" w:eastAsia="Calibri"/>
          <w:b w:val="0"/>
          <w:i w:val="0"/>
          <w:color w:val="1C1C1C"/>
          <w:sz w:val="22"/>
        </w:rPr>
        <w:t>Leitet alle Anfragen an Frontend und Backend weiter und übernimmt die SSL-Terminierung.</w:t>
      </w:r>
    </w:p>
    <w:p>
      <w:pPr>
        <w:spacing w:before="80" w:after="80" w:line="276" w:lineRule="auto"/>
      </w:pPr>
      <w:r>
        <w:rPr>
          <w:rFonts w:ascii="Calibri" w:hAnsi="Calibri" w:eastAsia="Calibri"/>
          <w:b/>
          <w:i w:val="0"/>
          <w:color w:val="1A568A"/>
          <w:sz w:val="22"/>
        </w:rPr>
        <w:t xml:space="preserve">DMS / Storage (MinIO). </w:t>
      </w:r>
      <w:r>
        <w:rPr>
          <w:rFonts w:ascii="Calibri" w:hAnsi="Calibri" w:eastAsia="Calibri"/>
          <w:b w:val="0"/>
          <w:i w:val="0"/>
          <w:color w:val="1C1C1C"/>
          <w:sz w:val="22"/>
        </w:rPr>
        <w:t>Dient als Objektspeicher für Visitenkartenfotos. Das Backend erhält den Foto-Link und speichert ihn am Kontaktsatz.</w:t>
      </w:r>
    </w:p>
    <w:p>
      <w:pPr>
        <w:spacing w:before="80" w:after="80" w:line="276" w:lineRule="auto"/>
      </w:pPr>
      <w:r>
        <w:rPr>
          <w:rFonts w:ascii="Calibri" w:hAnsi="Calibri" w:eastAsia="Calibri"/>
          <w:b/>
          <w:i w:val="0"/>
          <w:color w:val="1A568A"/>
          <w:sz w:val="22"/>
        </w:rPr>
        <w:t xml:space="preserve">Datenbank (PostgreSQL). </w:t>
      </w:r>
      <w:r>
        <w:rPr>
          <w:rFonts w:ascii="Calibri" w:hAnsi="Calibri" w:eastAsia="Calibri"/>
          <w:b w:val="0"/>
          <w:i w:val="0"/>
          <w:color w:val="1C1C1C"/>
          <w:sz w:val="22"/>
        </w:rPr>
        <w:t>Speichert alle strukturierten Daten – Kontakte, Benutzer und Ortsverzeichnis.</w:t>
      </w:r>
    </w:p>
    <w:p>
      <w:pPr>
        <w:pStyle w:val="Heading1"/>
        <w:pBdr>
          <w:bottom w:val="single" w:sz="12" w:space="4" w:color="1A568A"/>
        </w:pBdr>
      </w:pPr>
      <w:r>
        <w:t>7. Offene Punkte / Hinweise</w:t>
      </w:r>
    </w:p>
    <w:p>
      <w:pPr>
        <w:spacing w:before="0" w:after="120" w:line="276" w:lineRule="auto"/>
      </w:pPr>
      <w:r>
        <w:rPr>
          <w:rFonts w:ascii="Calibri" w:hAnsi="Calibri" w:eastAsia="Calibri"/>
          <w:b w:val="0"/>
          <w:i w:val="0"/>
          <w:color w:val="1C1C1C"/>
          <w:sz w:val="22"/>
        </w:rPr>
        <w:t>Für Version 1.0.0 sind folgende Themen noch offen bzw. nachgelagert zu klären:</w:t>
      </w:r>
    </w:p>
    <w:p>
      <w:pPr>
        <w:spacing w:before="60" w:after="60" w:line="276" w:lineRule="auto"/>
        <w:numPr>
          <w:ilvl w:val="0"/>
          <w:numId w:val="11"/>
        </w:numPr>
      </w:pPr>
      <w:r>
        <w:rPr>
          <w:rFonts w:ascii="Calibri" w:hAnsi="Calibri" w:eastAsia="Calibri"/>
          <w:b w:val="0"/>
          <w:i w:val="0"/>
          <w:color w:val="1C1C1C"/>
          <w:sz w:val="22"/>
        </w:rPr>
        <w:t>OCR-Bibliothek bzw. -Dienst für das Frontend ist noch zu evaluieren (z. B. Tesseract.js, Google Vision API, Azure Cognitive Services).</w:t>
      </w:r>
    </w:p>
    <w:p>
      <w:pPr>
        <w:spacing w:before="60" w:after="60" w:line="276" w:lineRule="auto"/>
        <w:numPr>
          <w:ilvl w:val="0"/>
          <w:numId w:val="11"/>
        </w:numPr>
      </w:pPr>
      <w:r>
        <w:rPr>
          <w:rFonts w:ascii="Calibri" w:hAnsi="Calibri" w:eastAsia="Calibri"/>
          <w:b w:val="0"/>
          <w:i w:val="0"/>
          <w:color w:val="1C1C1C"/>
          <w:sz w:val="22"/>
        </w:rPr>
        <w:t>Berechtigungskonzept (Rollen, Zugriffsrechte) ist in Version 1.0.0 noch nicht spezifiziert.</w:t>
      </w:r>
    </w:p>
    <w:p>
      <w:pPr>
        <w:spacing w:before="60" w:after="60" w:line="276" w:lineRule="auto"/>
        <w:numPr>
          <w:ilvl w:val="0"/>
          <w:numId w:val="11"/>
        </w:numPr>
      </w:pPr>
      <w:r>
        <w:rPr>
          <w:rFonts w:ascii="Calibri" w:hAnsi="Calibri" w:eastAsia="Calibri"/>
          <w:b w:val="0"/>
          <w:i w:val="0"/>
          <w:color w:val="1C1C1C"/>
          <w:sz w:val="22"/>
        </w:rPr>
        <w:t>Ortsverzeichnis: Import-Quelle der PLZ-Daten (z. B. Deutsche Post, OpenPLZ) ist zu klären.</w:t>
      </w:r>
    </w:p>
    <w:p>
      <w:pPr>
        <w:spacing w:before="60" w:after="60" w:line="276" w:lineRule="auto"/>
        <w:numPr>
          <w:ilvl w:val="0"/>
          <w:numId w:val="11"/>
        </w:numPr>
      </w:pPr>
      <w:r>
        <w:rPr>
          <w:rFonts w:ascii="Calibri" w:hAnsi="Calibri" w:eastAsia="Calibri"/>
          <w:b w:val="0"/>
          <w:i w:val="0"/>
          <w:color w:val="1C1C1C"/>
          <w:sz w:val="22"/>
        </w:rPr>
        <w:t>MinIO-Bucket-Struktur und Zugriffsrechte sind zu definieren.</w:t>
      </w:r>
    </w:p>
    <w:p>
      <w:pPr>
        <w:spacing w:before="200" w:after="160" w:line="276" w:lineRule="auto"/>
      </w:pPr>
      <w:r>
        <w:rPr>
          <w:rFonts w:ascii="Calibri" w:hAnsi="Calibri" w:eastAsia="Calibri"/>
          <w:b w:val="0"/>
          <w:i/>
          <w:color w:val="1C1C1C"/>
          <w:sz w:val="20"/>
        </w:rPr>
        <w:t>Dieses Dokument wird bei Bedarf fortgeschrieben, sobald offene Punkte entschieden und der Funktionsumfang erweitert wird.</w:t>
      </w: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auto"/>
      <w:jc w:val="center"/>
      <w:pBdr>
        <w:top w:val="single" w:sz="6" w:space="4" w:color="1A568A"/>
      </w:pBdr>
    </w:pPr>
    <w:r>
      <w:rPr>
        <w:rFonts w:ascii="Calibri" w:hAnsi="Calibri" w:eastAsia="Calibri"/>
        <w:b w:val="0"/>
        <w:i w:val="0"/>
        <w:color w:val="5A5A5A"/>
        <w:sz w:val="16"/>
      </w:rPr>
      <w:t xml:space="preserve">Oktober 2026  ·  Vertraulich / Intern  ·  Seite </w:t>
    </w:r>
    <w:r>
      <w:fldChar w:fldCharType="begin"/>
    </w:r>
    <w:r>
      <w:instrText xml:space="preserve"> PAGE </w:instrText>
    </w:r>
    <w:r>
      <w:fldChar w:fldCharType="separate"/>
    </w:r>
    <w:r>
      <w:rPr>
        <w:rFonts w:ascii="Calibri" w:hAnsi="Calibri" w:eastAsia="Calibri"/>
        <w:b w:val="0"/>
        <w:i w:val="0"/>
        <w:color w:val="5A5A5A"/>
        <w:sz w:val="16"/>
      </w:rPr>
      <w:t>1</w:t>
    </w:r>
    <w:r>
      <w:fldChar w:fldCharType="end"/>
    </w:r>
    <w:r>
      <w:rPr>
        <w:rFonts w:ascii="Calibri" w:hAnsi="Calibri" w:eastAsia="Calibri"/>
        <w:b w:val="0"/>
        <w:i w:val="0"/>
        <w:color w:val="5A5A5A"/>
        <w:sz w:val="16"/>
      </w:rPr>
      <w:t xml:space="preserve"> von </w:t>
    </w:r>
    <w:r>
      <w:fldChar w:fldCharType="begin"/>
    </w:r>
    <w:r>
      <w:instrText xml:space="preserve"> NUMPAGES </w:instrText>
    </w:r>
    <w:r>
      <w:fldChar w:fldCharType="separate"/>
    </w:r>
    <w:r>
      <w:rPr>
        <w:rFonts w:ascii="Calibri" w:hAnsi="Calibri" w:eastAsia="Calibri"/>
        <w:b w:val="0"/>
        <w:i w:val="0"/>
        <w:color w:val="5A5A5A"/>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40" w:lineRule="auto"/>
      <w:pBdr>
        <w:bottom w:val="single" w:sz="8" w:space="4" w:color="1A568A"/>
      </w:pBdr>
    </w:pPr>
    <w:r>
      <w:rPr>
        <w:rFonts w:ascii="Calibri" w:hAnsi="Calibri" w:eastAsia="Calibri"/>
        <w:b/>
        <w:i w:val="0"/>
        <w:color w:val="1A568A"/>
        <w:sz w:val="18"/>
      </w:rPr>
      <w:t>bandvcard</w:t>
    </w:r>
    <w:r>
      <w:rPr>
        <w:rFonts w:ascii="Calibri" w:hAnsi="Calibri" w:eastAsia="Calibri"/>
        <w:b w:val="0"/>
        <w:i w:val="0"/>
        <w:color w:val="5A5A5A"/>
        <w:sz w:val="18"/>
      </w:rPr>
      <w:t xml:space="preserve">  ·  Projektkontext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720" w:hanging="360"/>
      </w:pPr>
    </w:lvl>
  </w:abstractNum>
  <w:abstractNum w:abstractNumId="10">
    <w:multiLevelType w:val="singleLevel"/>
    <w:lvl w:ilvl="0">
      <w:start w:val="1"/>
      <w:numFmt w:val="bullet"/>
      <w:lvlText w:val="•"/>
      <w:lvlJc w:val="left"/>
      <w:pPr>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Calibri" w:hAnsi="Calibri" w:eastAsia="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eastAsia="Calibri"/>
      <w:b/>
      <w:bCs/>
      <w:color w:val="1A568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A56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jc w:val="left"/>
    </w:pPr>
    <w:rPr>
      <w:rFonts w:asciiTheme="majorHAnsi" w:eastAsiaTheme="majorEastAsia" w:hAnsiTheme="majorHAnsi" w:cstheme="majorBidi" w:ascii="Calibri" w:hAnsi="Calibri" w:eastAsia="Calibri"/>
      <w:b/>
      <w:color w:val="1A56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